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76276" w14:textId="0524143A" w:rsidR="00146940" w:rsidRPr="00272D5C" w:rsidRDefault="00B11C13" w:rsidP="007F28CF">
      <w:pPr>
        <w:jc w:val="both"/>
        <w:rPr>
          <w:lang w:val="en-GB"/>
        </w:rPr>
      </w:pPr>
      <w:bookmarkStart w:id="0" w:name="_GoBack"/>
      <w:bookmarkEnd w:id="0"/>
      <w:r w:rsidRPr="00272D5C">
        <w:rPr>
          <w:noProof/>
          <w:lang w:eastAsia="pt-BR"/>
        </w:rPr>
        <w:drawing>
          <wp:anchor distT="0" distB="0" distL="114300" distR="114300" simplePos="0" relativeHeight="251658240" behindDoc="1" locked="0" layoutInCell="1" allowOverlap="1" wp14:anchorId="2EEA0F99" wp14:editId="0220F293">
            <wp:simplePos x="0" y="0"/>
            <wp:positionH relativeFrom="column">
              <wp:posOffset>-1103989</wp:posOffset>
            </wp:positionH>
            <wp:positionV relativeFrom="paragraph">
              <wp:posOffset>-860038</wp:posOffset>
            </wp:positionV>
            <wp:extent cx="10610850" cy="5216055"/>
            <wp:effectExtent l="0" t="0" r="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33793"/>
                    <a:stretch/>
                  </pic:blipFill>
                  <pic:spPr bwMode="auto">
                    <a:xfrm>
                      <a:off x="0" y="0"/>
                      <a:ext cx="10610850" cy="52160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5C7E1D" w14:textId="6866C147" w:rsidR="00B11C13" w:rsidRPr="00272D5C" w:rsidRDefault="00B11C13" w:rsidP="007F28CF">
      <w:pPr>
        <w:jc w:val="both"/>
        <w:rPr>
          <w:lang w:val="en-GB"/>
        </w:rPr>
      </w:pPr>
    </w:p>
    <w:p w14:paraId="4911B36F" w14:textId="06E11D0C" w:rsidR="00B11C13" w:rsidRPr="00272D5C" w:rsidRDefault="00B11C13" w:rsidP="007F28CF">
      <w:pPr>
        <w:jc w:val="both"/>
        <w:rPr>
          <w:lang w:val="en-GB"/>
        </w:rPr>
      </w:pPr>
    </w:p>
    <w:p w14:paraId="2E2D3531" w14:textId="77777777" w:rsidR="00B11C13" w:rsidRPr="00272D5C" w:rsidRDefault="00B11C13" w:rsidP="007F28CF">
      <w:pPr>
        <w:jc w:val="both"/>
        <w:rPr>
          <w:lang w:val="en-GB"/>
        </w:rPr>
      </w:pPr>
    </w:p>
    <w:p w14:paraId="30629DD2" w14:textId="605DF2B7" w:rsidR="00146940" w:rsidRPr="00272D5C" w:rsidRDefault="00B11C13" w:rsidP="007F28CF">
      <w:pPr>
        <w:jc w:val="both"/>
        <w:rPr>
          <w:lang w:val="en-GB"/>
        </w:rPr>
      </w:pPr>
      <w:r w:rsidRPr="00272D5C">
        <w:rPr>
          <w:noProof/>
          <w:lang w:eastAsia="pt-BR"/>
        </w:rPr>
        <mc:AlternateContent>
          <mc:Choice Requires="wps">
            <w:drawing>
              <wp:anchor distT="0" distB="0" distL="114300" distR="114300" simplePos="0" relativeHeight="251659264" behindDoc="0" locked="0" layoutInCell="1" allowOverlap="1" wp14:anchorId="0F35314C" wp14:editId="2C045C22">
                <wp:simplePos x="0" y="0"/>
                <wp:positionH relativeFrom="column">
                  <wp:posOffset>-989601</wp:posOffset>
                </wp:positionH>
                <wp:positionV relativeFrom="paragraph">
                  <wp:posOffset>3158578</wp:posOffset>
                </wp:positionV>
                <wp:extent cx="7387627" cy="4300396"/>
                <wp:effectExtent l="0" t="0" r="3810" b="5080"/>
                <wp:wrapNone/>
                <wp:docPr id="5" name="Caixa de Texto 5"/>
                <wp:cNvGraphicFramePr/>
                <a:graphic xmlns:a="http://schemas.openxmlformats.org/drawingml/2006/main">
                  <a:graphicData uri="http://schemas.microsoft.com/office/word/2010/wordprocessingShape">
                    <wps:wsp>
                      <wps:cNvSpPr txBox="1"/>
                      <wps:spPr>
                        <a:xfrm>
                          <a:off x="0" y="0"/>
                          <a:ext cx="7387627" cy="4300396"/>
                        </a:xfrm>
                        <a:prstGeom prst="rect">
                          <a:avLst/>
                        </a:prstGeom>
                        <a:solidFill>
                          <a:schemeClr val="lt1"/>
                        </a:solidFill>
                        <a:ln w="6350">
                          <a:noFill/>
                        </a:ln>
                      </wps:spPr>
                      <wps:txbx>
                        <w:txbxContent>
                          <w:p w14:paraId="2A9CAF71" w14:textId="6875DB99" w:rsidR="00EE45E2" w:rsidRPr="00B11C13" w:rsidRDefault="00EE45E2" w:rsidP="00C11701">
                            <w:pPr>
                              <w:jc w:val="both"/>
                              <w:rPr>
                                <w:b/>
                                <w:sz w:val="72"/>
                                <w:lang w:val="en-US"/>
                              </w:rPr>
                            </w:pPr>
                            <w:r w:rsidRPr="00B11C13">
                              <w:rPr>
                                <w:b/>
                                <w:sz w:val="72"/>
                                <w:lang w:val="en-US"/>
                              </w:rPr>
                              <w:t xml:space="preserve">Regulation and Implementation of the </w:t>
                            </w:r>
                            <w:r>
                              <w:rPr>
                                <w:b/>
                                <w:sz w:val="72"/>
                                <w:lang w:val="en-US"/>
                              </w:rPr>
                              <w:t>State</w:t>
                            </w:r>
                            <w:r w:rsidRPr="00B11C13">
                              <w:rPr>
                                <w:b/>
                                <w:sz w:val="72"/>
                                <w:lang w:val="en-US"/>
                              </w:rPr>
                              <w:t xml:space="preserve"> Environmental Services Law of Amazonas</w:t>
                            </w:r>
                            <w:r>
                              <w:rPr>
                                <w:b/>
                                <w:sz w:val="72"/>
                                <w:lang w:val="en-US"/>
                              </w:rPr>
                              <w:t>, Brazil</w:t>
                            </w:r>
                          </w:p>
                          <w:p w14:paraId="2C256D0D" w14:textId="4301A6E5" w:rsidR="00EE45E2" w:rsidRDefault="00EE45E2">
                            <w:pPr>
                              <w:rPr>
                                <w:lang w:val="en-US"/>
                              </w:rPr>
                            </w:pPr>
                          </w:p>
                          <w:p w14:paraId="4B6B58DC" w14:textId="4B326AE6" w:rsidR="00EE45E2" w:rsidRPr="00C11701" w:rsidRDefault="00EE45E2" w:rsidP="00C11701">
                            <w:pPr>
                              <w:jc w:val="center"/>
                              <w:rPr>
                                <w:sz w:val="28"/>
                                <w:lang w:val="en-GB"/>
                              </w:rPr>
                            </w:pPr>
                            <w:r w:rsidRPr="00C11701">
                              <w:rPr>
                                <w:sz w:val="32"/>
                                <w:lang w:val="en-GB"/>
                              </w:rPr>
                              <w:t>Funding Window A: Jurisdictional Strategies and Investment Plans</w:t>
                            </w:r>
                          </w:p>
                          <w:p w14:paraId="5C445236" w14:textId="77777777" w:rsidR="00EE45E2" w:rsidRPr="00C11701" w:rsidRDefault="00EE45E2">
                            <w:pPr>
                              <w:rPr>
                                <w:lang w:val="en-GB"/>
                              </w:rPr>
                            </w:pPr>
                          </w:p>
                          <w:p w14:paraId="316C8445" w14:textId="342BAFE8" w:rsidR="00EE45E2" w:rsidRPr="002214AC" w:rsidRDefault="00EE45E2" w:rsidP="00C11701">
                            <w:pPr>
                              <w:jc w:val="both"/>
                              <w:rPr>
                                <w:i/>
                              </w:rPr>
                            </w:pPr>
                            <w:r w:rsidRPr="002214AC">
                              <w:rPr>
                                <w:i/>
                                <w:sz w:val="28"/>
                              </w:rPr>
                              <w:t>A joint proposal elaborated by Fundação Amazonas Sustentável (project proponent and general coordinator), State Secretary of Environment of Amazonas (project supervisor), Instituto de Conservação e Desenvolvimento Sustentável da Amazônia, Fundação Vitória Amazônica, and Conservação Internacional-Brasil (project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5314C" id="_x0000_t202" coordsize="21600,21600" o:spt="202" path="m,l,21600r21600,l21600,xe">
                <v:stroke joinstyle="miter"/>
                <v:path gradientshapeok="t" o:connecttype="rect"/>
              </v:shapetype>
              <v:shape id="Caixa de Texto 5" o:spid="_x0000_s1026" type="#_x0000_t202" style="position:absolute;left:0;text-align:left;margin-left:-77.9pt;margin-top:248.7pt;width:581.7pt;height:33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" fillcolor="white [3201]" stroked="f" strokeweight=".5pt">
                <v:textbox>
                  <w:txbxContent>
                    <w:p w14:paraId="2A9CAF71" w14:textId="6875DB99" w:rsidR="00EE45E2" w:rsidRPr="00B11C13" w:rsidRDefault="00EE45E2" w:rsidP="00C11701">
                      <w:pPr>
                        <w:jc w:val="both"/>
                        <w:rPr>
                          <w:b/>
                          <w:sz w:val="72"/>
                          <w:lang w:val="en-US"/>
                        </w:rPr>
                      </w:pPr>
                      <w:r w:rsidRPr="00B11C13">
                        <w:rPr>
                          <w:b/>
                          <w:sz w:val="72"/>
                          <w:lang w:val="en-US"/>
                        </w:rPr>
                        <w:t xml:space="preserve">Regulation and Implementation of the </w:t>
                      </w:r>
                      <w:r>
                        <w:rPr>
                          <w:b/>
                          <w:sz w:val="72"/>
                          <w:lang w:val="en-US"/>
                        </w:rPr>
                        <w:t>State</w:t>
                      </w:r>
                      <w:r w:rsidRPr="00B11C13">
                        <w:rPr>
                          <w:b/>
                          <w:sz w:val="72"/>
                          <w:lang w:val="en-US"/>
                        </w:rPr>
                        <w:t xml:space="preserve"> Environmental Services Law of Amazonas</w:t>
                      </w:r>
                      <w:r>
                        <w:rPr>
                          <w:b/>
                          <w:sz w:val="72"/>
                          <w:lang w:val="en-US"/>
                        </w:rPr>
                        <w:t>, Brazil</w:t>
                      </w:r>
                    </w:p>
                    <w:p w14:paraId="2C256D0D" w14:textId="4301A6E5" w:rsidR="00EE45E2" w:rsidRDefault="00EE45E2">
                      <w:pPr>
                        <w:rPr>
                          <w:lang w:val="en-US"/>
                        </w:rPr>
                      </w:pPr>
                    </w:p>
                    <w:p w14:paraId="4B6B58DC" w14:textId="4B326AE6" w:rsidR="00EE45E2" w:rsidRPr="00C11701" w:rsidRDefault="00EE45E2" w:rsidP="00C11701">
                      <w:pPr>
                        <w:jc w:val="center"/>
                        <w:rPr>
                          <w:sz w:val="28"/>
                          <w:lang w:val="en-GB"/>
                        </w:rPr>
                      </w:pPr>
                      <w:r w:rsidRPr="00C11701">
                        <w:rPr>
                          <w:sz w:val="32"/>
                          <w:lang w:val="en-GB"/>
                        </w:rPr>
                        <w:t>Funding Window A: Jurisdictional Strategies and Investment Plans</w:t>
                      </w:r>
                    </w:p>
                    <w:p w14:paraId="5C445236" w14:textId="77777777" w:rsidR="00EE45E2" w:rsidRPr="00C11701" w:rsidRDefault="00EE45E2">
                      <w:pPr>
                        <w:rPr>
                          <w:lang w:val="en-GB"/>
                        </w:rPr>
                      </w:pPr>
                    </w:p>
                    <w:p w14:paraId="316C8445" w14:textId="342BAFE8" w:rsidR="00EE45E2" w:rsidRPr="002214AC" w:rsidRDefault="00EE45E2" w:rsidP="00C11701">
                      <w:pPr>
                        <w:jc w:val="both"/>
                        <w:rPr>
                          <w:i/>
                        </w:rPr>
                      </w:pPr>
                      <w:r w:rsidRPr="002214AC">
                        <w:rPr>
                          <w:i/>
                          <w:sz w:val="28"/>
                        </w:rPr>
                        <w:t>A joint proposal elaborated by Fundação Amazonas Sustentável (project proponent and general coordinator), State Secretary of Environment of Amazonas (project supervisor), Instituto de Conservação e Desenvolvimento Sustentável da Amazônia, Fundação Vitória Amazônica, and Conservação Internacional-Brasil (project partners)</w:t>
                      </w:r>
                    </w:p>
                  </w:txbxContent>
                </v:textbox>
              </v:shape>
            </w:pict>
          </mc:Fallback>
        </mc:AlternateContent>
      </w:r>
      <w:r w:rsidR="00146940" w:rsidRPr="00272D5C">
        <w:rPr>
          <w:lang w:val="en-GB"/>
        </w:rPr>
        <w:br w:type="page"/>
      </w:r>
    </w:p>
    <w:sdt>
      <w:sdtPr>
        <w:rPr>
          <w:rFonts w:asciiTheme="minorHAnsi" w:eastAsiaTheme="minorHAnsi" w:hAnsiTheme="minorHAnsi" w:cstheme="minorBidi"/>
          <w:sz w:val="22"/>
          <w:szCs w:val="22"/>
          <w:shd w:val="clear" w:color="auto" w:fill="auto"/>
          <w:lang w:val="en-GB" w:eastAsia="en-US"/>
        </w:rPr>
        <w:id w:val="1175450944"/>
        <w:docPartObj>
          <w:docPartGallery w:val="Table of Contents"/>
          <w:docPartUnique/>
        </w:docPartObj>
      </w:sdtPr>
      <w:sdtEndPr>
        <w:rPr>
          <w:b/>
          <w:bCs/>
        </w:rPr>
      </w:sdtEndPr>
      <w:sdtContent>
        <w:p w14:paraId="74E0D21D" w14:textId="77777777" w:rsidR="00146940" w:rsidRPr="00272D5C" w:rsidRDefault="00146940" w:rsidP="007F28CF">
          <w:pPr>
            <w:pStyle w:val="TOCHeading"/>
            <w:jc w:val="both"/>
            <w:rPr>
              <w:lang w:val="en-GB"/>
            </w:rPr>
          </w:pPr>
          <w:r w:rsidRPr="00272D5C">
            <w:rPr>
              <w:lang w:val="en-GB"/>
            </w:rPr>
            <w:t>TABLE OF CONTENTS</w:t>
          </w:r>
        </w:p>
        <w:p w14:paraId="34EF1878" w14:textId="6E648B41" w:rsidR="00C35EAD" w:rsidRDefault="00146940">
          <w:pPr>
            <w:pStyle w:val="TOC1"/>
            <w:tabs>
              <w:tab w:val="right" w:leader="dot" w:pos="8494"/>
            </w:tabs>
            <w:rPr>
              <w:rFonts w:eastAsiaTheme="minorEastAsia"/>
              <w:noProof/>
              <w:lang w:eastAsia="pt-BR"/>
            </w:rPr>
          </w:pPr>
          <w:r w:rsidRPr="00272D5C">
            <w:rPr>
              <w:lang w:val="en-GB"/>
            </w:rPr>
            <w:fldChar w:fldCharType="begin"/>
          </w:r>
          <w:r w:rsidRPr="00272D5C">
            <w:rPr>
              <w:lang w:val="en-GB"/>
            </w:rPr>
            <w:instrText xml:space="preserve"> TOC \o "1-3" \h \z \u </w:instrText>
          </w:r>
          <w:r w:rsidRPr="00272D5C">
            <w:rPr>
              <w:lang w:val="en-GB"/>
            </w:rPr>
            <w:fldChar w:fldCharType="separate"/>
          </w:r>
          <w:hyperlink w:anchor="_Toc517617408" w:history="1">
            <w:r w:rsidR="00C35EAD" w:rsidRPr="00C453F8">
              <w:rPr>
                <w:rStyle w:val="Hyperlink"/>
                <w:noProof/>
                <w:lang w:val="en-GB"/>
              </w:rPr>
              <w:t>General Information</w:t>
            </w:r>
            <w:r w:rsidR="00C35EAD">
              <w:rPr>
                <w:noProof/>
                <w:webHidden/>
              </w:rPr>
              <w:tab/>
            </w:r>
            <w:r w:rsidR="00C35EAD">
              <w:rPr>
                <w:noProof/>
                <w:webHidden/>
              </w:rPr>
              <w:fldChar w:fldCharType="begin"/>
            </w:r>
            <w:r w:rsidR="00C35EAD">
              <w:rPr>
                <w:noProof/>
                <w:webHidden/>
              </w:rPr>
              <w:instrText xml:space="preserve"> PAGEREF _Toc517617408 \h </w:instrText>
            </w:r>
            <w:r w:rsidR="00C35EAD">
              <w:rPr>
                <w:noProof/>
                <w:webHidden/>
              </w:rPr>
            </w:r>
            <w:r w:rsidR="00C35EAD">
              <w:rPr>
                <w:noProof/>
                <w:webHidden/>
              </w:rPr>
              <w:fldChar w:fldCharType="separate"/>
            </w:r>
            <w:r w:rsidR="00AB2EB2">
              <w:rPr>
                <w:noProof/>
                <w:webHidden/>
              </w:rPr>
              <w:t>3</w:t>
            </w:r>
            <w:r w:rsidR="00C35EAD">
              <w:rPr>
                <w:noProof/>
                <w:webHidden/>
              </w:rPr>
              <w:fldChar w:fldCharType="end"/>
            </w:r>
          </w:hyperlink>
        </w:p>
        <w:p w14:paraId="538A900E" w14:textId="6CDC68D0" w:rsidR="00C35EAD" w:rsidRDefault="009060CD">
          <w:pPr>
            <w:pStyle w:val="TOC1"/>
            <w:tabs>
              <w:tab w:val="right" w:leader="dot" w:pos="8494"/>
            </w:tabs>
            <w:rPr>
              <w:rFonts w:eastAsiaTheme="minorEastAsia"/>
              <w:noProof/>
              <w:lang w:eastAsia="pt-BR"/>
            </w:rPr>
          </w:pPr>
          <w:hyperlink w:anchor="_Toc517617409" w:history="1">
            <w:r w:rsidR="00C35EAD" w:rsidRPr="00C453F8">
              <w:rPr>
                <w:rStyle w:val="Hyperlink"/>
                <w:noProof/>
                <w:lang w:val="en-GB"/>
              </w:rPr>
              <w:t>Applicant contact details</w:t>
            </w:r>
            <w:r w:rsidR="00C35EAD">
              <w:rPr>
                <w:noProof/>
                <w:webHidden/>
              </w:rPr>
              <w:tab/>
            </w:r>
            <w:r w:rsidR="00C35EAD">
              <w:rPr>
                <w:noProof/>
                <w:webHidden/>
              </w:rPr>
              <w:fldChar w:fldCharType="begin"/>
            </w:r>
            <w:r w:rsidR="00C35EAD">
              <w:rPr>
                <w:noProof/>
                <w:webHidden/>
              </w:rPr>
              <w:instrText xml:space="preserve"> PAGEREF _Toc517617409 \h </w:instrText>
            </w:r>
            <w:r w:rsidR="00C35EAD">
              <w:rPr>
                <w:noProof/>
                <w:webHidden/>
              </w:rPr>
            </w:r>
            <w:r w:rsidR="00C35EAD">
              <w:rPr>
                <w:noProof/>
                <w:webHidden/>
              </w:rPr>
              <w:fldChar w:fldCharType="separate"/>
            </w:r>
            <w:r w:rsidR="00AB2EB2">
              <w:rPr>
                <w:noProof/>
                <w:webHidden/>
              </w:rPr>
              <w:t>3</w:t>
            </w:r>
            <w:r w:rsidR="00C35EAD">
              <w:rPr>
                <w:noProof/>
                <w:webHidden/>
              </w:rPr>
              <w:fldChar w:fldCharType="end"/>
            </w:r>
          </w:hyperlink>
        </w:p>
        <w:p w14:paraId="05C54879" w14:textId="520E9C4B" w:rsidR="00C35EAD" w:rsidRDefault="009060CD">
          <w:pPr>
            <w:pStyle w:val="TOC1"/>
            <w:tabs>
              <w:tab w:val="right" w:leader="dot" w:pos="8494"/>
            </w:tabs>
            <w:rPr>
              <w:rFonts w:eastAsiaTheme="minorEastAsia"/>
              <w:noProof/>
              <w:lang w:eastAsia="pt-BR"/>
            </w:rPr>
          </w:pPr>
          <w:hyperlink w:anchor="_Toc517617410" w:history="1">
            <w:r w:rsidR="00C35EAD" w:rsidRPr="00C453F8">
              <w:rPr>
                <w:rStyle w:val="Hyperlink"/>
                <w:noProof/>
                <w:lang w:val="en-GB"/>
              </w:rPr>
              <w:t>Jurisdiction contact details</w:t>
            </w:r>
            <w:r w:rsidR="00C35EAD">
              <w:rPr>
                <w:noProof/>
                <w:webHidden/>
              </w:rPr>
              <w:tab/>
            </w:r>
            <w:r w:rsidR="00C35EAD">
              <w:rPr>
                <w:noProof/>
                <w:webHidden/>
              </w:rPr>
              <w:fldChar w:fldCharType="begin"/>
            </w:r>
            <w:r w:rsidR="00C35EAD">
              <w:rPr>
                <w:noProof/>
                <w:webHidden/>
              </w:rPr>
              <w:instrText xml:space="preserve"> PAGEREF _Toc517617410 \h </w:instrText>
            </w:r>
            <w:r w:rsidR="00C35EAD">
              <w:rPr>
                <w:noProof/>
                <w:webHidden/>
              </w:rPr>
            </w:r>
            <w:r w:rsidR="00C35EAD">
              <w:rPr>
                <w:noProof/>
                <w:webHidden/>
              </w:rPr>
              <w:fldChar w:fldCharType="separate"/>
            </w:r>
            <w:r w:rsidR="00AB2EB2">
              <w:rPr>
                <w:noProof/>
                <w:webHidden/>
              </w:rPr>
              <w:t>3</w:t>
            </w:r>
            <w:r w:rsidR="00C35EAD">
              <w:rPr>
                <w:noProof/>
                <w:webHidden/>
              </w:rPr>
              <w:fldChar w:fldCharType="end"/>
            </w:r>
          </w:hyperlink>
        </w:p>
        <w:p w14:paraId="7C7A0632" w14:textId="20469B85" w:rsidR="00C35EAD" w:rsidRDefault="009060CD">
          <w:pPr>
            <w:pStyle w:val="TOC1"/>
            <w:tabs>
              <w:tab w:val="right" w:leader="dot" w:pos="8494"/>
            </w:tabs>
            <w:rPr>
              <w:rFonts w:eastAsiaTheme="minorEastAsia"/>
              <w:noProof/>
              <w:lang w:eastAsia="pt-BR"/>
            </w:rPr>
          </w:pPr>
          <w:hyperlink w:anchor="_Toc517617411" w:history="1">
            <w:r w:rsidR="00C35EAD" w:rsidRPr="00C453F8">
              <w:rPr>
                <w:rStyle w:val="Hyperlink"/>
                <w:noProof/>
                <w:lang w:val="en-GB"/>
              </w:rPr>
              <w:t>1. Rationale and Approach</w:t>
            </w:r>
            <w:r w:rsidR="00C35EAD">
              <w:rPr>
                <w:noProof/>
                <w:webHidden/>
              </w:rPr>
              <w:tab/>
            </w:r>
            <w:r w:rsidR="00C35EAD">
              <w:rPr>
                <w:noProof/>
                <w:webHidden/>
              </w:rPr>
              <w:fldChar w:fldCharType="begin"/>
            </w:r>
            <w:r w:rsidR="00C35EAD">
              <w:rPr>
                <w:noProof/>
                <w:webHidden/>
              </w:rPr>
              <w:instrText xml:space="preserve"> PAGEREF _Toc517617411 \h </w:instrText>
            </w:r>
            <w:r w:rsidR="00C35EAD">
              <w:rPr>
                <w:noProof/>
                <w:webHidden/>
              </w:rPr>
            </w:r>
            <w:r w:rsidR="00C35EAD">
              <w:rPr>
                <w:noProof/>
                <w:webHidden/>
              </w:rPr>
              <w:fldChar w:fldCharType="separate"/>
            </w:r>
            <w:r w:rsidR="00AB2EB2">
              <w:rPr>
                <w:noProof/>
                <w:webHidden/>
              </w:rPr>
              <w:t>4</w:t>
            </w:r>
            <w:r w:rsidR="00C35EAD">
              <w:rPr>
                <w:noProof/>
                <w:webHidden/>
              </w:rPr>
              <w:fldChar w:fldCharType="end"/>
            </w:r>
          </w:hyperlink>
        </w:p>
        <w:p w14:paraId="704CADDD" w14:textId="6EB5A048" w:rsidR="00C35EAD" w:rsidRDefault="009060CD">
          <w:pPr>
            <w:pStyle w:val="TOC2"/>
            <w:tabs>
              <w:tab w:val="right" w:leader="dot" w:pos="8494"/>
            </w:tabs>
            <w:rPr>
              <w:rFonts w:eastAsiaTheme="minorEastAsia"/>
              <w:noProof/>
              <w:lang w:eastAsia="pt-BR"/>
            </w:rPr>
          </w:pPr>
          <w:hyperlink w:anchor="_Toc517617412" w:history="1">
            <w:r w:rsidR="00C35EAD" w:rsidRPr="00C453F8">
              <w:rPr>
                <w:rStyle w:val="Hyperlink"/>
                <w:noProof/>
                <w:lang w:val="en-GB"/>
              </w:rPr>
              <w:t>1.1. Summary</w:t>
            </w:r>
            <w:r w:rsidR="00C35EAD">
              <w:rPr>
                <w:noProof/>
                <w:webHidden/>
              </w:rPr>
              <w:tab/>
            </w:r>
            <w:r w:rsidR="00C35EAD">
              <w:rPr>
                <w:noProof/>
                <w:webHidden/>
              </w:rPr>
              <w:fldChar w:fldCharType="begin"/>
            </w:r>
            <w:r w:rsidR="00C35EAD">
              <w:rPr>
                <w:noProof/>
                <w:webHidden/>
              </w:rPr>
              <w:instrText xml:space="preserve"> PAGEREF _Toc517617412 \h </w:instrText>
            </w:r>
            <w:r w:rsidR="00C35EAD">
              <w:rPr>
                <w:noProof/>
                <w:webHidden/>
              </w:rPr>
            </w:r>
            <w:r w:rsidR="00C35EAD">
              <w:rPr>
                <w:noProof/>
                <w:webHidden/>
              </w:rPr>
              <w:fldChar w:fldCharType="separate"/>
            </w:r>
            <w:r w:rsidR="00AB2EB2">
              <w:rPr>
                <w:noProof/>
                <w:webHidden/>
              </w:rPr>
              <w:t>4</w:t>
            </w:r>
            <w:r w:rsidR="00C35EAD">
              <w:rPr>
                <w:noProof/>
                <w:webHidden/>
              </w:rPr>
              <w:fldChar w:fldCharType="end"/>
            </w:r>
          </w:hyperlink>
        </w:p>
        <w:p w14:paraId="48B6E14F" w14:textId="5B92DE7B" w:rsidR="00C35EAD" w:rsidRDefault="009060CD">
          <w:pPr>
            <w:pStyle w:val="TOC2"/>
            <w:tabs>
              <w:tab w:val="right" w:leader="dot" w:pos="8494"/>
            </w:tabs>
            <w:rPr>
              <w:rFonts w:eastAsiaTheme="minorEastAsia"/>
              <w:noProof/>
              <w:lang w:eastAsia="pt-BR"/>
            </w:rPr>
          </w:pPr>
          <w:hyperlink w:anchor="_Toc517617413" w:history="1">
            <w:r w:rsidR="00C35EAD" w:rsidRPr="00C453F8">
              <w:rPr>
                <w:rStyle w:val="Hyperlink"/>
                <w:noProof/>
                <w:lang w:val="en-GB"/>
              </w:rPr>
              <w:t>1.2. Self-Assessment</w:t>
            </w:r>
            <w:r w:rsidR="00C35EAD">
              <w:rPr>
                <w:noProof/>
                <w:webHidden/>
              </w:rPr>
              <w:tab/>
            </w:r>
            <w:r w:rsidR="00C35EAD">
              <w:rPr>
                <w:noProof/>
                <w:webHidden/>
              </w:rPr>
              <w:fldChar w:fldCharType="begin"/>
            </w:r>
            <w:r w:rsidR="00C35EAD">
              <w:rPr>
                <w:noProof/>
                <w:webHidden/>
              </w:rPr>
              <w:instrText xml:space="preserve"> PAGEREF _Toc517617413 \h </w:instrText>
            </w:r>
            <w:r w:rsidR="00C35EAD">
              <w:rPr>
                <w:noProof/>
                <w:webHidden/>
              </w:rPr>
            </w:r>
            <w:r w:rsidR="00C35EAD">
              <w:rPr>
                <w:noProof/>
                <w:webHidden/>
              </w:rPr>
              <w:fldChar w:fldCharType="separate"/>
            </w:r>
            <w:r w:rsidR="00AB2EB2">
              <w:rPr>
                <w:noProof/>
                <w:webHidden/>
              </w:rPr>
              <w:t>5</w:t>
            </w:r>
            <w:r w:rsidR="00C35EAD">
              <w:rPr>
                <w:noProof/>
                <w:webHidden/>
              </w:rPr>
              <w:fldChar w:fldCharType="end"/>
            </w:r>
          </w:hyperlink>
        </w:p>
        <w:p w14:paraId="2AEE6E70" w14:textId="1027FF12" w:rsidR="00C35EAD" w:rsidRDefault="009060CD">
          <w:pPr>
            <w:pStyle w:val="TOC2"/>
            <w:tabs>
              <w:tab w:val="right" w:leader="dot" w:pos="8494"/>
            </w:tabs>
            <w:rPr>
              <w:rFonts w:eastAsiaTheme="minorEastAsia"/>
              <w:noProof/>
              <w:lang w:eastAsia="pt-BR"/>
            </w:rPr>
          </w:pPr>
          <w:hyperlink w:anchor="_Toc517617414" w:history="1">
            <w:r w:rsidR="00C35EAD" w:rsidRPr="00C453F8">
              <w:rPr>
                <w:rStyle w:val="Hyperlink"/>
                <w:noProof/>
                <w:lang w:val="en-GB"/>
              </w:rPr>
              <w:t>1.3. Strategic Opportunities</w:t>
            </w:r>
            <w:r w:rsidR="00C35EAD">
              <w:rPr>
                <w:noProof/>
                <w:webHidden/>
              </w:rPr>
              <w:tab/>
            </w:r>
            <w:r w:rsidR="00C35EAD">
              <w:rPr>
                <w:noProof/>
                <w:webHidden/>
              </w:rPr>
              <w:fldChar w:fldCharType="begin"/>
            </w:r>
            <w:r w:rsidR="00C35EAD">
              <w:rPr>
                <w:noProof/>
                <w:webHidden/>
              </w:rPr>
              <w:instrText xml:space="preserve"> PAGEREF _Toc517617414 \h </w:instrText>
            </w:r>
            <w:r w:rsidR="00C35EAD">
              <w:rPr>
                <w:noProof/>
                <w:webHidden/>
              </w:rPr>
            </w:r>
            <w:r w:rsidR="00C35EAD">
              <w:rPr>
                <w:noProof/>
                <w:webHidden/>
              </w:rPr>
              <w:fldChar w:fldCharType="separate"/>
            </w:r>
            <w:r w:rsidR="00AB2EB2">
              <w:rPr>
                <w:noProof/>
                <w:webHidden/>
              </w:rPr>
              <w:t>13</w:t>
            </w:r>
            <w:r w:rsidR="00C35EAD">
              <w:rPr>
                <w:noProof/>
                <w:webHidden/>
              </w:rPr>
              <w:fldChar w:fldCharType="end"/>
            </w:r>
          </w:hyperlink>
        </w:p>
        <w:p w14:paraId="180F9741" w14:textId="31DAFFF6" w:rsidR="00C35EAD" w:rsidRDefault="009060CD">
          <w:pPr>
            <w:pStyle w:val="TOC2"/>
            <w:tabs>
              <w:tab w:val="right" w:leader="dot" w:pos="8494"/>
            </w:tabs>
            <w:rPr>
              <w:rFonts w:eastAsiaTheme="minorEastAsia"/>
              <w:noProof/>
              <w:lang w:eastAsia="pt-BR"/>
            </w:rPr>
          </w:pPr>
          <w:hyperlink w:anchor="_Toc517617415" w:history="1">
            <w:r w:rsidR="00C35EAD" w:rsidRPr="00C453F8">
              <w:rPr>
                <w:rStyle w:val="Hyperlink"/>
                <w:noProof/>
                <w:lang w:val="en-GB"/>
              </w:rPr>
              <w:t>1.4. Objectives and Expected Results</w:t>
            </w:r>
            <w:r w:rsidR="00C35EAD">
              <w:rPr>
                <w:noProof/>
                <w:webHidden/>
              </w:rPr>
              <w:tab/>
            </w:r>
            <w:r w:rsidR="00C35EAD">
              <w:rPr>
                <w:noProof/>
                <w:webHidden/>
              </w:rPr>
              <w:fldChar w:fldCharType="begin"/>
            </w:r>
            <w:r w:rsidR="00C35EAD">
              <w:rPr>
                <w:noProof/>
                <w:webHidden/>
              </w:rPr>
              <w:instrText xml:space="preserve"> PAGEREF _Toc517617415 \h </w:instrText>
            </w:r>
            <w:r w:rsidR="00C35EAD">
              <w:rPr>
                <w:noProof/>
                <w:webHidden/>
              </w:rPr>
            </w:r>
            <w:r w:rsidR="00C35EAD">
              <w:rPr>
                <w:noProof/>
                <w:webHidden/>
              </w:rPr>
              <w:fldChar w:fldCharType="separate"/>
            </w:r>
            <w:r w:rsidR="00AB2EB2">
              <w:rPr>
                <w:noProof/>
                <w:webHidden/>
              </w:rPr>
              <w:t>15</w:t>
            </w:r>
            <w:r w:rsidR="00C35EAD">
              <w:rPr>
                <w:noProof/>
                <w:webHidden/>
              </w:rPr>
              <w:fldChar w:fldCharType="end"/>
            </w:r>
          </w:hyperlink>
        </w:p>
        <w:p w14:paraId="292A66EA" w14:textId="6EFCB206" w:rsidR="00C35EAD" w:rsidRDefault="009060CD">
          <w:pPr>
            <w:pStyle w:val="TOC2"/>
            <w:tabs>
              <w:tab w:val="right" w:leader="dot" w:pos="8494"/>
            </w:tabs>
            <w:rPr>
              <w:rFonts w:eastAsiaTheme="minorEastAsia"/>
              <w:noProof/>
              <w:lang w:eastAsia="pt-BR"/>
            </w:rPr>
          </w:pPr>
          <w:hyperlink w:anchor="_Toc517617416" w:history="1">
            <w:r w:rsidR="00C35EAD" w:rsidRPr="00C453F8">
              <w:rPr>
                <w:rStyle w:val="Hyperlink"/>
                <w:noProof/>
                <w:lang w:val="en-GB"/>
              </w:rPr>
              <w:t>1.5. Description of Activities</w:t>
            </w:r>
            <w:r w:rsidR="00C35EAD">
              <w:rPr>
                <w:noProof/>
                <w:webHidden/>
              </w:rPr>
              <w:tab/>
            </w:r>
            <w:r w:rsidR="00C35EAD">
              <w:rPr>
                <w:noProof/>
                <w:webHidden/>
              </w:rPr>
              <w:fldChar w:fldCharType="begin"/>
            </w:r>
            <w:r w:rsidR="00C35EAD">
              <w:rPr>
                <w:noProof/>
                <w:webHidden/>
              </w:rPr>
              <w:instrText xml:space="preserve"> PAGEREF _Toc517617416 \h </w:instrText>
            </w:r>
            <w:r w:rsidR="00C35EAD">
              <w:rPr>
                <w:noProof/>
                <w:webHidden/>
              </w:rPr>
            </w:r>
            <w:r w:rsidR="00C35EAD">
              <w:rPr>
                <w:noProof/>
                <w:webHidden/>
              </w:rPr>
              <w:fldChar w:fldCharType="separate"/>
            </w:r>
            <w:r w:rsidR="00AB2EB2">
              <w:rPr>
                <w:noProof/>
                <w:webHidden/>
              </w:rPr>
              <w:t>17</w:t>
            </w:r>
            <w:r w:rsidR="00C35EAD">
              <w:rPr>
                <w:noProof/>
                <w:webHidden/>
              </w:rPr>
              <w:fldChar w:fldCharType="end"/>
            </w:r>
          </w:hyperlink>
        </w:p>
        <w:p w14:paraId="5ABAF1BA" w14:textId="7C46E902" w:rsidR="00C35EAD" w:rsidRDefault="009060CD">
          <w:pPr>
            <w:pStyle w:val="TOC2"/>
            <w:tabs>
              <w:tab w:val="right" w:leader="dot" w:pos="8494"/>
            </w:tabs>
            <w:rPr>
              <w:rFonts w:eastAsiaTheme="minorEastAsia"/>
              <w:noProof/>
              <w:lang w:eastAsia="pt-BR"/>
            </w:rPr>
          </w:pPr>
          <w:hyperlink w:anchor="_Toc517617417" w:history="1">
            <w:r w:rsidR="00C35EAD" w:rsidRPr="00C453F8">
              <w:rPr>
                <w:rStyle w:val="Hyperlink"/>
                <w:noProof/>
                <w:lang w:val="en-GB"/>
              </w:rPr>
              <w:t>1.6. Implementation plan and Timeframe</w:t>
            </w:r>
            <w:r w:rsidR="00C35EAD">
              <w:rPr>
                <w:noProof/>
                <w:webHidden/>
              </w:rPr>
              <w:tab/>
            </w:r>
            <w:r w:rsidR="00C35EAD">
              <w:rPr>
                <w:noProof/>
                <w:webHidden/>
              </w:rPr>
              <w:fldChar w:fldCharType="begin"/>
            </w:r>
            <w:r w:rsidR="00C35EAD">
              <w:rPr>
                <w:noProof/>
                <w:webHidden/>
              </w:rPr>
              <w:instrText xml:space="preserve"> PAGEREF _Toc517617417 \h </w:instrText>
            </w:r>
            <w:r w:rsidR="00C35EAD">
              <w:rPr>
                <w:noProof/>
                <w:webHidden/>
              </w:rPr>
            </w:r>
            <w:r w:rsidR="00C35EAD">
              <w:rPr>
                <w:noProof/>
                <w:webHidden/>
              </w:rPr>
              <w:fldChar w:fldCharType="separate"/>
            </w:r>
            <w:r w:rsidR="00AB2EB2">
              <w:rPr>
                <w:noProof/>
                <w:webHidden/>
              </w:rPr>
              <w:t>19</w:t>
            </w:r>
            <w:r w:rsidR="00C35EAD">
              <w:rPr>
                <w:noProof/>
                <w:webHidden/>
              </w:rPr>
              <w:fldChar w:fldCharType="end"/>
            </w:r>
          </w:hyperlink>
        </w:p>
        <w:p w14:paraId="50D85ACA" w14:textId="2EA87612" w:rsidR="00C35EAD" w:rsidRDefault="009060CD">
          <w:pPr>
            <w:pStyle w:val="TOC2"/>
            <w:tabs>
              <w:tab w:val="right" w:leader="dot" w:pos="8494"/>
            </w:tabs>
            <w:rPr>
              <w:rFonts w:eastAsiaTheme="minorEastAsia"/>
              <w:noProof/>
              <w:lang w:eastAsia="pt-BR"/>
            </w:rPr>
          </w:pPr>
          <w:hyperlink w:anchor="_Toc517617418" w:history="1">
            <w:r w:rsidR="00C35EAD" w:rsidRPr="00C453F8">
              <w:rPr>
                <w:rStyle w:val="Hyperlink"/>
                <w:noProof/>
                <w:lang w:val="en-GB"/>
              </w:rPr>
              <w:t>1.7.Cross-Cutting Themes</w:t>
            </w:r>
            <w:r w:rsidR="00C35EAD">
              <w:rPr>
                <w:noProof/>
                <w:webHidden/>
              </w:rPr>
              <w:tab/>
            </w:r>
            <w:r w:rsidR="00C35EAD">
              <w:rPr>
                <w:noProof/>
                <w:webHidden/>
              </w:rPr>
              <w:fldChar w:fldCharType="begin"/>
            </w:r>
            <w:r w:rsidR="00C35EAD">
              <w:rPr>
                <w:noProof/>
                <w:webHidden/>
              </w:rPr>
              <w:instrText xml:space="preserve"> PAGEREF _Toc517617418 \h </w:instrText>
            </w:r>
            <w:r w:rsidR="00C35EAD">
              <w:rPr>
                <w:noProof/>
                <w:webHidden/>
              </w:rPr>
            </w:r>
            <w:r w:rsidR="00C35EAD">
              <w:rPr>
                <w:noProof/>
                <w:webHidden/>
              </w:rPr>
              <w:fldChar w:fldCharType="separate"/>
            </w:r>
            <w:r w:rsidR="00AB2EB2">
              <w:rPr>
                <w:noProof/>
                <w:webHidden/>
              </w:rPr>
              <w:t>21</w:t>
            </w:r>
            <w:r w:rsidR="00C35EAD">
              <w:rPr>
                <w:noProof/>
                <w:webHidden/>
              </w:rPr>
              <w:fldChar w:fldCharType="end"/>
            </w:r>
          </w:hyperlink>
        </w:p>
        <w:p w14:paraId="171FD8A4" w14:textId="45BBAD26" w:rsidR="00C35EAD" w:rsidRDefault="009060CD">
          <w:pPr>
            <w:pStyle w:val="TOC1"/>
            <w:tabs>
              <w:tab w:val="right" w:leader="dot" w:pos="8494"/>
            </w:tabs>
            <w:rPr>
              <w:rFonts w:eastAsiaTheme="minorEastAsia"/>
              <w:noProof/>
              <w:lang w:eastAsia="pt-BR"/>
            </w:rPr>
          </w:pPr>
          <w:hyperlink w:anchor="_Toc517617419" w:history="1">
            <w:r w:rsidR="00C35EAD" w:rsidRPr="00C453F8">
              <w:rPr>
                <w:rStyle w:val="Hyperlink"/>
                <w:noProof/>
                <w:lang w:val="en-GB"/>
              </w:rPr>
              <w:t>2. Risks, Monitoring and Evaluation</w:t>
            </w:r>
            <w:r w:rsidR="00C35EAD">
              <w:rPr>
                <w:noProof/>
                <w:webHidden/>
              </w:rPr>
              <w:tab/>
            </w:r>
            <w:r w:rsidR="00C35EAD">
              <w:rPr>
                <w:noProof/>
                <w:webHidden/>
              </w:rPr>
              <w:fldChar w:fldCharType="begin"/>
            </w:r>
            <w:r w:rsidR="00C35EAD">
              <w:rPr>
                <w:noProof/>
                <w:webHidden/>
              </w:rPr>
              <w:instrText xml:space="preserve"> PAGEREF _Toc517617419 \h </w:instrText>
            </w:r>
            <w:r w:rsidR="00C35EAD">
              <w:rPr>
                <w:noProof/>
                <w:webHidden/>
              </w:rPr>
            </w:r>
            <w:r w:rsidR="00C35EAD">
              <w:rPr>
                <w:noProof/>
                <w:webHidden/>
              </w:rPr>
              <w:fldChar w:fldCharType="separate"/>
            </w:r>
            <w:r w:rsidR="00AB2EB2">
              <w:rPr>
                <w:noProof/>
                <w:webHidden/>
              </w:rPr>
              <w:t>23</w:t>
            </w:r>
            <w:r w:rsidR="00C35EAD">
              <w:rPr>
                <w:noProof/>
                <w:webHidden/>
              </w:rPr>
              <w:fldChar w:fldCharType="end"/>
            </w:r>
          </w:hyperlink>
        </w:p>
        <w:p w14:paraId="3BC6DC94" w14:textId="13EB3BDE" w:rsidR="00C35EAD" w:rsidRDefault="009060CD">
          <w:pPr>
            <w:pStyle w:val="TOC2"/>
            <w:tabs>
              <w:tab w:val="right" w:leader="dot" w:pos="8494"/>
            </w:tabs>
            <w:rPr>
              <w:rFonts w:eastAsiaTheme="minorEastAsia"/>
              <w:noProof/>
              <w:lang w:eastAsia="pt-BR"/>
            </w:rPr>
          </w:pPr>
          <w:hyperlink w:anchor="_Toc517617420" w:history="1">
            <w:r w:rsidR="00C35EAD" w:rsidRPr="00C453F8">
              <w:rPr>
                <w:rStyle w:val="Hyperlink"/>
                <w:noProof/>
                <w:lang w:val="en-GB"/>
              </w:rPr>
              <w:t>2.1. Risk Management</w:t>
            </w:r>
            <w:r w:rsidR="00C35EAD">
              <w:rPr>
                <w:noProof/>
                <w:webHidden/>
              </w:rPr>
              <w:tab/>
            </w:r>
            <w:r w:rsidR="00C35EAD">
              <w:rPr>
                <w:noProof/>
                <w:webHidden/>
              </w:rPr>
              <w:fldChar w:fldCharType="begin"/>
            </w:r>
            <w:r w:rsidR="00C35EAD">
              <w:rPr>
                <w:noProof/>
                <w:webHidden/>
              </w:rPr>
              <w:instrText xml:space="preserve"> PAGEREF _Toc517617420 \h </w:instrText>
            </w:r>
            <w:r w:rsidR="00C35EAD">
              <w:rPr>
                <w:noProof/>
                <w:webHidden/>
              </w:rPr>
            </w:r>
            <w:r w:rsidR="00C35EAD">
              <w:rPr>
                <w:noProof/>
                <w:webHidden/>
              </w:rPr>
              <w:fldChar w:fldCharType="separate"/>
            </w:r>
            <w:r w:rsidR="00AB2EB2">
              <w:rPr>
                <w:noProof/>
                <w:webHidden/>
              </w:rPr>
              <w:t>23</w:t>
            </w:r>
            <w:r w:rsidR="00C35EAD">
              <w:rPr>
                <w:noProof/>
                <w:webHidden/>
              </w:rPr>
              <w:fldChar w:fldCharType="end"/>
            </w:r>
          </w:hyperlink>
        </w:p>
        <w:p w14:paraId="5708DACD" w14:textId="201A30B5" w:rsidR="00C35EAD" w:rsidRDefault="009060CD">
          <w:pPr>
            <w:pStyle w:val="TOC2"/>
            <w:tabs>
              <w:tab w:val="right" w:leader="dot" w:pos="8494"/>
            </w:tabs>
            <w:rPr>
              <w:rFonts w:eastAsiaTheme="minorEastAsia"/>
              <w:noProof/>
              <w:lang w:eastAsia="pt-BR"/>
            </w:rPr>
          </w:pPr>
          <w:hyperlink w:anchor="_Toc517617421" w:history="1">
            <w:r w:rsidR="00C35EAD" w:rsidRPr="00C453F8">
              <w:rPr>
                <w:rStyle w:val="Hyperlink"/>
                <w:noProof/>
                <w:lang w:val="en-GB"/>
              </w:rPr>
              <w:t>2.2. Monitoring</w:t>
            </w:r>
            <w:r w:rsidR="00C35EAD">
              <w:rPr>
                <w:noProof/>
                <w:webHidden/>
              </w:rPr>
              <w:tab/>
            </w:r>
            <w:r w:rsidR="00C35EAD">
              <w:rPr>
                <w:noProof/>
                <w:webHidden/>
              </w:rPr>
              <w:fldChar w:fldCharType="begin"/>
            </w:r>
            <w:r w:rsidR="00C35EAD">
              <w:rPr>
                <w:noProof/>
                <w:webHidden/>
              </w:rPr>
              <w:instrText xml:space="preserve"> PAGEREF _Toc517617421 \h </w:instrText>
            </w:r>
            <w:r w:rsidR="00C35EAD">
              <w:rPr>
                <w:noProof/>
                <w:webHidden/>
              </w:rPr>
            </w:r>
            <w:r w:rsidR="00C35EAD">
              <w:rPr>
                <w:noProof/>
                <w:webHidden/>
              </w:rPr>
              <w:fldChar w:fldCharType="separate"/>
            </w:r>
            <w:r w:rsidR="00AB2EB2">
              <w:rPr>
                <w:noProof/>
                <w:webHidden/>
              </w:rPr>
              <w:t>24</w:t>
            </w:r>
            <w:r w:rsidR="00C35EAD">
              <w:rPr>
                <w:noProof/>
                <w:webHidden/>
              </w:rPr>
              <w:fldChar w:fldCharType="end"/>
            </w:r>
          </w:hyperlink>
        </w:p>
        <w:p w14:paraId="09BEDDCA" w14:textId="3BB3E20C" w:rsidR="00C35EAD" w:rsidRDefault="009060CD">
          <w:pPr>
            <w:pStyle w:val="TOC2"/>
            <w:tabs>
              <w:tab w:val="right" w:leader="dot" w:pos="8494"/>
            </w:tabs>
            <w:rPr>
              <w:rFonts w:eastAsiaTheme="minorEastAsia"/>
              <w:noProof/>
              <w:lang w:eastAsia="pt-BR"/>
            </w:rPr>
          </w:pPr>
          <w:hyperlink w:anchor="_Toc517617422" w:history="1">
            <w:r w:rsidR="00C35EAD" w:rsidRPr="00C453F8">
              <w:rPr>
                <w:rStyle w:val="Hyperlink"/>
                <w:noProof/>
                <w:lang w:val="en-GB"/>
              </w:rPr>
              <w:t>2.3. Sustainability of Results</w:t>
            </w:r>
            <w:r w:rsidR="00C35EAD">
              <w:rPr>
                <w:noProof/>
                <w:webHidden/>
              </w:rPr>
              <w:tab/>
            </w:r>
            <w:r w:rsidR="00C35EAD">
              <w:rPr>
                <w:noProof/>
                <w:webHidden/>
              </w:rPr>
              <w:fldChar w:fldCharType="begin"/>
            </w:r>
            <w:r w:rsidR="00C35EAD">
              <w:rPr>
                <w:noProof/>
                <w:webHidden/>
              </w:rPr>
              <w:instrText xml:space="preserve"> PAGEREF _Toc517617422 \h </w:instrText>
            </w:r>
            <w:r w:rsidR="00C35EAD">
              <w:rPr>
                <w:noProof/>
                <w:webHidden/>
              </w:rPr>
            </w:r>
            <w:r w:rsidR="00C35EAD">
              <w:rPr>
                <w:noProof/>
                <w:webHidden/>
              </w:rPr>
              <w:fldChar w:fldCharType="separate"/>
            </w:r>
            <w:r w:rsidR="00AB2EB2">
              <w:rPr>
                <w:noProof/>
                <w:webHidden/>
              </w:rPr>
              <w:t>24</w:t>
            </w:r>
            <w:r w:rsidR="00C35EAD">
              <w:rPr>
                <w:noProof/>
                <w:webHidden/>
              </w:rPr>
              <w:fldChar w:fldCharType="end"/>
            </w:r>
          </w:hyperlink>
        </w:p>
        <w:p w14:paraId="7A4F56C3" w14:textId="65D3F0B6" w:rsidR="00C35EAD" w:rsidRDefault="009060CD">
          <w:pPr>
            <w:pStyle w:val="TOC1"/>
            <w:tabs>
              <w:tab w:val="left" w:pos="440"/>
              <w:tab w:val="right" w:leader="dot" w:pos="8494"/>
            </w:tabs>
            <w:rPr>
              <w:rFonts w:eastAsiaTheme="minorEastAsia"/>
              <w:noProof/>
              <w:lang w:eastAsia="pt-BR"/>
            </w:rPr>
          </w:pPr>
          <w:hyperlink w:anchor="_Toc517617423" w:history="1">
            <w:r w:rsidR="00C35EAD" w:rsidRPr="00C453F8">
              <w:rPr>
                <w:rStyle w:val="Hyperlink"/>
                <w:noProof/>
                <w:lang w:val="en-GB"/>
              </w:rPr>
              <w:t>iii.</w:t>
            </w:r>
            <w:r w:rsidR="00C35EAD">
              <w:rPr>
                <w:rFonts w:eastAsiaTheme="minorEastAsia"/>
                <w:noProof/>
                <w:lang w:eastAsia="pt-BR"/>
              </w:rPr>
              <w:tab/>
            </w:r>
            <w:r w:rsidR="00C35EAD" w:rsidRPr="00C453F8">
              <w:rPr>
                <w:rStyle w:val="Hyperlink"/>
                <w:noProof/>
                <w:lang w:val="en-GB"/>
              </w:rPr>
              <w:t>Budget</w:t>
            </w:r>
            <w:r w:rsidR="00C35EAD">
              <w:rPr>
                <w:noProof/>
                <w:webHidden/>
              </w:rPr>
              <w:tab/>
            </w:r>
            <w:r w:rsidR="00C35EAD">
              <w:rPr>
                <w:noProof/>
                <w:webHidden/>
              </w:rPr>
              <w:fldChar w:fldCharType="begin"/>
            </w:r>
            <w:r w:rsidR="00C35EAD">
              <w:rPr>
                <w:noProof/>
                <w:webHidden/>
              </w:rPr>
              <w:instrText xml:space="preserve"> PAGEREF _Toc517617423 \h </w:instrText>
            </w:r>
            <w:r w:rsidR="00C35EAD">
              <w:rPr>
                <w:noProof/>
                <w:webHidden/>
              </w:rPr>
            </w:r>
            <w:r w:rsidR="00C35EAD">
              <w:rPr>
                <w:noProof/>
                <w:webHidden/>
              </w:rPr>
              <w:fldChar w:fldCharType="separate"/>
            </w:r>
            <w:r w:rsidR="00AB2EB2">
              <w:rPr>
                <w:noProof/>
                <w:webHidden/>
              </w:rPr>
              <w:t>26</w:t>
            </w:r>
            <w:r w:rsidR="00C35EAD">
              <w:rPr>
                <w:noProof/>
                <w:webHidden/>
              </w:rPr>
              <w:fldChar w:fldCharType="end"/>
            </w:r>
          </w:hyperlink>
        </w:p>
        <w:p w14:paraId="50C06283" w14:textId="69077AE6" w:rsidR="00C35EAD" w:rsidRDefault="009060CD">
          <w:pPr>
            <w:pStyle w:val="TOC1"/>
            <w:tabs>
              <w:tab w:val="left" w:pos="440"/>
              <w:tab w:val="right" w:leader="dot" w:pos="8494"/>
            </w:tabs>
            <w:rPr>
              <w:rFonts w:eastAsiaTheme="minorEastAsia"/>
              <w:noProof/>
              <w:lang w:eastAsia="pt-BR"/>
            </w:rPr>
          </w:pPr>
          <w:hyperlink w:anchor="_Toc517617424" w:history="1">
            <w:r w:rsidR="00C35EAD" w:rsidRPr="00C453F8">
              <w:rPr>
                <w:rStyle w:val="Hyperlink"/>
                <w:noProof/>
                <w:lang w:val="en-GB"/>
              </w:rPr>
              <w:t>iv.</w:t>
            </w:r>
            <w:r w:rsidR="00C35EAD">
              <w:rPr>
                <w:rFonts w:eastAsiaTheme="minorEastAsia"/>
                <w:noProof/>
                <w:lang w:eastAsia="pt-BR"/>
              </w:rPr>
              <w:tab/>
            </w:r>
            <w:r w:rsidR="00C35EAD" w:rsidRPr="00C453F8">
              <w:rPr>
                <w:rStyle w:val="Hyperlink"/>
                <w:noProof/>
                <w:lang w:val="en-GB"/>
              </w:rPr>
              <w:t>Activity per partner</w:t>
            </w:r>
            <w:r w:rsidR="00C35EAD">
              <w:rPr>
                <w:noProof/>
                <w:webHidden/>
              </w:rPr>
              <w:tab/>
            </w:r>
            <w:r w:rsidR="00C35EAD">
              <w:rPr>
                <w:noProof/>
                <w:webHidden/>
              </w:rPr>
              <w:fldChar w:fldCharType="begin"/>
            </w:r>
            <w:r w:rsidR="00C35EAD">
              <w:rPr>
                <w:noProof/>
                <w:webHidden/>
              </w:rPr>
              <w:instrText xml:space="preserve"> PAGEREF _Toc517617424 \h </w:instrText>
            </w:r>
            <w:r w:rsidR="00C35EAD">
              <w:rPr>
                <w:noProof/>
                <w:webHidden/>
              </w:rPr>
            </w:r>
            <w:r w:rsidR="00C35EAD">
              <w:rPr>
                <w:noProof/>
                <w:webHidden/>
              </w:rPr>
              <w:fldChar w:fldCharType="separate"/>
            </w:r>
            <w:r w:rsidR="00AB2EB2">
              <w:rPr>
                <w:noProof/>
                <w:webHidden/>
              </w:rPr>
              <w:t>31</w:t>
            </w:r>
            <w:r w:rsidR="00C35EAD">
              <w:rPr>
                <w:noProof/>
                <w:webHidden/>
              </w:rPr>
              <w:fldChar w:fldCharType="end"/>
            </w:r>
          </w:hyperlink>
        </w:p>
        <w:p w14:paraId="47CDC3C2" w14:textId="1BAF7383" w:rsidR="00146940" w:rsidRPr="00272D5C" w:rsidRDefault="00146940" w:rsidP="007F28CF">
          <w:pPr>
            <w:jc w:val="both"/>
            <w:rPr>
              <w:b/>
              <w:bCs/>
              <w:lang w:val="en-GB"/>
            </w:rPr>
          </w:pPr>
          <w:r w:rsidRPr="00272D5C">
            <w:rPr>
              <w:b/>
              <w:bCs/>
              <w:lang w:val="en-GB"/>
            </w:rPr>
            <w:fldChar w:fldCharType="end"/>
          </w:r>
        </w:p>
      </w:sdtContent>
    </w:sdt>
    <w:p w14:paraId="40E965FB" w14:textId="77777777" w:rsidR="00146940" w:rsidRPr="00272D5C" w:rsidRDefault="00146940" w:rsidP="007F28CF">
      <w:pPr>
        <w:jc w:val="both"/>
        <w:rPr>
          <w:lang w:val="en-GB"/>
        </w:rPr>
      </w:pPr>
    </w:p>
    <w:p w14:paraId="569D9DBF" w14:textId="253D012B" w:rsidR="00146940" w:rsidRPr="00272D5C" w:rsidRDefault="00146940" w:rsidP="007F28CF">
      <w:pPr>
        <w:jc w:val="both"/>
        <w:rPr>
          <w:rFonts w:asciiTheme="majorHAnsi" w:eastAsiaTheme="majorEastAsia" w:hAnsiTheme="majorHAnsi" w:cstheme="majorBidi"/>
          <w:color w:val="17365D" w:themeColor="text2" w:themeShade="BF"/>
          <w:spacing w:val="5"/>
          <w:kern w:val="28"/>
          <w:sz w:val="52"/>
          <w:szCs w:val="52"/>
          <w:lang w:val="en-GB"/>
        </w:rPr>
      </w:pPr>
      <w:r w:rsidRPr="00272D5C">
        <w:rPr>
          <w:lang w:val="en-GB"/>
        </w:rPr>
        <w:br w:type="page"/>
      </w:r>
    </w:p>
    <w:p w14:paraId="0FA08745" w14:textId="77777777" w:rsidR="006F03DC" w:rsidRPr="00272D5C" w:rsidRDefault="006F03DC" w:rsidP="007F28CF">
      <w:pPr>
        <w:pStyle w:val="Heading1"/>
        <w:jc w:val="both"/>
        <w:rPr>
          <w:lang w:val="en-GB"/>
        </w:rPr>
      </w:pPr>
      <w:bookmarkStart w:id="1" w:name="_Toc517617408"/>
      <w:r w:rsidRPr="00272D5C">
        <w:rPr>
          <w:lang w:val="en-GB"/>
        </w:rPr>
        <w:lastRenderedPageBreak/>
        <w:t>General Information</w:t>
      </w:r>
      <w:bookmarkEnd w:id="1"/>
    </w:p>
    <w:p w14:paraId="1C720E80" w14:textId="77777777" w:rsidR="006F03DC" w:rsidRPr="00272D5C" w:rsidRDefault="006F03DC" w:rsidP="007F28CF">
      <w:pPr>
        <w:tabs>
          <w:tab w:val="left" w:pos="1114"/>
        </w:tabs>
        <w:jc w:val="both"/>
        <w:rPr>
          <w:lang w:val="en-GB"/>
        </w:rPr>
      </w:pPr>
      <w:r w:rsidRPr="00272D5C">
        <w:rPr>
          <w:b/>
          <w:lang w:val="en-GB"/>
        </w:rPr>
        <w:t>Applicant:</w:t>
      </w:r>
      <w:r w:rsidR="00677081" w:rsidRPr="00272D5C">
        <w:rPr>
          <w:lang w:val="en-GB"/>
        </w:rPr>
        <w:t xml:space="preserve"> Fundação Amazonas Sustentável (Sustainable Amazonas Foundation)</w:t>
      </w:r>
    </w:p>
    <w:p w14:paraId="5EA31353" w14:textId="77777777" w:rsidR="006F03DC" w:rsidRPr="00272D5C" w:rsidRDefault="006F03DC" w:rsidP="007F28CF">
      <w:pPr>
        <w:tabs>
          <w:tab w:val="left" w:pos="1114"/>
        </w:tabs>
        <w:jc w:val="both"/>
        <w:rPr>
          <w:lang w:val="en-GB"/>
        </w:rPr>
      </w:pPr>
      <w:r w:rsidRPr="00272D5C">
        <w:rPr>
          <w:b/>
          <w:lang w:val="en-GB"/>
        </w:rPr>
        <w:t>Jurisdiction:</w:t>
      </w:r>
      <w:r w:rsidR="00E46745" w:rsidRPr="00272D5C">
        <w:rPr>
          <w:lang w:val="en-GB"/>
        </w:rPr>
        <w:t xml:space="preserve"> Amazonas, Brazil</w:t>
      </w:r>
    </w:p>
    <w:p w14:paraId="14C7CC42" w14:textId="22F8FFC0" w:rsidR="006F03DC" w:rsidRPr="00272D5C" w:rsidRDefault="006F03DC" w:rsidP="007F28CF">
      <w:pPr>
        <w:tabs>
          <w:tab w:val="left" w:pos="1114"/>
        </w:tabs>
        <w:jc w:val="both"/>
        <w:rPr>
          <w:lang w:val="en-GB"/>
        </w:rPr>
      </w:pPr>
      <w:r w:rsidRPr="00272D5C">
        <w:rPr>
          <w:b/>
          <w:lang w:val="en-GB"/>
        </w:rPr>
        <w:t>Project title:</w:t>
      </w:r>
      <w:r w:rsidR="00E46745" w:rsidRPr="00272D5C">
        <w:rPr>
          <w:lang w:val="en-GB"/>
        </w:rPr>
        <w:t xml:space="preserve"> Regulation and Implementation of the </w:t>
      </w:r>
      <w:r w:rsidR="002214AC">
        <w:rPr>
          <w:lang w:val="en-GB"/>
        </w:rPr>
        <w:t>State</w:t>
      </w:r>
      <w:r w:rsidR="00E46745" w:rsidRPr="00272D5C">
        <w:rPr>
          <w:lang w:val="en-GB"/>
        </w:rPr>
        <w:t xml:space="preserve"> Environmental Services Law of Amazonas</w:t>
      </w:r>
    </w:p>
    <w:p w14:paraId="4FF3BD7E" w14:textId="4A31ACBC" w:rsidR="006F03DC" w:rsidRPr="00272D5C" w:rsidRDefault="006F03DC" w:rsidP="007F28CF">
      <w:pPr>
        <w:tabs>
          <w:tab w:val="left" w:pos="1114"/>
        </w:tabs>
        <w:jc w:val="both"/>
        <w:rPr>
          <w:lang w:val="en-GB"/>
        </w:rPr>
      </w:pPr>
      <w:r w:rsidRPr="00272D5C">
        <w:rPr>
          <w:b/>
          <w:lang w:val="en-GB"/>
        </w:rPr>
        <w:t>Proposed start date:</w:t>
      </w:r>
      <w:r w:rsidR="00B15FF5" w:rsidRPr="00272D5C">
        <w:rPr>
          <w:b/>
          <w:lang w:val="en-GB"/>
        </w:rPr>
        <w:t xml:space="preserve"> </w:t>
      </w:r>
      <w:r w:rsidR="00BA5606">
        <w:rPr>
          <w:lang w:val="en-GB"/>
        </w:rPr>
        <w:t>August</w:t>
      </w:r>
      <w:r w:rsidR="00E47542" w:rsidRPr="00272D5C">
        <w:rPr>
          <w:lang w:val="en-GB"/>
        </w:rPr>
        <w:t xml:space="preserve"> 2018</w:t>
      </w:r>
    </w:p>
    <w:p w14:paraId="54B9697B" w14:textId="2D282A7A" w:rsidR="006F03DC" w:rsidRPr="00272D5C" w:rsidRDefault="006F03DC" w:rsidP="007F28CF">
      <w:pPr>
        <w:tabs>
          <w:tab w:val="left" w:pos="1114"/>
        </w:tabs>
        <w:jc w:val="both"/>
        <w:rPr>
          <w:b/>
          <w:lang w:val="en-GB"/>
        </w:rPr>
      </w:pPr>
      <w:r w:rsidRPr="00272D5C">
        <w:rPr>
          <w:b/>
          <w:lang w:val="en-GB"/>
        </w:rPr>
        <w:t>Proposed duration (must not exceed 18 months):</w:t>
      </w:r>
      <w:r w:rsidR="00B15FF5" w:rsidRPr="00272D5C">
        <w:rPr>
          <w:b/>
          <w:lang w:val="en-GB"/>
        </w:rPr>
        <w:t xml:space="preserve"> </w:t>
      </w:r>
      <w:r w:rsidR="008C50B8" w:rsidRPr="00272D5C">
        <w:rPr>
          <w:lang w:val="en-GB"/>
        </w:rPr>
        <w:t>18 months</w:t>
      </w:r>
    </w:p>
    <w:p w14:paraId="6810844C" w14:textId="4AFDD5B8" w:rsidR="006F03DC" w:rsidRPr="00272D5C" w:rsidRDefault="006F03DC" w:rsidP="007F28CF">
      <w:pPr>
        <w:tabs>
          <w:tab w:val="left" w:pos="1114"/>
        </w:tabs>
        <w:jc w:val="both"/>
        <w:rPr>
          <w:b/>
          <w:lang w:val="en-GB"/>
        </w:rPr>
      </w:pPr>
      <w:r w:rsidRPr="00272D5C">
        <w:rPr>
          <w:b/>
          <w:lang w:val="en-GB"/>
        </w:rPr>
        <w:t>Total request in USD (must not exceed $400,000):</w:t>
      </w:r>
      <w:r w:rsidR="00B15FF5" w:rsidRPr="00272D5C">
        <w:rPr>
          <w:b/>
          <w:lang w:val="en-GB"/>
        </w:rPr>
        <w:t xml:space="preserve"> </w:t>
      </w:r>
      <w:r w:rsidR="008C50B8" w:rsidRPr="00272D5C">
        <w:rPr>
          <w:lang w:val="en-GB"/>
        </w:rPr>
        <w:t xml:space="preserve">USD </w:t>
      </w:r>
      <w:r w:rsidR="00C46347">
        <w:rPr>
          <w:lang w:val="en-GB"/>
        </w:rPr>
        <w:t>372,425</w:t>
      </w:r>
    </w:p>
    <w:p w14:paraId="5CB05809" w14:textId="77777777" w:rsidR="006F03DC" w:rsidRPr="00272D5C" w:rsidRDefault="006F03DC" w:rsidP="007F28CF">
      <w:pPr>
        <w:pStyle w:val="Heading1"/>
        <w:jc w:val="both"/>
        <w:rPr>
          <w:lang w:val="en-GB"/>
        </w:rPr>
      </w:pPr>
      <w:bookmarkStart w:id="2" w:name="_Toc517617409"/>
      <w:r w:rsidRPr="00272D5C">
        <w:rPr>
          <w:lang w:val="en-GB"/>
        </w:rPr>
        <w:t>Applicant contact details</w:t>
      </w:r>
      <w:bookmarkEnd w:id="2"/>
    </w:p>
    <w:p w14:paraId="742E37D8" w14:textId="77777777" w:rsidR="006F03DC" w:rsidRPr="00272D5C" w:rsidRDefault="006F03DC" w:rsidP="007F28CF">
      <w:pPr>
        <w:jc w:val="both"/>
        <w:rPr>
          <w:b/>
          <w:lang w:val="en-GB"/>
        </w:rPr>
      </w:pPr>
      <w:r w:rsidRPr="00272D5C">
        <w:rPr>
          <w:b/>
          <w:lang w:val="en-GB"/>
        </w:rPr>
        <w:t>Contact name:</w:t>
      </w:r>
      <w:r w:rsidR="00B15FF5" w:rsidRPr="00272D5C">
        <w:rPr>
          <w:b/>
          <w:lang w:val="en-GB"/>
        </w:rPr>
        <w:t xml:space="preserve"> </w:t>
      </w:r>
      <w:r w:rsidR="00B15FF5" w:rsidRPr="00272D5C">
        <w:rPr>
          <w:lang w:val="en-GB"/>
        </w:rPr>
        <w:t>Victor Salviati</w:t>
      </w:r>
    </w:p>
    <w:p w14:paraId="2C214CDC" w14:textId="296F8471" w:rsidR="00B15FF5" w:rsidRPr="00272D5C" w:rsidRDefault="006F03DC" w:rsidP="007F28CF">
      <w:pPr>
        <w:jc w:val="both"/>
        <w:rPr>
          <w:b/>
          <w:lang w:val="en-GB"/>
        </w:rPr>
      </w:pPr>
      <w:r w:rsidRPr="00272D5C">
        <w:rPr>
          <w:b/>
          <w:lang w:val="en-GB"/>
        </w:rPr>
        <w:t>Title:</w:t>
      </w:r>
      <w:r w:rsidR="00B15FF5" w:rsidRPr="00272D5C">
        <w:rPr>
          <w:lang w:val="en-GB"/>
        </w:rPr>
        <w:t xml:space="preserve"> Manager of Institutional Development </w:t>
      </w:r>
      <w:r w:rsidR="00CD29E5">
        <w:rPr>
          <w:lang w:val="en-GB"/>
        </w:rPr>
        <w:t>Programme</w:t>
      </w:r>
    </w:p>
    <w:p w14:paraId="148E6346" w14:textId="77777777" w:rsidR="006F03DC" w:rsidRPr="002C18F7" w:rsidRDefault="006F03DC" w:rsidP="007F28CF">
      <w:pPr>
        <w:jc w:val="both"/>
        <w:rPr>
          <w:b/>
        </w:rPr>
      </w:pPr>
      <w:r w:rsidRPr="002C18F7">
        <w:rPr>
          <w:b/>
        </w:rPr>
        <w:t>Organisation:</w:t>
      </w:r>
      <w:r w:rsidR="00B15FF5" w:rsidRPr="002C18F7">
        <w:rPr>
          <w:b/>
        </w:rPr>
        <w:t xml:space="preserve"> </w:t>
      </w:r>
      <w:r w:rsidR="00B15FF5" w:rsidRPr="002C18F7">
        <w:t>FAS – Fundação Amazonas Sustentável</w:t>
      </w:r>
    </w:p>
    <w:p w14:paraId="3583359E" w14:textId="77777777" w:rsidR="006F03DC" w:rsidRPr="002C18F7" w:rsidRDefault="006F03DC" w:rsidP="007F28CF">
      <w:pPr>
        <w:jc w:val="both"/>
        <w:rPr>
          <w:b/>
        </w:rPr>
      </w:pPr>
      <w:r w:rsidRPr="002C18F7">
        <w:rPr>
          <w:b/>
        </w:rPr>
        <w:t>Address:</w:t>
      </w:r>
      <w:r w:rsidR="00B15FF5" w:rsidRPr="002C18F7">
        <w:rPr>
          <w:b/>
        </w:rPr>
        <w:t xml:space="preserve"> </w:t>
      </w:r>
      <w:r w:rsidR="00B15FF5" w:rsidRPr="002C18F7">
        <w:t>R. A, 351 - Parque 10, Manaus - AM, 69055-660</w:t>
      </w:r>
    </w:p>
    <w:p w14:paraId="05ACC94A" w14:textId="57610764" w:rsidR="006F03DC" w:rsidRPr="00C64C24" w:rsidRDefault="006F03DC" w:rsidP="007F28CF">
      <w:pPr>
        <w:jc w:val="both"/>
        <w:rPr>
          <w:b/>
          <w:lang w:val="en-GB"/>
        </w:rPr>
      </w:pPr>
      <w:r w:rsidRPr="00C64C24">
        <w:rPr>
          <w:b/>
          <w:lang w:val="en-GB"/>
        </w:rPr>
        <w:t>Phone:</w:t>
      </w:r>
      <w:r w:rsidR="00B15FF5" w:rsidRPr="00C64C24">
        <w:rPr>
          <w:b/>
          <w:lang w:val="en-GB"/>
        </w:rPr>
        <w:t xml:space="preserve"> </w:t>
      </w:r>
      <w:r w:rsidR="002277A6" w:rsidRPr="00C64C24">
        <w:rPr>
          <w:lang w:val="en-GB"/>
        </w:rPr>
        <w:t>+55</w:t>
      </w:r>
      <w:r w:rsidR="002277A6" w:rsidRPr="00C64C24">
        <w:rPr>
          <w:b/>
          <w:lang w:val="en-GB"/>
        </w:rPr>
        <w:t xml:space="preserve"> </w:t>
      </w:r>
      <w:r w:rsidR="00B15FF5" w:rsidRPr="00C64C24">
        <w:rPr>
          <w:lang w:val="en-GB"/>
        </w:rPr>
        <w:t>(92) 4009-8900</w:t>
      </w:r>
    </w:p>
    <w:p w14:paraId="50B2DC05" w14:textId="1D744AEE" w:rsidR="006F03DC" w:rsidRPr="00272D5C" w:rsidRDefault="006F03DC" w:rsidP="007F28CF">
      <w:pPr>
        <w:jc w:val="both"/>
        <w:rPr>
          <w:b/>
          <w:lang w:val="en-GB"/>
        </w:rPr>
      </w:pPr>
      <w:r w:rsidRPr="00272D5C">
        <w:rPr>
          <w:b/>
          <w:lang w:val="en-GB"/>
        </w:rPr>
        <w:t>Email:</w:t>
      </w:r>
      <w:r w:rsidR="00B15FF5" w:rsidRPr="00272D5C">
        <w:rPr>
          <w:b/>
          <w:lang w:val="en-GB"/>
        </w:rPr>
        <w:t xml:space="preserve"> </w:t>
      </w:r>
      <w:hyperlink r:id="rId9" w:history="1">
        <w:r w:rsidR="002277A6" w:rsidRPr="00272D5C">
          <w:rPr>
            <w:rStyle w:val="Hyperlink"/>
            <w:lang w:val="en-GB"/>
          </w:rPr>
          <w:t>victor.salviati@fas-amazonas.org</w:t>
        </w:r>
      </w:hyperlink>
      <w:r w:rsidR="002277A6" w:rsidRPr="00272D5C">
        <w:rPr>
          <w:lang w:val="en-GB"/>
        </w:rPr>
        <w:t xml:space="preserve"> </w:t>
      </w:r>
    </w:p>
    <w:p w14:paraId="78AF983C" w14:textId="77777777" w:rsidR="00C10E5D" w:rsidRPr="00272D5C" w:rsidRDefault="00C10E5D" w:rsidP="007F28CF">
      <w:pPr>
        <w:pStyle w:val="Heading1"/>
        <w:jc w:val="both"/>
        <w:rPr>
          <w:lang w:val="en-GB"/>
        </w:rPr>
      </w:pPr>
      <w:bookmarkStart w:id="3" w:name="_Toc517617410"/>
      <w:r w:rsidRPr="00272D5C">
        <w:rPr>
          <w:lang w:val="en-GB"/>
        </w:rPr>
        <w:t>Jurisdiction contact details</w:t>
      </w:r>
      <w:bookmarkEnd w:id="3"/>
    </w:p>
    <w:p w14:paraId="03702FA2" w14:textId="77777777" w:rsidR="006F03DC" w:rsidRPr="00272D5C" w:rsidRDefault="00C10E5D" w:rsidP="007F28CF">
      <w:pPr>
        <w:jc w:val="both"/>
        <w:rPr>
          <w:lang w:val="en-GB"/>
        </w:rPr>
      </w:pPr>
      <w:r w:rsidRPr="00272D5C">
        <w:rPr>
          <w:lang w:val="en-GB"/>
        </w:rPr>
        <w:t>(if multiple jurisdictions, please list each jurisdiction separately)</w:t>
      </w:r>
    </w:p>
    <w:p w14:paraId="01E01AD2" w14:textId="6B953A6C" w:rsidR="00C10E5D" w:rsidRPr="002C18F7" w:rsidRDefault="00C10E5D" w:rsidP="007F28CF">
      <w:pPr>
        <w:jc w:val="both"/>
        <w:rPr>
          <w:rFonts w:asciiTheme="majorHAnsi" w:eastAsiaTheme="majorEastAsia" w:hAnsiTheme="majorHAnsi" w:cstheme="majorBidi"/>
          <w:b/>
          <w:bCs/>
          <w:color w:val="365F91" w:themeColor="accent1" w:themeShade="BF"/>
          <w:sz w:val="28"/>
          <w:szCs w:val="28"/>
        </w:rPr>
      </w:pPr>
      <w:r w:rsidRPr="002C18F7">
        <w:rPr>
          <w:b/>
        </w:rPr>
        <w:t>Contact name:</w:t>
      </w:r>
      <w:r w:rsidR="00B15FF5" w:rsidRPr="002C18F7">
        <w:rPr>
          <w:b/>
        </w:rPr>
        <w:t xml:space="preserve"> </w:t>
      </w:r>
      <w:r w:rsidR="00B15FF5" w:rsidRPr="002C18F7">
        <w:t xml:space="preserve">Marcelo </w:t>
      </w:r>
      <w:r w:rsidR="0088386F" w:rsidRPr="002C18F7">
        <w:t xml:space="preserve">José de Lima </w:t>
      </w:r>
      <w:r w:rsidR="00B15FF5" w:rsidRPr="002C18F7">
        <w:t>Dutra</w:t>
      </w:r>
      <w:r w:rsidR="00B15FF5" w:rsidRPr="002C18F7">
        <w:rPr>
          <w:color w:val="FF0000"/>
        </w:rPr>
        <w:t xml:space="preserve"> </w:t>
      </w:r>
    </w:p>
    <w:p w14:paraId="0D7189EA" w14:textId="30CAB619" w:rsidR="00C10E5D" w:rsidRPr="00272D5C" w:rsidRDefault="00C10E5D" w:rsidP="007F28CF">
      <w:pPr>
        <w:jc w:val="both"/>
        <w:rPr>
          <w:b/>
          <w:lang w:val="en-GB"/>
        </w:rPr>
      </w:pPr>
      <w:r w:rsidRPr="00272D5C">
        <w:rPr>
          <w:b/>
          <w:lang w:val="en-GB"/>
        </w:rPr>
        <w:t>Title:</w:t>
      </w:r>
      <w:r w:rsidR="00B15FF5" w:rsidRPr="00272D5C">
        <w:rPr>
          <w:b/>
          <w:lang w:val="en-GB"/>
        </w:rPr>
        <w:t xml:space="preserve"> </w:t>
      </w:r>
      <w:r w:rsidR="00B15FF5" w:rsidRPr="00272D5C">
        <w:rPr>
          <w:lang w:val="en-GB"/>
        </w:rPr>
        <w:t xml:space="preserve">Amazonas </w:t>
      </w:r>
      <w:r w:rsidR="002214AC">
        <w:rPr>
          <w:lang w:val="en-GB"/>
        </w:rPr>
        <w:t>State</w:t>
      </w:r>
      <w:r w:rsidR="00B15FF5" w:rsidRPr="00272D5C">
        <w:rPr>
          <w:lang w:val="en-GB"/>
        </w:rPr>
        <w:t xml:space="preserve"> Secretary of Environment</w:t>
      </w:r>
    </w:p>
    <w:p w14:paraId="57C47C26" w14:textId="27F2518C" w:rsidR="00C10E5D" w:rsidRPr="00272D5C" w:rsidRDefault="00C10E5D" w:rsidP="007F28CF">
      <w:pPr>
        <w:jc w:val="both"/>
        <w:rPr>
          <w:b/>
          <w:lang w:val="en-GB"/>
        </w:rPr>
      </w:pPr>
      <w:r w:rsidRPr="00272D5C">
        <w:rPr>
          <w:b/>
          <w:lang w:val="en-GB"/>
        </w:rPr>
        <w:t>Department:</w:t>
      </w:r>
      <w:r w:rsidR="00B15FF5" w:rsidRPr="00272D5C">
        <w:rPr>
          <w:b/>
          <w:lang w:val="en-GB"/>
        </w:rPr>
        <w:t xml:space="preserve"> </w:t>
      </w:r>
      <w:r w:rsidR="002214AC">
        <w:rPr>
          <w:lang w:val="en-GB"/>
        </w:rPr>
        <w:t>State</w:t>
      </w:r>
      <w:r w:rsidR="00B15FF5" w:rsidRPr="00272D5C">
        <w:rPr>
          <w:lang w:val="en-GB"/>
        </w:rPr>
        <w:t xml:space="preserve"> Secretary of Environment</w:t>
      </w:r>
    </w:p>
    <w:p w14:paraId="27DB99BE" w14:textId="7918F94A" w:rsidR="00C10E5D" w:rsidRPr="00E420F8" w:rsidRDefault="00C10E5D" w:rsidP="007F28CF">
      <w:pPr>
        <w:jc w:val="both"/>
      </w:pPr>
      <w:r w:rsidRPr="00E420F8">
        <w:rPr>
          <w:b/>
        </w:rPr>
        <w:t>Address:</w:t>
      </w:r>
      <w:r w:rsidR="0088386F" w:rsidRPr="00E420F8">
        <w:rPr>
          <w:b/>
        </w:rPr>
        <w:t xml:space="preserve"> </w:t>
      </w:r>
      <w:r w:rsidR="0088386F" w:rsidRPr="00E420F8">
        <w:t>3280  Mario Ypiranga, Av. – Parque 10 – Manaus /AM</w:t>
      </w:r>
    </w:p>
    <w:p w14:paraId="2EA5E2FE" w14:textId="633CDF45" w:rsidR="00C10E5D" w:rsidRPr="00272D5C" w:rsidRDefault="00C10E5D" w:rsidP="007F28CF">
      <w:pPr>
        <w:jc w:val="both"/>
        <w:rPr>
          <w:b/>
          <w:lang w:val="en-GB"/>
        </w:rPr>
      </w:pPr>
      <w:r w:rsidRPr="00272D5C">
        <w:rPr>
          <w:b/>
          <w:lang w:val="en-GB"/>
        </w:rPr>
        <w:t>Phone:</w:t>
      </w:r>
      <w:r w:rsidR="0088386F" w:rsidRPr="00272D5C">
        <w:rPr>
          <w:b/>
          <w:lang w:val="en-GB"/>
        </w:rPr>
        <w:t xml:space="preserve"> </w:t>
      </w:r>
      <w:r w:rsidR="0088386F" w:rsidRPr="00272D5C">
        <w:rPr>
          <w:lang w:val="en-GB"/>
        </w:rPr>
        <w:t>+55</w:t>
      </w:r>
      <w:r w:rsidR="002277A6" w:rsidRPr="00272D5C">
        <w:rPr>
          <w:lang w:val="en-GB"/>
        </w:rPr>
        <w:t xml:space="preserve"> </w:t>
      </w:r>
      <w:r w:rsidR="0088386F" w:rsidRPr="00272D5C">
        <w:rPr>
          <w:lang w:val="en-GB"/>
        </w:rPr>
        <w:t>(92)</w:t>
      </w:r>
      <w:r w:rsidR="002277A6" w:rsidRPr="00272D5C">
        <w:rPr>
          <w:lang w:val="en-GB"/>
        </w:rPr>
        <w:t xml:space="preserve"> </w:t>
      </w:r>
      <w:r w:rsidR="0088386F" w:rsidRPr="00272D5C">
        <w:rPr>
          <w:lang w:val="en-GB"/>
        </w:rPr>
        <w:t>3236-4145</w:t>
      </w:r>
    </w:p>
    <w:p w14:paraId="2D02035D" w14:textId="0282E6D8" w:rsidR="00C10E5D" w:rsidRPr="00272D5C" w:rsidRDefault="00C10E5D" w:rsidP="007F28CF">
      <w:pPr>
        <w:jc w:val="both"/>
        <w:rPr>
          <w:b/>
          <w:bCs/>
          <w:lang w:val="en-GB"/>
        </w:rPr>
      </w:pPr>
      <w:r w:rsidRPr="00272D5C">
        <w:rPr>
          <w:b/>
          <w:lang w:val="en-GB"/>
        </w:rPr>
        <w:t>Email:</w:t>
      </w:r>
      <w:r w:rsidR="0088386F" w:rsidRPr="00272D5C">
        <w:rPr>
          <w:b/>
          <w:lang w:val="en-GB"/>
        </w:rPr>
        <w:t xml:space="preserve"> </w:t>
      </w:r>
      <w:hyperlink r:id="rId10" w:history="1">
        <w:r w:rsidR="002277A6" w:rsidRPr="00272D5C">
          <w:rPr>
            <w:rStyle w:val="Hyperlink"/>
            <w:lang w:val="en-GB"/>
          </w:rPr>
          <w:t>gabinete@sema.am.gov.br</w:t>
        </w:r>
      </w:hyperlink>
      <w:r w:rsidR="002277A6" w:rsidRPr="00272D5C">
        <w:rPr>
          <w:lang w:val="en-GB"/>
        </w:rPr>
        <w:t xml:space="preserve"> </w:t>
      </w:r>
    </w:p>
    <w:p w14:paraId="4147DF80" w14:textId="4D86B391" w:rsidR="00146940" w:rsidRPr="00272D5C" w:rsidRDefault="00146940" w:rsidP="007F28CF">
      <w:pPr>
        <w:jc w:val="both"/>
        <w:rPr>
          <w:rFonts w:asciiTheme="majorHAnsi" w:eastAsiaTheme="majorEastAsia" w:hAnsiTheme="majorHAnsi" w:cstheme="majorBidi"/>
          <w:b/>
          <w:bCs/>
          <w:color w:val="365F91" w:themeColor="accent1" w:themeShade="BF"/>
          <w:sz w:val="28"/>
          <w:szCs w:val="28"/>
          <w:lang w:val="en-GB"/>
        </w:rPr>
      </w:pPr>
      <w:r w:rsidRPr="00272D5C">
        <w:rPr>
          <w:lang w:val="en-GB"/>
        </w:rPr>
        <w:br w:type="page"/>
      </w:r>
    </w:p>
    <w:p w14:paraId="7D560DBC" w14:textId="77777777" w:rsidR="00C10E5D" w:rsidRPr="00272D5C" w:rsidRDefault="00C10E5D" w:rsidP="007F28CF">
      <w:pPr>
        <w:pStyle w:val="Heading1"/>
        <w:jc w:val="both"/>
        <w:rPr>
          <w:lang w:val="en-GB"/>
        </w:rPr>
      </w:pPr>
      <w:bookmarkStart w:id="4" w:name="_Toc517617411"/>
      <w:r w:rsidRPr="00272D5C">
        <w:rPr>
          <w:lang w:val="en-GB"/>
        </w:rPr>
        <w:lastRenderedPageBreak/>
        <w:t>1. Rationale and Approach</w:t>
      </w:r>
      <w:bookmarkEnd w:id="4"/>
    </w:p>
    <w:p w14:paraId="6959D623" w14:textId="77777777" w:rsidR="00C10E5D" w:rsidRPr="00272D5C" w:rsidRDefault="00C10E5D" w:rsidP="007F28CF">
      <w:pPr>
        <w:pStyle w:val="Heading2"/>
        <w:jc w:val="both"/>
        <w:rPr>
          <w:lang w:val="en-GB"/>
        </w:rPr>
      </w:pPr>
      <w:bookmarkStart w:id="5" w:name="_Toc517617412"/>
      <w:r w:rsidRPr="00272D5C">
        <w:rPr>
          <w:lang w:val="en-GB"/>
        </w:rPr>
        <w:t>1.1. Summary</w:t>
      </w:r>
      <w:bookmarkEnd w:id="5"/>
    </w:p>
    <w:p w14:paraId="3678EBD6" w14:textId="77EAE0E3" w:rsidR="00677081" w:rsidRPr="00272D5C" w:rsidRDefault="00677081" w:rsidP="007F28CF">
      <w:pPr>
        <w:jc w:val="both"/>
        <w:rPr>
          <w:lang w:val="en-GB"/>
        </w:rPr>
      </w:pPr>
      <w:r w:rsidRPr="00272D5C">
        <w:rPr>
          <w:lang w:val="en-GB"/>
        </w:rPr>
        <w:t xml:space="preserve">Amazonas is the largest </w:t>
      </w:r>
      <w:r w:rsidR="002214AC">
        <w:rPr>
          <w:lang w:val="en-GB"/>
        </w:rPr>
        <w:t>State</w:t>
      </w:r>
      <w:r w:rsidRPr="00272D5C">
        <w:rPr>
          <w:lang w:val="en-GB"/>
        </w:rPr>
        <w:t xml:space="preserve"> of the Brazilian Amazon. Its territory has one of the largest forest extensions in the world and has the largest conserved forest area in Brazil. In order to </w:t>
      </w:r>
      <w:r w:rsidR="008C50B8" w:rsidRPr="00272D5C">
        <w:rPr>
          <w:lang w:val="en-GB"/>
        </w:rPr>
        <w:t xml:space="preserve">conserve </w:t>
      </w:r>
      <w:r w:rsidRPr="00272D5C">
        <w:rPr>
          <w:lang w:val="en-GB"/>
        </w:rPr>
        <w:t>this world’s asset, Amazonas government has promoted two breakthrough: launching its Environmental Services Law (LSA</w:t>
      </w:r>
      <w:r w:rsidR="000D67F5" w:rsidRPr="00272D5C">
        <w:rPr>
          <w:lang w:val="en-GB"/>
        </w:rPr>
        <w:t>)</w:t>
      </w:r>
      <w:r w:rsidR="000D67F5" w:rsidRPr="00272D5C">
        <w:rPr>
          <w:rStyle w:val="FootnoteReference"/>
          <w:lang w:val="en-GB"/>
        </w:rPr>
        <w:footnoteReference w:id="1"/>
      </w:r>
      <w:r w:rsidRPr="00272D5C">
        <w:rPr>
          <w:lang w:val="en-GB"/>
        </w:rPr>
        <w:t xml:space="preserve">, in </w:t>
      </w:r>
      <w:r w:rsidR="00BA5CB9" w:rsidRPr="00272D5C">
        <w:rPr>
          <w:lang w:val="en-GB"/>
        </w:rPr>
        <w:t xml:space="preserve">December </w:t>
      </w:r>
      <w:r w:rsidRPr="00272D5C">
        <w:rPr>
          <w:lang w:val="en-GB"/>
        </w:rPr>
        <w:t xml:space="preserve">2015, and its environmental assets transaction platform in November 2016. </w:t>
      </w:r>
      <w:r w:rsidR="008C50B8" w:rsidRPr="00272D5C">
        <w:rPr>
          <w:lang w:val="en-GB"/>
        </w:rPr>
        <w:t>Both initiatives were led by t</w:t>
      </w:r>
      <w:r w:rsidRPr="00272D5C">
        <w:rPr>
          <w:lang w:val="en-GB"/>
        </w:rPr>
        <w:t xml:space="preserve">he </w:t>
      </w:r>
      <w:r w:rsidR="002214AC">
        <w:rPr>
          <w:lang w:val="en-GB"/>
        </w:rPr>
        <w:t>State</w:t>
      </w:r>
      <w:r w:rsidRPr="00272D5C">
        <w:rPr>
          <w:lang w:val="en-GB"/>
        </w:rPr>
        <w:t xml:space="preserve"> Secretary of Environment </w:t>
      </w:r>
      <w:r w:rsidR="008C50B8" w:rsidRPr="00272D5C">
        <w:rPr>
          <w:lang w:val="en-GB"/>
        </w:rPr>
        <w:t xml:space="preserve">of Amazonas </w:t>
      </w:r>
      <w:r w:rsidRPr="00272D5C">
        <w:rPr>
          <w:lang w:val="en-GB"/>
        </w:rPr>
        <w:t>(SEMA-AM) and its partners.</w:t>
      </w:r>
    </w:p>
    <w:p w14:paraId="2D96C351" w14:textId="2160EB1E" w:rsidR="00272D5C" w:rsidRPr="00272D5C" w:rsidRDefault="008C50B8" w:rsidP="007F28CF">
      <w:pPr>
        <w:jc w:val="both"/>
        <w:rPr>
          <w:lang w:val="en-GB"/>
        </w:rPr>
      </w:pPr>
      <w:r w:rsidRPr="00272D5C">
        <w:rPr>
          <w:lang w:val="en-GB"/>
        </w:rPr>
        <w:t>The implementation of LSA has been a huge challenge for SEMA-AM and its partners</w:t>
      </w:r>
      <w:r w:rsidR="00677081" w:rsidRPr="00272D5C">
        <w:rPr>
          <w:lang w:val="en-GB"/>
        </w:rPr>
        <w:t xml:space="preserve">. Thus, this proposal </w:t>
      </w:r>
      <w:r w:rsidR="007A3BD4" w:rsidRPr="00272D5C">
        <w:rPr>
          <w:lang w:val="en-GB"/>
        </w:rPr>
        <w:t xml:space="preserve">will support </w:t>
      </w:r>
      <w:r w:rsidR="00677081" w:rsidRPr="00272D5C">
        <w:rPr>
          <w:lang w:val="en-GB"/>
        </w:rPr>
        <w:t xml:space="preserve">the regulation of the environmental services law of the </w:t>
      </w:r>
      <w:r w:rsidR="002214AC">
        <w:rPr>
          <w:lang w:val="en-GB"/>
        </w:rPr>
        <w:t>State</w:t>
      </w:r>
      <w:r w:rsidR="00677081" w:rsidRPr="00272D5C">
        <w:rPr>
          <w:lang w:val="en-GB"/>
        </w:rPr>
        <w:t xml:space="preserve"> of Amazonas</w:t>
      </w:r>
      <w:r w:rsidR="007A3BD4" w:rsidRPr="00272D5C">
        <w:rPr>
          <w:lang w:val="en-GB"/>
        </w:rPr>
        <w:t xml:space="preserve"> by </w:t>
      </w:r>
      <w:r w:rsidR="00677081" w:rsidRPr="00272D5C">
        <w:rPr>
          <w:lang w:val="en-GB"/>
        </w:rPr>
        <w:t>develop</w:t>
      </w:r>
      <w:r w:rsidR="007A3BD4" w:rsidRPr="00272D5C">
        <w:rPr>
          <w:lang w:val="en-GB"/>
        </w:rPr>
        <w:t>ing</w:t>
      </w:r>
      <w:r w:rsidR="00677081" w:rsidRPr="00272D5C">
        <w:rPr>
          <w:lang w:val="en-GB"/>
        </w:rPr>
        <w:t xml:space="preserve"> institutional</w:t>
      </w:r>
      <w:r w:rsidR="000D67F5" w:rsidRPr="00272D5C">
        <w:rPr>
          <w:lang w:val="en-GB"/>
        </w:rPr>
        <w:t>,</w:t>
      </w:r>
      <w:r w:rsidR="00677081" w:rsidRPr="00272D5C">
        <w:rPr>
          <w:lang w:val="en-GB"/>
        </w:rPr>
        <w:t xml:space="preserve"> programmatic frameworks for </w:t>
      </w:r>
      <w:r w:rsidRPr="00272D5C">
        <w:rPr>
          <w:lang w:val="en-GB"/>
        </w:rPr>
        <w:t xml:space="preserve">its </w:t>
      </w:r>
      <w:r w:rsidR="00677081" w:rsidRPr="00272D5C">
        <w:rPr>
          <w:lang w:val="en-GB"/>
        </w:rPr>
        <w:t>implementation</w:t>
      </w:r>
      <w:r w:rsidR="000D67F5" w:rsidRPr="00272D5C">
        <w:rPr>
          <w:lang w:val="en-GB"/>
        </w:rPr>
        <w:t xml:space="preserve">, and </w:t>
      </w:r>
      <w:r w:rsidR="007A3BD4" w:rsidRPr="00272D5C">
        <w:rPr>
          <w:lang w:val="en-GB"/>
        </w:rPr>
        <w:t>a sophisticated and integrated strategy of funding</w:t>
      </w:r>
      <w:r w:rsidR="00677081" w:rsidRPr="00272D5C">
        <w:rPr>
          <w:lang w:val="en-GB"/>
        </w:rPr>
        <w:t>.</w:t>
      </w:r>
      <w:r w:rsidR="00272D5C" w:rsidRPr="00272D5C">
        <w:rPr>
          <w:lang w:val="en-GB"/>
        </w:rPr>
        <w:t xml:space="preserve"> </w:t>
      </w:r>
    </w:p>
    <w:p w14:paraId="452C0239" w14:textId="15FBFA70" w:rsidR="000D67F5" w:rsidRPr="00272D5C" w:rsidRDefault="00272D5C" w:rsidP="007F28CF">
      <w:pPr>
        <w:jc w:val="both"/>
        <w:rPr>
          <w:lang w:val="en-GB"/>
        </w:rPr>
      </w:pPr>
      <w:r w:rsidRPr="00272D5C">
        <w:rPr>
          <w:lang w:val="en-GB"/>
        </w:rPr>
        <w:t xml:space="preserve">For that, the proposal’s budget is USD 399,492 for, within 18 months, </w:t>
      </w:r>
      <w:r w:rsidR="000D67F5" w:rsidRPr="00272D5C">
        <w:rPr>
          <w:lang w:val="en-GB"/>
        </w:rPr>
        <w:t>(a) hav</w:t>
      </w:r>
      <w:r w:rsidRPr="00272D5C">
        <w:rPr>
          <w:lang w:val="en-GB"/>
        </w:rPr>
        <w:t>ing</w:t>
      </w:r>
      <w:r w:rsidR="000D67F5" w:rsidRPr="00272D5C">
        <w:rPr>
          <w:lang w:val="en-GB"/>
        </w:rPr>
        <w:t xml:space="preserve"> the LSA major issues regulated and under implementation; (b) get</w:t>
      </w:r>
      <w:r w:rsidRPr="00272D5C">
        <w:rPr>
          <w:lang w:val="en-GB"/>
        </w:rPr>
        <w:t>ting</w:t>
      </w:r>
      <w:r w:rsidR="000D67F5" w:rsidRPr="00272D5C">
        <w:rPr>
          <w:lang w:val="en-GB"/>
        </w:rPr>
        <w:t xml:space="preserve"> approved the REDD+ </w:t>
      </w:r>
      <w:r w:rsidR="002214AC">
        <w:rPr>
          <w:lang w:val="en-GB"/>
        </w:rPr>
        <w:t>State</w:t>
      </w:r>
      <w:r w:rsidR="000D67F5" w:rsidRPr="00272D5C">
        <w:rPr>
          <w:lang w:val="en-GB"/>
        </w:rPr>
        <w:t xml:space="preserve"> System; (c) contribut</w:t>
      </w:r>
      <w:r w:rsidRPr="00272D5C">
        <w:rPr>
          <w:lang w:val="en-GB"/>
        </w:rPr>
        <w:t>ing</w:t>
      </w:r>
      <w:r w:rsidR="000D67F5" w:rsidRPr="00272D5C">
        <w:rPr>
          <w:lang w:val="en-GB"/>
        </w:rPr>
        <w:t xml:space="preserve"> to the Brazilian NDC by fostering carbon emission reductions; (d) establish</w:t>
      </w:r>
      <w:r w:rsidRPr="00272D5C">
        <w:rPr>
          <w:lang w:val="en-GB"/>
        </w:rPr>
        <w:t>ing</w:t>
      </w:r>
      <w:r w:rsidR="000D67F5" w:rsidRPr="00272D5C">
        <w:rPr>
          <w:lang w:val="en-GB"/>
        </w:rPr>
        <w:t xml:space="preserve"> a successful fundraising strategy for Amazonas; and (e) improv</w:t>
      </w:r>
      <w:r w:rsidRPr="00272D5C">
        <w:rPr>
          <w:lang w:val="en-GB"/>
        </w:rPr>
        <w:t>ing</w:t>
      </w:r>
      <w:r w:rsidR="000D67F5" w:rsidRPr="00272D5C">
        <w:rPr>
          <w:lang w:val="en-GB"/>
        </w:rPr>
        <w:t xml:space="preserve"> livelihood of traditional populations, indigenous peoples and farmers in the Amazon.</w:t>
      </w:r>
    </w:p>
    <w:p w14:paraId="75DB55F5" w14:textId="14058843" w:rsidR="00677081" w:rsidRPr="00272D5C" w:rsidRDefault="005A01AB" w:rsidP="007F28CF">
      <w:pPr>
        <w:jc w:val="both"/>
        <w:rPr>
          <w:lang w:val="en-GB"/>
        </w:rPr>
      </w:pPr>
      <w:r w:rsidRPr="006E4678">
        <w:rPr>
          <w:lang w:val="en-GB"/>
        </w:rPr>
        <w:t xml:space="preserve">SEMA-AM has supervised the whole process and invited FAS to lead the proposal as </w:t>
      </w:r>
      <w:r w:rsidR="006E4678">
        <w:rPr>
          <w:lang w:val="en-GB"/>
        </w:rPr>
        <w:t xml:space="preserve">proponent and </w:t>
      </w:r>
      <w:r w:rsidRPr="006E4678">
        <w:rPr>
          <w:lang w:val="en-GB"/>
        </w:rPr>
        <w:t xml:space="preserve">general coordinator. </w:t>
      </w:r>
      <w:r w:rsidR="00272D5C" w:rsidRPr="005A01AB">
        <w:t>T</w:t>
      </w:r>
      <w:r w:rsidR="00A470DB" w:rsidRPr="005A01AB">
        <w:t>his proposal</w:t>
      </w:r>
      <w:r w:rsidR="00272D5C" w:rsidRPr="005A01AB">
        <w:t xml:space="preserve"> was elaborated by several institutions: </w:t>
      </w:r>
      <w:r w:rsidR="00581273" w:rsidRPr="005A01AB">
        <w:t xml:space="preserve">Fundação Amazonas Sustentável (FAS), Instituto de Conservação e Desenvolvimento Sustentável da Amazônia (IDESAM), Fundação Vitória Amazônica (FVA), Conservação Internacional do Brasil (CI-BR) </w:t>
      </w:r>
      <w:r w:rsidR="00272D5C" w:rsidRPr="005A01AB">
        <w:t xml:space="preserve">(project partners), and </w:t>
      </w:r>
      <w:r w:rsidR="00581273" w:rsidRPr="005A01AB">
        <w:t>Instituto de Pesquisas da Amazônia (IPAM)</w:t>
      </w:r>
      <w:r w:rsidR="00272D5C" w:rsidRPr="005A01AB">
        <w:t xml:space="preserve"> (project collaborator)</w:t>
      </w:r>
      <w:r w:rsidR="00581273" w:rsidRPr="005A01AB">
        <w:t>.</w:t>
      </w:r>
      <w:r w:rsidR="00677081" w:rsidRPr="005A01AB">
        <w:t xml:space="preserve"> </w:t>
      </w:r>
      <w:r>
        <w:rPr>
          <w:lang w:val="en-GB"/>
        </w:rPr>
        <w:t>All</w:t>
      </w:r>
      <w:r w:rsidR="00677081" w:rsidRPr="00272D5C">
        <w:rPr>
          <w:lang w:val="en-GB"/>
        </w:rPr>
        <w:t xml:space="preserve"> institutions were invited due to their collaboration throughout the LSA designing and approval processes and their technical capacity.</w:t>
      </w:r>
      <w:r w:rsidR="00A470DB" w:rsidRPr="00272D5C">
        <w:rPr>
          <w:lang w:val="en-GB"/>
        </w:rPr>
        <w:t xml:space="preserve"> </w:t>
      </w:r>
    </w:p>
    <w:p w14:paraId="6FA79E7B" w14:textId="485FDDE5" w:rsidR="000D67F5" w:rsidRPr="00272D5C" w:rsidRDefault="000D67F5" w:rsidP="000D67F5">
      <w:pPr>
        <w:jc w:val="both"/>
        <w:rPr>
          <w:lang w:val="en-GB"/>
        </w:rPr>
      </w:pPr>
    </w:p>
    <w:p w14:paraId="7DE58C10" w14:textId="1AE3A2CC" w:rsidR="00501C58" w:rsidRPr="00272D5C" w:rsidRDefault="00501C58" w:rsidP="007F28CF">
      <w:pPr>
        <w:jc w:val="both"/>
        <w:rPr>
          <w:lang w:val="en-GB"/>
        </w:rPr>
      </w:pPr>
    </w:p>
    <w:p w14:paraId="3CC12382" w14:textId="5D50B5BF" w:rsidR="00146940" w:rsidRPr="00272D5C" w:rsidRDefault="00146940" w:rsidP="007F28CF">
      <w:pPr>
        <w:jc w:val="both"/>
        <w:rPr>
          <w:lang w:val="en-GB"/>
        </w:rPr>
      </w:pPr>
      <w:r w:rsidRPr="00272D5C">
        <w:rPr>
          <w:lang w:val="en-GB"/>
        </w:rPr>
        <w:br w:type="page"/>
      </w:r>
    </w:p>
    <w:p w14:paraId="587C1402" w14:textId="77777777" w:rsidR="00C10E5D" w:rsidRPr="00272D5C" w:rsidRDefault="00C10E5D" w:rsidP="007F28CF">
      <w:pPr>
        <w:pStyle w:val="Heading2"/>
        <w:jc w:val="both"/>
        <w:rPr>
          <w:lang w:val="en-GB"/>
        </w:rPr>
      </w:pPr>
      <w:bookmarkStart w:id="6" w:name="_Toc517617413"/>
      <w:r w:rsidRPr="00272D5C">
        <w:rPr>
          <w:lang w:val="en-GB"/>
        </w:rPr>
        <w:lastRenderedPageBreak/>
        <w:t>1.2. Self-Assessment</w:t>
      </w:r>
      <w:bookmarkEnd w:id="6"/>
    </w:p>
    <w:p w14:paraId="4D835EC9" w14:textId="77777777" w:rsidR="007F0A4D" w:rsidRDefault="00334D29" w:rsidP="007F28CF">
      <w:pPr>
        <w:pStyle w:val="Normal1"/>
        <w:jc w:val="both"/>
        <w:rPr>
          <w:lang w:val="en-GB"/>
        </w:rPr>
      </w:pPr>
      <w:r w:rsidRPr="00272D5C">
        <w:rPr>
          <w:lang w:val="en-GB"/>
        </w:rPr>
        <w:t xml:space="preserve">The </w:t>
      </w:r>
      <w:r w:rsidR="002214AC">
        <w:rPr>
          <w:lang w:val="en-GB"/>
        </w:rPr>
        <w:t>State</w:t>
      </w:r>
      <w:r w:rsidRPr="00272D5C">
        <w:rPr>
          <w:lang w:val="en-GB"/>
        </w:rPr>
        <w:t xml:space="preserve"> of Amazonas is the largest </w:t>
      </w:r>
      <w:r w:rsidR="002214AC">
        <w:rPr>
          <w:lang w:val="en-GB"/>
        </w:rPr>
        <w:t>State</w:t>
      </w:r>
      <w:r w:rsidRPr="00272D5C">
        <w:rPr>
          <w:lang w:val="en-GB"/>
        </w:rPr>
        <w:t xml:space="preserve"> of Brazil with an area of 157 million hectares. About </w:t>
      </w:r>
      <w:r w:rsidR="00BA5CB9" w:rsidRPr="00272D5C">
        <w:rPr>
          <w:lang w:val="en-GB"/>
        </w:rPr>
        <w:t>56</w:t>
      </w:r>
      <w:r w:rsidRPr="00272D5C">
        <w:rPr>
          <w:lang w:val="en-GB"/>
        </w:rPr>
        <w:t xml:space="preserve">% of its territory is </w:t>
      </w:r>
      <w:r w:rsidR="00501C58" w:rsidRPr="00272D5C">
        <w:rPr>
          <w:lang w:val="en-GB"/>
        </w:rPr>
        <w:t xml:space="preserve">under environmental protection – it is </w:t>
      </w:r>
      <w:r w:rsidRPr="00272D5C">
        <w:rPr>
          <w:lang w:val="en-GB"/>
        </w:rPr>
        <w:t xml:space="preserve">the largest </w:t>
      </w:r>
      <w:r w:rsidR="00501C58" w:rsidRPr="00272D5C">
        <w:rPr>
          <w:lang w:val="en-GB"/>
        </w:rPr>
        <w:t xml:space="preserve">and most conserved </w:t>
      </w:r>
      <w:r w:rsidRPr="00272D5C">
        <w:rPr>
          <w:lang w:val="en-GB"/>
        </w:rPr>
        <w:t xml:space="preserve">area in </w:t>
      </w:r>
      <w:r w:rsidR="00501C58" w:rsidRPr="00272D5C">
        <w:rPr>
          <w:lang w:val="en-GB"/>
        </w:rPr>
        <w:t>Brazil, and one of the largest in the world,</w:t>
      </w:r>
      <w:r w:rsidRPr="00272D5C">
        <w:rPr>
          <w:lang w:val="en-GB"/>
        </w:rPr>
        <w:t xml:space="preserve"> with approximately 96% of its forest conserved.</w:t>
      </w:r>
    </w:p>
    <w:p w14:paraId="2F2301DF" w14:textId="77777777" w:rsidR="007F0A4D" w:rsidRDefault="007F0A4D" w:rsidP="007F28CF">
      <w:pPr>
        <w:pStyle w:val="Normal1"/>
        <w:jc w:val="both"/>
        <w:rPr>
          <w:lang w:val="en-GB"/>
        </w:rPr>
      </w:pPr>
      <w:r>
        <w:rPr>
          <w:lang w:val="en-GB"/>
        </w:rPr>
        <w:t xml:space="preserve">Amazonas has been leading climate change policy worldwide. It is one of the founders of the GCF in </w:t>
      </w:r>
      <w:r w:rsidRPr="002D0642">
        <w:rPr>
          <w:lang w:val="en-GB"/>
        </w:rPr>
        <w:t>2005</w:t>
      </w:r>
      <w:r>
        <w:rPr>
          <w:lang w:val="en-GB"/>
        </w:rPr>
        <w:t>; stated its Climate Change policy in 2007; created the largest payment for environmental services scheme in Brazil, Bolsa Floresta Programme (BFP), in 2007; got certified the first REDD+ project in the Amazon, the Juma REDD+ project, in 2008; launched a specific law on environmental services (LSA) in 2015; and created the first state-level REDD+ registry in Brazil together with FAS and BV-Rio in 2016.</w:t>
      </w:r>
    </w:p>
    <w:p w14:paraId="6BD9AA62" w14:textId="6C4CFB6F" w:rsidR="007F0A4D" w:rsidRDefault="007F0A4D" w:rsidP="007F28CF">
      <w:pPr>
        <w:pStyle w:val="Normal1"/>
        <w:jc w:val="both"/>
        <w:rPr>
          <w:lang w:val="en-GB"/>
        </w:rPr>
      </w:pPr>
      <w:r>
        <w:rPr>
          <w:lang w:val="en-GB"/>
        </w:rPr>
        <w:t xml:space="preserve">All these innovations, both technical and institutional, </w:t>
      </w:r>
      <w:r w:rsidR="00C65F87">
        <w:rPr>
          <w:lang w:val="en-GB"/>
        </w:rPr>
        <w:t xml:space="preserve">have been enabling Amazonas to be one of the most conserve States in the world – keeping its deforestation rate lower than </w:t>
      </w:r>
      <w:r w:rsidR="00C65F87" w:rsidRPr="002D0642">
        <w:rPr>
          <w:lang w:val="en-GB"/>
        </w:rPr>
        <w:t>2% per year</w:t>
      </w:r>
      <w:r w:rsidR="00C65F87">
        <w:rPr>
          <w:lang w:val="en-GB"/>
        </w:rPr>
        <w:t>.</w:t>
      </w:r>
      <w:r w:rsidR="00D74E59" w:rsidRPr="00272D5C">
        <w:rPr>
          <w:lang w:val="en-GB"/>
        </w:rPr>
        <w:t xml:space="preserve"> </w:t>
      </w:r>
    </w:p>
    <w:p w14:paraId="2B186C24" w14:textId="21DE7B4C" w:rsidR="00334D29" w:rsidRDefault="00D74E59" w:rsidP="007F28CF">
      <w:pPr>
        <w:pStyle w:val="Normal1"/>
        <w:jc w:val="both"/>
        <w:rPr>
          <w:lang w:val="en-GB"/>
        </w:rPr>
      </w:pPr>
      <w:r w:rsidRPr="00272D5C">
        <w:rPr>
          <w:lang w:val="en-GB"/>
        </w:rPr>
        <w:t xml:space="preserve">Differently from other Amazon </w:t>
      </w:r>
      <w:r w:rsidR="002214AC">
        <w:rPr>
          <w:lang w:val="en-GB"/>
        </w:rPr>
        <w:t>State</w:t>
      </w:r>
      <w:r w:rsidRPr="00272D5C">
        <w:rPr>
          <w:lang w:val="en-GB"/>
        </w:rPr>
        <w:t>s, large-scale agriculture and cattle ranching is not a key deforestation drive in Amazonas. Due to its huge territory and the lack of roads – as well as the logistics costs –</w:t>
      </w:r>
      <w:r w:rsidR="00C65F87">
        <w:rPr>
          <w:lang w:val="en-GB"/>
        </w:rPr>
        <w:t>,</w:t>
      </w:r>
      <w:r w:rsidRPr="00272D5C">
        <w:rPr>
          <w:lang w:val="en-GB"/>
        </w:rPr>
        <w:t xml:space="preserve"> deforestation drivers are more related to smallholder slash-and-burn dynamics, illegal logging</w:t>
      </w:r>
      <w:r w:rsidR="002214AC">
        <w:rPr>
          <w:lang w:val="en-GB"/>
        </w:rPr>
        <w:t>,</w:t>
      </w:r>
      <w:r w:rsidRPr="00272D5C">
        <w:rPr>
          <w:lang w:val="en-GB"/>
        </w:rPr>
        <w:t xml:space="preserve"> and illegal and unsustainable real </w:t>
      </w:r>
      <w:r w:rsidR="002214AC">
        <w:rPr>
          <w:lang w:val="en-GB"/>
        </w:rPr>
        <w:t>state</w:t>
      </w:r>
      <w:r w:rsidRPr="00272D5C">
        <w:rPr>
          <w:lang w:val="en-GB"/>
        </w:rPr>
        <w:t xml:space="preserve"> expansion</w:t>
      </w:r>
      <w:r w:rsidR="00C65F87">
        <w:rPr>
          <w:lang w:val="en-GB"/>
        </w:rPr>
        <w:t xml:space="preserve"> nearby Manaus</w:t>
      </w:r>
      <w:r w:rsidRPr="00272D5C">
        <w:rPr>
          <w:lang w:val="en-GB"/>
        </w:rPr>
        <w:t xml:space="preserve">. Nevertheless, the </w:t>
      </w:r>
      <w:r w:rsidR="00C65F87">
        <w:rPr>
          <w:lang w:val="en-GB"/>
        </w:rPr>
        <w:t xml:space="preserve">Amazon </w:t>
      </w:r>
      <w:r w:rsidRPr="00272D5C">
        <w:rPr>
          <w:lang w:val="en-GB"/>
        </w:rPr>
        <w:t>deforestation frontier (southern Pará, northern Rondônia and Mato Grosso) is expanding to southern Amazonas</w:t>
      </w:r>
      <w:r w:rsidR="002214AC">
        <w:rPr>
          <w:lang w:val="en-GB"/>
        </w:rPr>
        <w:t xml:space="preserve"> and it has already made huge impact: two southern municipalities of Amazonas are now in the “red </w:t>
      </w:r>
      <w:r w:rsidR="007F0A4D">
        <w:rPr>
          <w:lang w:val="en-GB"/>
        </w:rPr>
        <w:t xml:space="preserve">deforestation </w:t>
      </w:r>
      <w:r w:rsidR="002214AC">
        <w:rPr>
          <w:lang w:val="en-GB"/>
        </w:rPr>
        <w:t>list</w:t>
      </w:r>
      <w:r w:rsidR="002214AC">
        <w:rPr>
          <w:rStyle w:val="FootnoteReference"/>
          <w:lang w:val="en-GB"/>
        </w:rPr>
        <w:footnoteReference w:id="2"/>
      </w:r>
      <w:r w:rsidRPr="00272D5C">
        <w:rPr>
          <w:lang w:val="en-GB"/>
        </w:rPr>
        <w:t>.</w:t>
      </w:r>
      <w:r w:rsidR="002214AC">
        <w:rPr>
          <w:lang w:val="en-GB"/>
        </w:rPr>
        <w:t>”</w:t>
      </w:r>
    </w:p>
    <w:p w14:paraId="63456A82" w14:textId="77777777" w:rsidR="00001C62" w:rsidRDefault="002C18F7" w:rsidP="00001C62">
      <w:pPr>
        <w:pStyle w:val="Normal1"/>
        <w:keepNext/>
        <w:jc w:val="center"/>
      </w:pPr>
      <w:r>
        <w:rPr>
          <w:noProof/>
        </w:rPr>
        <w:drawing>
          <wp:inline distT="0" distB="0" distL="0" distR="0" wp14:anchorId="6167F743" wp14:editId="09D3C6EF">
            <wp:extent cx="5429250" cy="3438525"/>
            <wp:effectExtent l="0" t="0" r="0" b="9525"/>
            <wp:docPr id="3" name="Imagem 3" descr="C:\Users\francisco\Desktop\GCF-Regulamentação\PROJETO_APRESENTAÇÃO_PRODES2016_DETER2017_COP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esktop\GCF-Regulamentação\PROJETO_APRESENTAÇÃO_PRODES2016_DETER2017_COP_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8612" cy="3438121"/>
                    </a:xfrm>
                    <a:prstGeom prst="rect">
                      <a:avLst/>
                    </a:prstGeom>
                    <a:noFill/>
                    <a:ln>
                      <a:noFill/>
                    </a:ln>
                  </pic:spPr>
                </pic:pic>
              </a:graphicData>
            </a:graphic>
          </wp:inline>
        </w:drawing>
      </w:r>
    </w:p>
    <w:p w14:paraId="6F2CDEF5" w14:textId="3D70F9C2" w:rsidR="00BB1534" w:rsidRPr="00001C62" w:rsidRDefault="00001C62" w:rsidP="00001C62">
      <w:pPr>
        <w:pStyle w:val="Caption"/>
        <w:jc w:val="center"/>
        <w:rPr>
          <w:lang w:val="en-GB"/>
        </w:rPr>
      </w:pPr>
      <w:r w:rsidRPr="00001C62">
        <w:rPr>
          <w:lang w:val="en-GB"/>
        </w:rPr>
        <w:t xml:space="preserve">Figure </w:t>
      </w:r>
      <w:r>
        <w:fldChar w:fldCharType="begin"/>
      </w:r>
      <w:r w:rsidRPr="00001C62">
        <w:rPr>
          <w:lang w:val="en-GB"/>
        </w:rPr>
        <w:instrText xml:space="preserve"> SEQ Figure \* ARABIC </w:instrText>
      </w:r>
      <w:r>
        <w:fldChar w:fldCharType="separate"/>
      </w:r>
      <w:r w:rsidR="00AB2EB2">
        <w:rPr>
          <w:noProof/>
          <w:lang w:val="en-GB"/>
        </w:rPr>
        <w:t>1</w:t>
      </w:r>
      <w:r>
        <w:fldChar w:fldCharType="end"/>
      </w:r>
      <w:r w:rsidRPr="00001C62">
        <w:rPr>
          <w:lang w:val="en-GB"/>
        </w:rPr>
        <w:t xml:space="preserve">. </w:t>
      </w:r>
      <w:r w:rsidRPr="006B7982">
        <w:rPr>
          <w:sz w:val="20"/>
          <w:szCs w:val="20"/>
          <w:lang w:val="en-US"/>
        </w:rPr>
        <w:t>Map of deforestation accumulated until the year 2016 and estimate for the year 2017</w:t>
      </w:r>
      <w:r>
        <w:rPr>
          <w:sz w:val="20"/>
          <w:szCs w:val="20"/>
          <w:lang w:val="en-US"/>
        </w:rPr>
        <w:t>. Source: INPE 2017</w:t>
      </w:r>
    </w:p>
    <w:p w14:paraId="07F29FEC" w14:textId="734BB075" w:rsidR="00BB1534" w:rsidRDefault="00BB1534" w:rsidP="007F28CF">
      <w:pPr>
        <w:pStyle w:val="Normal1"/>
        <w:jc w:val="both"/>
        <w:rPr>
          <w:lang w:val="en-GB"/>
        </w:rPr>
      </w:pPr>
      <w:r>
        <w:rPr>
          <w:lang w:val="en-GB"/>
        </w:rPr>
        <w:lastRenderedPageBreak/>
        <w:t xml:space="preserve">Therefore, the proper implementation of such policies, mainly LSA, is a priority for SEMA-AM – as well as this proposal in order </w:t>
      </w:r>
      <w:r w:rsidR="007868EF" w:rsidRPr="00272D5C">
        <w:rPr>
          <w:lang w:val="en-GB"/>
        </w:rPr>
        <w:t xml:space="preserve">to enable partner engagement and fundraising to support environmental management and forest governance in the </w:t>
      </w:r>
      <w:r w:rsidR="002214AC">
        <w:rPr>
          <w:lang w:val="en-GB"/>
        </w:rPr>
        <w:t>State</w:t>
      </w:r>
      <w:r w:rsidR="007868EF" w:rsidRPr="00272D5C">
        <w:rPr>
          <w:lang w:val="en-GB"/>
        </w:rPr>
        <w:t xml:space="preserve">. </w:t>
      </w:r>
    </w:p>
    <w:p w14:paraId="7B086F8D" w14:textId="6DABC12C" w:rsidR="007868EF" w:rsidRDefault="007868EF" w:rsidP="007F28CF">
      <w:pPr>
        <w:pStyle w:val="Normal1"/>
        <w:jc w:val="both"/>
        <w:rPr>
          <w:lang w:val="en-GB"/>
        </w:rPr>
      </w:pPr>
      <w:r w:rsidRPr="00272D5C">
        <w:rPr>
          <w:lang w:val="en-GB"/>
        </w:rPr>
        <w:t xml:space="preserve">Thus, this proposal aims to (a) support the regulation of the Environmental Services Law of the </w:t>
      </w:r>
      <w:r w:rsidR="002214AC">
        <w:rPr>
          <w:lang w:val="en-GB"/>
        </w:rPr>
        <w:t>State</w:t>
      </w:r>
      <w:r w:rsidRPr="00272D5C">
        <w:rPr>
          <w:lang w:val="en-GB"/>
        </w:rPr>
        <w:t xml:space="preserve"> of Amazonas, (b) develop institutional and programmatic frameworks for its implementation, and (c) </w:t>
      </w:r>
      <w:r w:rsidR="00BB1534">
        <w:rPr>
          <w:lang w:val="en-GB"/>
        </w:rPr>
        <w:t xml:space="preserve">design a sharp funding strategy to </w:t>
      </w:r>
      <w:r w:rsidRPr="00272D5C">
        <w:rPr>
          <w:lang w:val="en-GB"/>
        </w:rPr>
        <w:t xml:space="preserve">seek additional sources of financial resources for </w:t>
      </w:r>
      <w:r w:rsidR="00BB1534">
        <w:rPr>
          <w:lang w:val="en-GB"/>
        </w:rPr>
        <w:t>LSA</w:t>
      </w:r>
      <w:r w:rsidRPr="00272D5C">
        <w:rPr>
          <w:lang w:val="en-GB"/>
        </w:rPr>
        <w:t xml:space="preserve"> implementation.</w:t>
      </w:r>
    </w:p>
    <w:p w14:paraId="6F8B7AB9" w14:textId="77777777" w:rsidR="00BB1534" w:rsidRDefault="00BB1534" w:rsidP="00BB1534">
      <w:pPr>
        <w:pStyle w:val="Normal1"/>
        <w:jc w:val="both"/>
        <w:rPr>
          <w:lang w:val="en-GB"/>
        </w:rPr>
      </w:pPr>
      <w:r>
        <w:rPr>
          <w:lang w:val="en-GB"/>
        </w:rPr>
        <w:t>SEMA-AM and its partners have already designed a jurisdictional REDD+ strategy, which will be updated and improved as a key goal within the LSA implementation. This will</w:t>
      </w:r>
      <w:r w:rsidR="006E6D15" w:rsidRPr="00272D5C">
        <w:rPr>
          <w:lang w:val="en-GB"/>
        </w:rPr>
        <w:t xml:space="preserve"> improve management of environmental services and forest governance </w:t>
      </w:r>
      <w:r>
        <w:rPr>
          <w:lang w:val="en-GB"/>
        </w:rPr>
        <w:t>in</w:t>
      </w:r>
      <w:r w:rsidR="006E6D15" w:rsidRPr="00272D5C">
        <w:rPr>
          <w:lang w:val="en-GB"/>
        </w:rPr>
        <w:t xml:space="preserve"> the </w:t>
      </w:r>
      <w:r w:rsidR="002214AC">
        <w:rPr>
          <w:lang w:val="en-GB"/>
        </w:rPr>
        <w:t>State</w:t>
      </w:r>
      <w:r w:rsidR="006E6D15" w:rsidRPr="00272D5C">
        <w:rPr>
          <w:lang w:val="en-GB"/>
        </w:rPr>
        <w:t>; reduc</w:t>
      </w:r>
      <w:r>
        <w:rPr>
          <w:lang w:val="en-GB"/>
        </w:rPr>
        <w:t>e</w:t>
      </w:r>
      <w:r w:rsidR="006E6D15" w:rsidRPr="00272D5C">
        <w:rPr>
          <w:lang w:val="en-GB"/>
        </w:rPr>
        <w:t xml:space="preserve"> carbon emissions and support </w:t>
      </w:r>
      <w:r>
        <w:rPr>
          <w:lang w:val="en-GB"/>
        </w:rPr>
        <w:t>the</w:t>
      </w:r>
      <w:r w:rsidR="006E6D15" w:rsidRPr="00272D5C">
        <w:rPr>
          <w:lang w:val="en-GB"/>
        </w:rPr>
        <w:t xml:space="preserve"> Brazilian NDC; rais</w:t>
      </w:r>
      <w:r>
        <w:rPr>
          <w:lang w:val="en-GB"/>
        </w:rPr>
        <w:t>e</w:t>
      </w:r>
      <w:r w:rsidR="006E6D15" w:rsidRPr="00272D5C">
        <w:rPr>
          <w:lang w:val="en-GB"/>
        </w:rPr>
        <w:t xml:space="preserve"> resources for the conservation of forests and improving the quality of life of traditional populations, indigenous peoples and rural producers in the Amazon.</w:t>
      </w:r>
    </w:p>
    <w:p w14:paraId="7EAD311E" w14:textId="716406B0" w:rsidR="00A32AB8" w:rsidRPr="00272D5C" w:rsidRDefault="00BB1534" w:rsidP="00BB1534">
      <w:pPr>
        <w:pStyle w:val="Normal1"/>
        <w:jc w:val="both"/>
        <w:rPr>
          <w:lang w:val="en-GB"/>
        </w:rPr>
      </w:pPr>
      <w:r>
        <w:rPr>
          <w:lang w:val="en-GB"/>
        </w:rPr>
        <w:t xml:space="preserve">The implementation of LSA, then, shall interact with </w:t>
      </w:r>
      <w:r w:rsidR="00EA4519">
        <w:rPr>
          <w:lang w:val="en-GB"/>
        </w:rPr>
        <w:t>on-going</w:t>
      </w:r>
      <w:r>
        <w:rPr>
          <w:lang w:val="en-GB"/>
        </w:rPr>
        <w:t xml:space="preserve"> policies, projects and activities, both national and State-level:</w:t>
      </w:r>
      <w:r w:rsidR="006E6D15" w:rsidRPr="00272D5C">
        <w:rPr>
          <w:lang w:val="en-GB"/>
        </w:rPr>
        <w:t xml:space="preserve">   </w:t>
      </w:r>
    </w:p>
    <w:p w14:paraId="5542359F" w14:textId="54707D92" w:rsidR="00A32AB8" w:rsidRDefault="00A32AB8" w:rsidP="00A32AB8">
      <w:pPr>
        <w:pStyle w:val="Normal1"/>
        <w:numPr>
          <w:ilvl w:val="0"/>
          <w:numId w:val="6"/>
        </w:numPr>
        <w:jc w:val="both"/>
        <w:rPr>
          <w:lang w:val="en-GB"/>
        </w:rPr>
      </w:pPr>
      <w:r w:rsidRPr="00A32AB8">
        <w:rPr>
          <w:lang w:val="en-GB"/>
        </w:rPr>
        <w:t xml:space="preserve">The State Policy on Climate Change, Environmental Conservation and Sustainable Development (PEMC), established through State Law No. 3,135 of 2007, and elaborated based on the guidelines established by State Decree No. 25,581 / 2007, introduces the bases for the development of actions of Reducing Emissions from Deforestation (RED). In this context, the PEMC includes RED with one of its objectives, creates a payment </w:t>
      </w:r>
      <w:r w:rsidR="00CD29E5">
        <w:rPr>
          <w:lang w:val="en-GB"/>
        </w:rPr>
        <w:t>programme</w:t>
      </w:r>
      <w:r w:rsidRPr="00A32AB8">
        <w:rPr>
          <w:lang w:val="en-GB"/>
        </w:rPr>
        <w:t xml:space="preserve"> for environmental services and gives guidance on its operation, defines activities to raise funds, both nationally and internationally, including the need to measure benefits generated authorizes the use of state resources for actions to reduce emissions in rural areas and authorizes the State to participate in carbon markets through the sale of the credits of which it is a beneficiary or holder.</w:t>
      </w:r>
    </w:p>
    <w:p w14:paraId="0B0206D3" w14:textId="12F43DC0" w:rsidR="006039E0" w:rsidRDefault="00C563C1" w:rsidP="00C563C1">
      <w:pPr>
        <w:pStyle w:val="Normal1"/>
        <w:numPr>
          <w:ilvl w:val="0"/>
          <w:numId w:val="6"/>
        </w:numPr>
        <w:jc w:val="both"/>
        <w:rPr>
          <w:lang w:val="en-GB"/>
        </w:rPr>
      </w:pPr>
      <w:r w:rsidRPr="00C563C1">
        <w:rPr>
          <w:lang w:val="en-GB"/>
        </w:rPr>
        <w:t xml:space="preserve">The Amazon for being the first Brazilian State to have a Climate Change Policy (State Law No. 3,135 of 2007), whose promulgation was also accompanied by other legal instruments, such as State Complementary Law n. 53/2007 that deals with the State System of Conservation Units. Already providing for the structuring of projects to reduce emissions from deforestation and the sale of carbon assets, a </w:t>
      </w:r>
      <w:r w:rsidR="00CD29E5">
        <w:rPr>
          <w:lang w:val="en-GB"/>
        </w:rPr>
        <w:t>programme</w:t>
      </w:r>
      <w:r w:rsidRPr="00C563C1">
        <w:rPr>
          <w:lang w:val="en-GB"/>
        </w:rPr>
        <w:t xml:space="preserve"> of payments for environmental services was provided for by these Laws (Bolsa Floresta </w:t>
      </w:r>
      <w:r w:rsidR="00CD29E5">
        <w:rPr>
          <w:lang w:val="en-GB"/>
        </w:rPr>
        <w:t>Programme</w:t>
      </w:r>
      <w:r w:rsidRPr="00C563C1">
        <w:rPr>
          <w:lang w:val="en-GB"/>
        </w:rPr>
        <w:t>), in addition to approving the Environmental Services Law (State Law No. 4,266 of 2015), the State of Amazonas has a privileged position in relation to most of the other Brazilian states for the implementation of mechanisms that allow participation in possible markets for emission reductions, and to protect and conserve the natural environments of the State of Amazonas, as described in Article 4 of the objectives of the Environmental Services Policy of the State of Amazonas.</w:t>
      </w:r>
    </w:p>
    <w:p w14:paraId="03FA9A22" w14:textId="0C01D60D" w:rsidR="00C563C1" w:rsidRDefault="00C563C1" w:rsidP="00025568">
      <w:pPr>
        <w:pStyle w:val="Normal1"/>
        <w:numPr>
          <w:ilvl w:val="0"/>
          <w:numId w:val="6"/>
        </w:numPr>
        <w:jc w:val="both"/>
        <w:rPr>
          <w:lang w:val="en-GB"/>
        </w:rPr>
      </w:pPr>
      <w:r w:rsidRPr="00C563C1">
        <w:rPr>
          <w:lang w:val="en-GB"/>
        </w:rPr>
        <w:t xml:space="preserve">However, it is important to emphasize that, despite the legislation of Amazonas and the experience in conducting projects to reduce forest emissions, the current environmental legal framework of Amazonas presents gaps for the adequate establishment of carbon asset market elements. It is noted in this link that many of these shortcomings are </w:t>
      </w:r>
      <w:r w:rsidRPr="00C563C1">
        <w:rPr>
          <w:lang w:val="en-GB"/>
        </w:rPr>
        <w:lastRenderedPageBreak/>
        <w:t>partially fulfilled by the Environmental Services Law (Law No. 4,266 of 2015).</w:t>
      </w:r>
      <w:r w:rsidR="00025568">
        <w:rPr>
          <w:lang w:val="en-GB"/>
        </w:rPr>
        <w:t xml:space="preserve"> </w:t>
      </w:r>
      <w:r w:rsidR="00025568" w:rsidRPr="00025568">
        <w:rPr>
          <w:lang w:val="en-GB"/>
        </w:rPr>
        <w:t xml:space="preserve">However, in order to fill these gaps, the Government of the State of Amazonas is engaged in the construction of legal instruments that consolidate a legislative package capable of providing environmental, social, economic and legal security and integrity, according to Art. the creation and expansion of </w:t>
      </w:r>
      <w:r w:rsidR="00CD29E5">
        <w:rPr>
          <w:lang w:val="en-GB"/>
        </w:rPr>
        <w:t>programme</w:t>
      </w:r>
      <w:r w:rsidR="00025568" w:rsidRPr="00025568">
        <w:rPr>
          <w:lang w:val="en-GB"/>
        </w:rPr>
        <w:t>s, sub</w:t>
      </w:r>
      <w:r w:rsidR="00794C8C">
        <w:rPr>
          <w:lang w:val="en-GB"/>
        </w:rPr>
        <w:t xml:space="preserve"> </w:t>
      </w:r>
      <w:r w:rsidR="00CD29E5">
        <w:rPr>
          <w:lang w:val="en-GB"/>
        </w:rPr>
        <w:t>programme</w:t>
      </w:r>
      <w:r w:rsidR="00025568" w:rsidRPr="00025568">
        <w:rPr>
          <w:lang w:val="en-GB"/>
        </w:rPr>
        <w:t>s and projects aimed at encouraging the maintenance and provision of environmental services and for Reducing Emissions from Deforestation and Forest Degradation (REDD +), protection of natural resources, Traditional Peoples and Communities and Indigenous Peoples</w:t>
      </w:r>
      <w:r w:rsidR="00025568">
        <w:rPr>
          <w:lang w:val="en-GB"/>
        </w:rPr>
        <w:t xml:space="preserve">. </w:t>
      </w:r>
    </w:p>
    <w:p w14:paraId="5FF550D3" w14:textId="2595E371" w:rsidR="00334D29" w:rsidRPr="00272D5C" w:rsidRDefault="00AF04FB" w:rsidP="007F28CF">
      <w:pPr>
        <w:pStyle w:val="Normal1"/>
        <w:numPr>
          <w:ilvl w:val="0"/>
          <w:numId w:val="6"/>
        </w:numPr>
        <w:jc w:val="both"/>
        <w:rPr>
          <w:lang w:val="en-GB"/>
        </w:rPr>
      </w:pPr>
      <w:r w:rsidRPr="00272D5C">
        <w:rPr>
          <w:lang w:val="en-GB"/>
        </w:rPr>
        <w:t xml:space="preserve">Bolsa Floresta Programme </w:t>
      </w:r>
      <w:r w:rsidR="00334D29" w:rsidRPr="00272D5C">
        <w:rPr>
          <w:lang w:val="en-GB"/>
        </w:rPr>
        <w:t xml:space="preserve">is a </w:t>
      </w:r>
      <w:r w:rsidR="002214AC">
        <w:rPr>
          <w:lang w:val="en-GB"/>
        </w:rPr>
        <w:t>State</w:t>
      </w:r>
      <w:r w:rsidR="00334D29" w:rsidRPr="00272D5C">
        <w:rPr>
          <w:lang w:val="en-GB"/>
        </w:rPr>
        <w:t xml:space="preserve"> public policy on payments for environmental services targeted at </w:t>
      </w:r>
      <w:r w:rsidR="000A63BD">
        <w:rPr>
          <w:lang w:val="en-GB"/>
        </w:rPr>
        <w:t>women’s families</w:t>
      </w:r>
      <w:r w:rsidR="000A63BD">
        <w:rPr>
          <w:rStyle w:val="FootnoteReference"/>
          <w:lang w:val="en-GB"/>
        </w:rPr>
        <w:footnoteReference w:id="3"/>
      </w:r>
      <w:r w:rsidR="000A63BD">
        <w:rPr>
          <w:lang w:val="en-GB"/>
        </w:rPr>
        <w:t xml:space="preserve"> within </w:t>
      </w:r>
      <w:r w:rsidR="00334D29" w:rsidRPr="00272D5C">
        <w:rPr>
          <w:lang w:val="en-GB"/>
        </w:rPr>
        <w:t xml:space="preserve">traditional populations dwelling in </w:t>
      </w:r>
      <w:r w:rsidR="002214AC">
        <w:rPr>
          <w:lang w:val="en-GB"/>
        </w:rPr>
        <w:t>State</w:t>
      </w:r>
      <w:r w:rsidR="00334D29" w:rsidRPr="00272D5C">
        <w:rPr>
          <w:lang w:val="en-GB"/>
        </w:rPr>
        <w:t xml:space="preserve">-level protected areas. Created in 2007, </w:t>
      </w:r>
      <w:r w:rsidR="00C36A97">
        <w:rPr>
          <w:lang w:val="en-GB"/>
        </w:rPr>
        <w:t>BFP</w:t>
      </w:r>
      <w:r w:rsidR="00334D29" w:rsidRPr="00272D5C">
        <w:rPr>
          <w:lang w:val="en-GB"/>
        </w:rPr>
        <w:t xml:space="preserve"> has been implemented by Sustainable Amazonas Foundation, under the supervision of SEMA-AM, since 2008. This programme is an innovative strategy for </w:t>
      </w:r>
      <w:r w:rsidRPr="00272D5C">
        <w:rPr>
          <w:lang w:val="en-GB"/>
        </w:rPr>
        <w:t xml:space="preserve">curbing </w:t>
      </w:r>
      <w:r w:rsidR="00334D29" w:rsidRPr="00272D5C">
        <w:rPr>
          <w:lang w:val="en-GB"/>
        </w:rPr>
        <w:t xml:space="preserve">deforestation and </w:t>
      </w:r>
      <w:r w:rsidRPr="00272D5C">
        <w:rPr>
          <w:lang w:val="en-GB"/>
        </w:rPr>
        <w:t xml:space="preserve">reducing </w:t>
      </w:r>
      <w:r w:rsidR="00334D29" w:rsidRPr="00272D5C">
        <w:rPr>
          <w:lang w:val="en-GB"/>
        </w:rPr>
        <w:t>GHG emission</w:t>
      </w:r>
      <w:r w:rsidRPr="00272D5C">
        <w:rPr>
          <w:lang w:val="en-GB"/>
        </w:rPr>
        <w:t>s</w:t>
      </w:r>
      <w:r w:rsidR="00334D29" w:rsidRPr="00272D5C">
        <w:rPr>
          <w:lang w:val="en-GB"/>
        </w:rPr>
        <w:t xml:space="preserve">, and for </w:t>
      </w:r>
      <w:r w:rsidRPr="00272D5C">
        <w:rPr>
          <w:lang w:val="en-GB"/>
        </w:rPr>
        <w:t xml:space="preserve">improving peoples’ livelihood </w:t>
      </w:r>
      <w:r w:rsidR="00334D29" w:rsidRPr="00272D5C">
        <w:rPr>
          <w:lang w:val="en-GB"/>
        </w:rPr>
        <w:t xml:space="preserve">in 16 </w:t>
      </w:r>
      <w:r w:rsidR="002214AC">
        <w:rPr>
          <w:lang w:val="en-GB"/>
        </w:rPr>
        <w:t>State</w:t>
      </w:r>
      <w:r w:rsidR="00334D29" w:rsidRPr="00272D5C">
        <w:rPr>
          <w:lang w:val="en-GB"/>
        </w:rPr>
        <w:t xml:space="preserve"> protected areas</w:t>
      </w:r>
      <w:r w:rsidRPr="00272D5C">
        <w:rPr>
          <w:lang w:val="en-GB"/>
        </w:rPr>
        <w:t>, 10.9 million hectares – benefiting more than 40 thousand people</w:t>
      </w:r>
      <w:r w:rsidRPr="00272D5C">
        <w:rPr>
          <w:rStyle w:val="FootnoteReference"/>
          <w:lang w:val="en-GB"/>
        </w:rPr>
        <w:footnoteReference w:id="4"/>
      </w:r>
      <w:r w:rsidRPr="00272D5C">
        <w:rPr>
          <w:lang w:val="en-GB"/>
        </w:rPr>
        <w:t xml:space="preserve"> within 583 riverine communities</w:t>
      </w:r>
      <w:r w:rsidR="00334D29" w:rsidRPr="00272D5C">
        <w:rPr>
          <w:lang w:val="en-GB"/>
        </w:rPr>
        <w:t>.</w:t>
      </w:r>
      <w:r w:rsidRPr="00272D5C">
        <w:rPr>
          <w:lang w:val="en-GB"/>
        </w:rPr>
        <w:t xml:space="preserve"> Having a private foundation, FAS, to implement a public policy is an innovation. </w:t>
      </w:r>
      <w:r w:rsidR="00334D29" w:rsidRPr="00272D5C">
        <w:rPr>
          <w:lang w:val="en-GB"/>
        </w:rPr>
        <w:t xml:space="preserve">This </w:t>
      </w:r>
      <w:r w:rsidRPr="00272D5C">
        <w:rPr>
          <w:lang w:val="en-GB"/>
        </w:rPr>
        <w:t xml:space="preserve">has enhanced </w:t>
      </w:r>
      <w:r w:rsidR="00334D29" w:rsidRPr="00272D5C">
        <w:rPr>
          <w:lang w:val="en-GB"/>
        </w:rPr>
        <w:t xml:space="preserve">efficiency </w:t>
      </w:r>
      <w:r w:rsidRPr="00272D5C">
        <w:rPr>
          <w:lang w:val="en-GB"/>
        </w:rPr>
        <w:t xml:space="preserve">and enabled </w:t>
      </w:r>
      <w:r w:rsidR="00334D29" w:rsidRPr="00272D5C">
        <w:rPr>
          <w:lang w:val="en-GB"/>
        </w:rPr>
        <w:t xml:space="preserve">fundraising and funds. Since 2008, FAS and </w:t>
      </w:r>
      <w:r w:rsidRPr="00272D5C">
        <w:rPr>
          <w:lang w:val="en-GB"/>
        </w:rPr>
        <w:t xml:space="preserve">SEMA-AM </w:t>
      </w:r>
      <w:r w:rsidR="00334D29" w:rsidRPr="00272D5C">
        <w:rPr>
          <w:lang w:val="en-GB"/>
        </w:rPr>
        <w:t xml:space="preserve">have been able to </w:t>
      </w:r>
      <w:r w:rsidRPr="00272D5C">
        <w:rPr>
          <w:lang w:val="en-GB"/>
        </w:rPr>
        <w:t xml:space="preserve">engage </w:t>
      </w:r>
      <w:r w:rsidR="00334D29" w:rsidRPr="00272D5C">
        <w:rPr>
          <w:lang w:val="en-GB"/>
        </w:rPr>
        <w:t>with Bradesco Bank, Marriott International, Coca-Cola, the Amazon Fund/BNDES, Samsung</w:t>
      </w:r>
      <w:r w:rsidRPr="00272D5C">
        <w:rPr>
          <w:lang w:val="en-GB"/>
        </w:rPr>
        <w:t>,</w:t>
      </w:r>
      <w:r w:rsidR="00334D29" w:rsidRPr="00272D5C">
        <w:rPr>
          <w:lang w:val="en-GB"/>
        </w:rPr>
        <w:t xml:space="preserve"> among others.</w:t>
      </w:r>
      <w:r w:rsidR="00E069AD">
        <w:rPr>
          <w:lang w:val="en-GB"/>
        </w:rPr>
        <w:t xml:space="preserve"> Such partners have been co-funding this conservation strategy.</w:t>
      </w:r>
    </w:p>
    <w:p w14:paraId="39D403A6" w14:textId="6A9ACA35" w:rsidR="00334D29" w:rsidRPr="00272D5C" w:rsidRDefault="00AF04FB" w:rsidP="007F28CF">
      <w:pPr>
        <w:pStyle w:val="Normal1"/>
        <w:numPr>
          <w:ilvl w:val="0"/>
          <w:numId w:val="6"/>
        </w:numPr>
        <w:jc w:val="both"/>
        <w:rPr>
          <w:lang w:val="en-GB"/>
        </w:rPr>
      </w:pPr>
      <w:r w:rsidRPr="00272D5C">
        <w:rPr>
          <w:lang w:val="en-GB"/>
        </w:rPr>
        <w:t xml:space="preserve">The Juma REDD+ project, led by </w:t>
      </w:r>
      <w:r w:rsidR="00334D29" w:rsidRPr="00272D5C">
        <w:rPr>
          <w:lang w:val="en-GB"/>
        </w:rPr>
        <w:t>FAS</w:t>
      </w:r>
      <w:r w:rsidRPr="00272D5C">
        <w:rPr>
          <w:lang w:val="en-GB"/>
        </w:rPr>
        <w:t xml:space="preserve"> in partnership with </w:t>
      </w:r>
      <w:r w:rsidR="00334D29" w:rsidRPr="00272D5C">
        <w:rPr>
          <w:lang w:val="en-GB"/>
        </w:rPr>
        <w:t>Marriott International</w:t>
      </w:r>
      <w:r w:rsidR="00E069AD">
        <w:rPr>
          <w:rStyle w:val="FootnoteReference"/>
          <w:lang w:val="en-GB"/>
        </w:rPr>
        <w:footnoteReference w:id="5"/>
      </w:r>
      <w:r w:rsidR="00334D29" w:rsidRPr="00272D5C">
        <w:rPr>
          <w:lang w:val="en-GB"/>
        </w:rPr>
        <w:t xml:space="preserve">, Bradesco Bank, </w:t>
      </w:r>
      <w:r w:rsidRPr="00272D5C">
        <w:rPr>
          <w:lang w:val="en-GB"/>
        </w:rPr>
        <w:t xml:space="preserve">the Amazon Fund, with technical assistance by </w:t>
      </w:r>
      <w:r w:rsidR="00334D29" w:rsidRPr="00272D5C">
        <w:rPr>
          <w:lang w:val="en-GB"/>
        </w:rPr>
        <w:t xml:space="preserve">Idesam, </w:t>
      </w:r>
      <w:r w:rsidRPr="00272D5C">
        <w:rPr>
          <w:lang w:val="en-GB"/>
        </w:rPr>
        <w:t xml:space="preserve">and supervised by SEMA-AM, was the first REDD certified project in the Amazon. Implemented </w:t>
      </w:r>
      <w:r w:rsidR="00334D29" w:rsidRPr="00272D5C">
        <w:rPr>
          <w:lang w:val="en-GB"/>
        </w:rPr>
        <w:t>in the Sustainable Development Reserve (RDS) of Juma, in the municipality of Novo Aripuanã (225 km south of Manaus)</w:t>
      </w:r>
      <w:r w:rsidRPr="00272D5C">
        <w:rPr>
          <w:lang w:val="en-GB"/>
        </w:rPr>
        <w:t xml:space="preserve">, the project supports the conservation of </w:t>
      </w:r>
      <w:r w:rsidR="00334D29" w:rsidRPr="00272D5C">
        <w:rPr>
          <w:lang w:val="en-GB"/>
        </w:rPr>
        <w:t xml:space="preserve">589,612 hectares and </w:t>
      </w:r>
      <w:r w:rsidR="00A6063B" w:rsidRPr="00272D5C">
        <w:rPr>
          <w:lang w:val="en-GB"/>
        </w:rPr>
        <w:t xml:space="preserve">improves the livelihood of </w:t>
      </w:r>
      <w:r w:rsidR="00334D29" w:rsidRPr="00272D5C">
        <w:rPr>
          <w:lang w:val="en-GB"/>
        </w:rPr>
        <w:t>more than 2,000 residents within 38 communities</w:t>
      </w:r>
      <w:r w:rsidR="008A6E42">
        <w:rPr>
          <w:lang w:val="en-GB"/>
        </w:rPr>
        <w:t xml:space="preserve"> – prioritising women as of Bolsa Floresta</w:t>
      </w:r>
      <w:r w:rsidR="00334D29" w:rsidRPr="00272D5C">
        <w:rPr>
          <w:lang w:val="en-GB"/>
        </w:rPr>
        <w:t>.</w:t>
      </w:r>
      <w:r w:rsidR="00A6063B" w:rsidRPr="00272D5C">
        <w:rPr>
          <w:lang w:val="en-GB"/>
        </w:rPr>
        <w:t xml:space="preserve"> From 2006 to 2016, the </w:t>
      </w:r>
      <w:r w:rsidR="00334D29" w:rsidRPr="00272D5C">
        <w:rPr>
          <w:lang w:val="en-GB"/>
        </w:rPr>
        <w:t xml:space="preserve">Juma </w:t>
      </w:r>
      <w:r w:rsidR="00A6063B" w:rsidRPr="00272D5C">
        <w:rPr>
          <w:lang w:val="en-GB"/>
        </w:rPr>
        <w:t xml:space="preserve">REDD+ project </w:t>
      </w:r>
      <w:r w:rsidR="00334D29" w:rsidRPr="00272D5C">
        <w:rPr>
          <w:lang w:val="en-GB"/>
        </w:rPr>
        <w:t xml:space="preserve">has </w:t>
      </w:r>
      <w:r w:rsidR="00A6063B" w:rsidRPr="00272D5C">
        <w:rPr>
          <w:lang w:val="en-GB"/>
        </w:rPr>
        <w:t xml:space="preserve">reduced 10.1 million tCO2e in comparison with the certified baseline – avoiding the deforestation of </w:t>
      </w:r>
      <w:r w:rsidR="00A6063B" w:rsidRPr="00272D5C">
        <w:rPr>
          <w:i/>
          <w:lang w:val="en-GB"/>
        </w:rPr>
        <w:t>circa</w:t>
      </w:r>
      <w:r w:rsidR="00A6063B" w:rsidRPr="00272D5C">
        <w:rPr>
          <w:lang w:val="en-GB"/>
        </w:rPr>
        <w:t xml:space="preserve"> 19 thousand hectares</w:t>
      </w:r>
      <w:r w:rsidR="00334D29" w:rsidRPr="00272D5C">
        <w:rPr>
          <w:lang w:val="en-GB"/>
        </w:rPr>
        <w:t>.</w:t>
      </w:r>
      <w:r w:rsidR="00A250A1" w:rsidRPr="00272D5C">
        <w:rPr>
          <w:lang w:val="en-GB"/>
        </w:rPr>
        <w:t xml:space="preserve"> </w:t>
      </w:r>
    </w:p>
    <w:p w14:paraId="2A64452A" w14:textId="4D21C455" w:rsidR="006039E0" w:rsidRDefault="007B77F3" w:rsidP="00025568">
      <w:pPr>
        <w:pStyle w:val="Normal1"/>
        <w:numPr>
          <w:ilvl w:val="0"/>
          <w:numId w:val="6"/>
        </w:numPr>
        <w:jc w:val="both"/>
        <w:rPr>
          <w:lang w:val="en-GB"/>
        </w:rPr>
      </w:pPr>
      <w:r>
        <w:rPr>
          <w:lang w:val="en-GB"/>
        </w:rPr>
        <w:t>I</w:t>
      </w:r>
      <w:r w:rsidR="00025568" w:rsidRPr="00025568">
        <w:rPr>
          <w:lang w:val="en-GB"/>
        </w:rPr>
        <w:t>n 2009, the State of Amazonas prepared the State Plan for the Prevention and Control of Deforestation in Amazonas (PPCD-AM), with the objective of "strengthening environmental governance in the state of Amazonas, controlling illegal deforestation and encouraging the sustainable use of natural resources with an emphasis on critical areas of deforestation.</w:t>
      </w:r>
      <w:r w:rsidR="003615FA">
        <w:rPr>
          <w:lang w:val="en-GB"/>
        </w:rPr>
        <w:t xml:space="preserve"> </w:t>
      </w:r>
      <w:r w:rsidR="00EA4519">
        <w:rPr>
          <w:lang w:val="en-GB"/>
        </w:rPr>
        <w:t>"</w:t>
      </w:r>
      <w:r w:rsidR="00025568" w:rsidRPr="00025568">
        <w:rPr>
          <w:lang w:val="en-GB"/>
        </w:rPr>
        <w:t xml:space="preserve">The Plan was organized around four strategic axes: I) Territorial Planning; 2) Environmental Control; 3) Promotion of Sustainable Productive Activities and 4) Institutional Strengthening / Transversal Actions, each associated to a set of macro-actions, subdivided into activities. Regarding the temporal organization, it was </w:t>
      </w:r>
      <w:r w:rsidR="00025568" w:rsidRPr="00025568">
        <w:rPr>
          <w:lang w:val="en-GB"/>
        </w:rPr>
        <w:lastRenderedPageBreak/>
        <w:t>established that its first phase of execution would be three years, these occurred between the years 2009 to 2011, and the second phase of 2012-2015.</w:t>
      </w:r>
    </w:p>
    <w:p w14:paraId="39564DE2" w14:textId="39E0C10D" w:rsidR="00C54FD7" w:rsidRDefault="00C54FD7" w:rsidP="00C54FD7">
      <w:pPr>
        <w:pStyle w:val="Normal1"/>
        <w:numPr>
          <w:ilvl w:val="0"/>
          <w:numId w:val="6"/>
        </w:numPr>
        <w:jc w:val="both"/>
        <w:rPr>
          <w:lang w:val="en-GB"/>
        </w:rPr>
      </w:pPr>
      <w:r w:rsidRPr="00C54FD7">
        <w:rPr>
          <w:lang w:val="en-GB"/>
        </w:rPr>
        <w:t>In 2012, the second phase of the PPCD-AM was conducted by the State Center for Climate Change (CECLIMA). The methodology was based on an internal analysis of the main actions carried out in Phase I, which culminated in more than 64 actions, organized in 03 Strategic Axes: Axis 1: Territorial Planning: Axis 2: Monitoring and Control; and Axis 3: Promotion of Sustainable Productive Activities. Amazon deforestation prevention and control plan (PPCD-AM) - Amazonas completed phase two of its PPCD, covering the period 2012-2015. The strategies describe the PPCD's focus on spatial planning, monitoring and enforcement, and regularization of properties through the Rural Environmental Registry (CAR). From the previous notes, some signs are taking place that are contributing to the process of elaboration of the third phase of PPCD-AM. Namely: Plan Management Model; Adopt a multi-scale territorial approach; Giving centrality to technological innovation; Expand protected areas; Expand dialogue with society; Strengthen cooperation in the triple border and Focus on the contribution of GIZ.</w:t>
      </w:r>
    </w:p>
    <w:p w14:paraId="5F886B27" w14:textId="5BD735B7" w:rsidR="00C54FD7" w:rsidRDefault="00C54FD7" w:rsidP="00C54FD7">
      <w:pPr>
        <w:pStyle w:val="Normal1"/>
        <w:numPr>
          <w:ilvl w:val="0"/>
          <w:numId w:val="6"/>
        </w:numPr>
        <w:jc w:val="both"/>
        <w:rPr>
          <w:lang w:val="en-GB"/>
        </w:rPr>
      </w:pPr>
      <w:r w:rsidRPr="00C54FD7">
        <w:rPr>
          <w:lang w:val="en-GB"/>
        </w:rPr>
        <w:t>The State Deforestation Prevention and Control Plan (PPCD-AM) has involved a wide range of state secretariats in an integrated effort to develop ways to reduce deforestation while creating new economic alternatives. Combined, these policies have helped reduce deforestation from activities such as land grabbing, illegal logging, soybean agriculture and ranching from an average of 10 years (1996-2005) from 868 km² to 474 km² in 2010.</w:t>
      </w:r>
    </w:p>
    <w:p w14:paraId="159CD9B0" w14:textId="5C4DA949" w:rsidR="00334D29" w:rsidRPr="00272D5C" w:rsidRDefault="00BB1534" w:rsidP="007F28CF">
      <w:pPr>
        <w:pStyle w:val="Normal1"/>
        <w:numPr>
          <w:ilvl w:val="0"/>
          <w:numId w:val="6"/>
        </w:numPr>
        <w:jc w:val="both"/>
        <w:rPr>
          <w:lang w:val="en-GB"/>
        </w:rPr>
      </w:pPr>
      <w:r>
        <w:rPr>
          <w:lang w:val="en-GB"/>
        </w:rPr>
        <w:t>Apuí</w:t>
      </w:r>
      <w:r w:rsidR="00334D29" w:rsidRPr="00272D5C">
        <w:rPr>
          <w:lang w:val="en-GB"/>
        </w:rPr>
        <w:t xml:space="preserve"> Cattle Breeding and Carbon Project that aims to reduce deforestation in the southern region of Amazonas by increasing livestock productivity and decreasing GHG emissions. Among main activities, to provide credit and technical assistance to smallholders, adopt of silvopastoral practices management, and social empowerment. From 2011 to 2016, the achievements have been great: increasing revenues generated for small and medium-sized rural properties in the region, when compared to a business as usual scenario.</w:t>
      </w:r>
    </w:p>
    <w:p w14:paraId="55D7F2C3" w14:textId="2C192A1E" w:rsidR="004E167A" w:rsidRPr="00FD007D" w:rsidRDefault="00BB1534" w:rsidP="00FD007D">
      <w:pPr>
        <w:pStyle w:val="ListParagraph"/>
        <w:numPr>
          <w:ilvl w:val="0"/>
          <w:numId w:val="6"/>
        </w:numPr>
        <w:spacing w:after="0"/>
        <w:jc w:val="both"/>
        <w:rPr>
          <w:rFonts w:cstheme="minorHAnsi"/>
          <w:lang w:val="en-GB"/>
        </w:rPr>
      </w:pPr>
      <w:r w:rsidRPr="00272D5C">
        <w:rPr>
          <w:rFonts w:cstheme="minorHAnsi"/>
          <w:lang w:val="en-GB"/>
        </w:rPr>
        <w:t xml:space="preserve">Sustainable </w:t>
      </w:r>
      <w:r>
        <w:rPr>
          <w:rFonts w:cstheme="minorHAnsi"/>
          <w:lang w:val="en-GB"/>
        </w:rPr>
        <w:t>A</w:t>
      </w:r>
      <w:r w:rsidRPr="00272D5C">
        <w:rPr>
          <w:rFonts w:cstheme="minorHAnsi"/>
          <w:lang w:val="en-GB"/>
        </w:rPr>
        <w:t xml:space="preserve">mazon </w:t>
      </w:r>
      <w:r>
        <w:rPr>
          <w:rFonts w:cstheme="minorHAnsi"/>
          <w:lang w:val="en-GB"/>
        </w:rPr>
        <w:t>L</w:t>
      </w:r>
      <w:r w:rsidRPr="00272D5C">
        <w:rPr>
          <w:rFonts w:cstheme="minorHAnsi"/>
          <w:lang w:val="en-GB"/>
        </w:rPr>
        <w:t xml:space="preserve">andscapes </w:t>
      </w:r>
      <w:r>
        <w:rPr>
          <w:rFonts w:cstheme="minorHAnsi"/>
          <w:lang w:val="en-GB"/>
        </w:rPr>
        <w:t>P</w:t>
      </w:r>
      <w:r w:rsidRPr="00272D5C">
        <w:rPr>
          <w:rFonts w:cstheme="minorHAnsi"/>
          <w:lang w:val="en-GB"/>
        </w:rPr>
        <w:t>roject</w:t>
      </w:r>
      <w:r w:rsidR="004E167A" w:rsidRPr="00272D5C">
        <w:rPr>
          <w:rFonts w:cstheme="minorHAnsi"/>
          <w:lang w:val="en-GB"/>
        </w:rPr>
        <w:t xml:space="preserve"> is coordinated by the </w:t>
      </w:r>
      <w:r w:rsidR="00FD007D">
        <w:rPr>
          <w:rFonts w:cstheme="minorHAnsi"/>
          <w:lang w:val="en-GB"/>
        </w:rPr>
        <w:t xml:space="preserve">Brazilian </w:t>
      </w:r>
      <w:r w:rsidR="004E167A" w:rsidRPr="00272D5C">
        <w:rPr>
          <w:rFonts w:cstheme="minorHAnsi"/>
          <w:lang w:val="en-GB"/>
        </w:rPr>
        <w:t xml:space="preserve">Ministry of the Environment </w:t>
      </w:r>
      <w:r w:rsidR="00FD007D">
        <w:rPr>
          <w:rFonts w:cstheme="minorHAnsi"/>
          <w:lang w:val="en-GB"/>
        </w:rPr>
        <w:t xml:space="preserve">and intends </w:t>
      </w:r>
      <w:r w:rsidR="004E167A" w:rsidRPr="00272D5C">
        <w:rPr>
          <w:rFonts w:cstheme="minorHAnsi"/>
          <w:lang w:val="en-GB"/>
        </w:rPr>
        <w:t xml:space="preserve">the expansion </w:t>
      </w:r>
      <w:r w:rsidR="00FD007D">
        <w:rPr>
          <w:rFonts w:cstheme="minorHAnsi"/>
          <w:lang w:val="en-GB"/>
        </w:rPr>
        <w:t>and implementation of protected areas within a sustainable</w:t>
      </w:r>
      <w:r w:rsidR="004E167A" w:rsidRPr="00272D5C">
        <w:rPr>
          <w:rFonts w:cstheme="minorHAnsi"/>
          <w:lang w:val="en-GB"/>
        </w:rPr>
        <w:t xml:space="preserve"> conservation unit system, reduce</w:t>
      </w:r>
      <w:r w:rsidR="00FD007D">
        <w:rPr>
          <w:rFonts w:cstheme="minorHAnsi"/>
          <w:lang w:val="en-GB"/>
        </w:rPr>
        <w:t>s</w:t>
      </w:r>
      <w:r w:rsidR="004E167A" w:rsidRPr="00272D5C">
        <w:rPr>
          <w:rFonts w:cstheme="minorHAnsi"/>
          <w:lang w:val="en-GB"/>
        </w:rPr>
        <w:t xml:space="preserve"> threats to biodiversity, recover</w:t>
      </w:r>
      <w:r w:rsidR="00FD007D">
        <w:rPr>
          <w:rFonts w:cstheme="minorHAnsi"/>
          <w:lang w:val="en-GB"/>
        </w:rPr>
        <w:t>s</w:t>
      </w:r>
      <w:r w:rsidR="004E167A" w:rsidRPr="00272D5C">
        <w:rPr>
          <w:rFonts w:cstheme="minorHAnsi"/>
          <w:lang w:val="en-GB"/>
        </w:rPr>
        <w:t xml:space="preserve"> degraded areas, increase</w:t>
      </w:r>
      <w:r w:rsidR="00FD007D">
        <w:rPr>
          <w:rFonts w:cstheme="minorHAnsi"/>
          <w:lang w:val="en-GB"/>
        </w:rPr>
        <w:t>s</w:t>
      </w:r>
      <w:r w:rsidR="004E167A" w:rsidRPr="00272D5C">
        <w:rPr>
          <w:rFonts w:cstheme="minorHAnsi"/>
          <w:lang w:val="en-GB"/>
        </w:rPr>
        <w:t xml:space="preserve"> carbon</w:t>
      </w:r>
      <w:r w:rsidR="00FD007D">
        <w:rPr>
          <w:rFonts w:cstheme="minorHAnsi"/>
          <w:lang w:val="en-GB"/>
        </w:rPr>
        <w:t xml:space="preserve"> storage and stock</w:t>
      </w:r>
      <w:r w:rsidR="004E167A" w:rsidRPr="00272D5C">
        <w:rPr>
          <w:rFonts w:cstheme="minorHAnsi"/>
          <w:lang w:val="en-GB"/>
        </w:rPr>
        <w:t>, develop</w:t>
      </w:r>
      <w:r w:rsidR="00FD007D">
        <w:rPr>
          <w:rFonts w:cstheme="minorHAnsi"/>
          <w:lang w:val="en-GB"/>
        </w:rPr>
        <w:t>s</w:t>
      </w:r>
      <w:r w:rsidR="004E167A" w:rsidRPr="00272D5C">
        <w:rPr>
          <w:rFonts w:cstheme="minorHAnsi"/>
          <w:lang w:val="en-GB"/>
        </w:rPr>
        <w:t xml:space="preserve"> good forest management practices, and strengthen</w:t>
      </w:r>
      <w:r w:rsidR="00FD007D">
        <w:rPr>
          <w:rFonts w:cstheme="minorHAnsi"/>
          <w:lang w:val="en-GB"/>
        </w:rPr>
        <w:t>s</w:t>
      </w:r>
      <w:r w:rsidR="004E167A" w:rsidRPr="00272D5C">
        <w:rPr>
          <w:rFonts w:cstheme="minorHAnsi"/>
          <w:lang w:val="en-GB"/>
        </w:rPr>
        <w:t xml:space="preserve"> policies and plans for environmental conservation in the Brazilian Amazon. </w:t>
      </w:r>
      <w:r w:rsidR="00FD007D">
        <w:rPr>
          <w:rFonts w:cstheme="minorHAnsi"/>
          <w:lang w:val="en-GB"/>
        </w:rPr>
        <w:t>In Amazonas the focus is to set up an integrated landscape management, to create an enabling environment for policies on sustainable production, and capacity building. As a key partner, Conservation International-Brazil has been supporting SEMA-AM and other stakeholders to achieve these goals</w:t>
      </w:r>
      <w:r w:rsidR="006039E0">
        <w:rPr>
          <w:rFonts w:cstheme="minorHAnsi"/>
          <w:lang w:val="en-GB"/>
        </w:rPr>
        <w:t>.</w:t>
      </w:r>
    </w:p>
    <w:p w14:paraId="4003FEB8" w14:textId="77777777" w:rsidR="004E167A" w:rsidRPr="00272D5C" w:rsidRDefault="004E167A" w:rsidP="007F28CF">
      <w:pPr>
        <w:pStyle w:val="ListParagraph"/>
        <w:spacing w:after="0"/>
        <w:jc w:val="both"/>
        <w:rPr>
          <w:rFonts w:cstheme="minorHAnsi"/>
          <w:lang w:val="en-GB"/>
        </w:rPr>
      </w:pPr>
    </w:p>
    <w:p w14:paraId="0B9CD154" w14:textId="5DAEE359" w:rsidR="00A6063B" w:rsidRDefault="00FD007D" w:rsidP="00FD007D">
      <w:pPr>
        <w:pStyle w:val="ListParagraph"/>
        <w:numPr>
          <w:ilvl w:val="0"/>
          <w:numId w:val="6"/>
        </w:numPr>
        <w:spacing w:after="0"/>
        <w:jc w:val="both"/>
        <w:rPr>
          <w:lang w:val="en-GB"/>
        </w:rPr>
      </w:pPr>
      <w:r w:rsidRPr="00FD007D">
        <w:rPr>
          <w:rFonts w:cstheme="minorHAnsi"/>
          <w:lang w:val="en-GB"/>
        </w:rPr>
        <w:t>Sustainable Municipality</w:t>
      </w:r>
      <w:r w:rsidR="0086283E">
        <w:rPr>
          <w:rFonts w:cstheme="minorHAnsi"/>
          <w:lang w:val="en-GB"/>
        </w:rPr>
        <w:t xml:space="preserve"> </w:t>
      </w:r>
      <w:r w:rsidRPr="00FD007D">
        <w:rPr>
          <w:rFonts w:cstheme="minorHAnsi"/>
          <w:lang w:val="en-GB"/>
        </w:rPr>
        <w:t xml:space="preserve">Programme was created by the Amazonas Government in 2016 and aims at </w:t>
      </w:r>
      <w:r w:rsidR="004E167A" w:rsidRPr="00FD007D">
        <w:rPr>
          <w:rFonts w:cstheme="minorHAnsi"/>
          <w:lang w:val="en-GB"/>
        </w:rPr>
        <w:t>combin</w:t>
      </w:r>
      <w:r w:rsidRPr="00FD007D">
        <w:rPr>
          <w:rFonts w:cstheme="minorHAnsi"/>
          <w:lang w:val="en-GB"/>
        </w:rPr>
        <w:t xml:space="preserve">ing </w:t>
      </w:r>
      <w:r w:rsidR="004E167A" w:rsidRPr="00FD007D">
        <w:rPr>
          <w:rFonts w:cstheme="minorHAnsi"/>
          <w:lang w:val="en-GB"/>
        </w:rPr>
        <w:t>sustainable economic growth with the reduction of deforestation</w:t>
      </w:r>
      <w:r w:rsidRPr="00FD007D">
        <w:rPr>
          <w:rFonts w:cstheme="minorHAnsi"/>
          <w:lang w:val="en-GB"/>
        </w:rPr>
        <w:t xml:space="preserve"> and forest degradation (forest fires)</w:t>
      </w:r>
      <w:r w:rsidR="0086283E">
        <w:rPr>
          <w:rFonts w:cstheme="minorHAnsi"/>
          <w:lang w:val="en-GB"/>
        </w:rPr>
        <w:t xml:space="preserve"> through enhancement of local-level decision-making processes and building capacity on local decision-makers</w:t>
      </w:r>
      <w:r w:rsidR="004E167A" w:rsidRPr="00FD007D">
        <w:rPr>
          <w:rFonts w:cstheme="minorHAnsi"/>
          <w:lang w:val="en-GB"/>
        </w:rPr>
        <w:t>.</w:t>
      </w:r>
      <w:r w:rsidRPr="00FD007D">
        <w:rPr>
          <w:rFonts w:cstheme="minorHAnsi"/>
          <w:lang w:val="en-GB"/>
        </w:rPr>
        <w:t xml:space="preserve"> </w:t>
      </w:r>
      <w:r w:rsidR="00BD552F">
        <w:rPr>
          <w:rFonts w:cstheme="minorHAnsi"/>
          <w:lang w:val="en-GB"/>
        </w:rPr>
        <w:t xml:space="preserve">As major activities are </w:t>
      </w:r>
      <w:r w:rsidR="00BD552F">
        <w:rPr>
          <w:rFonts w:cstheme="minorHAnsi"/>
          <w:lang w:val="en-GB"/>
        </w:rPr>
        <w:lastRenderedPageBreak/>
        <w:t xml:space="preserve">direct investments in strengthening local public organisations (e.g., Municipal Secretary of Environment and Rural Production), promoting strategy meetings amongst municipalities to exchange lessons learnt, and training local-level decision-makers. </w:t>
      </w:r>
      <w:r w:rsidRPr="00FD007D">
        <w:rPr>
          <w:rFonts w:cstheme="minorHAnsi"/>
          <w:lang w:val="en-GB"/>
        </w:rPr>
        <w:t xml:space="preserve">At this first stage, municipalities of southern Amazonas are the targets. </w:t>
      </w:r>
      <w:r w:rsidR="00A6063B" w:rsidRPr="00FD007D">
        <w:rPr>
          <w:lang w:val="en-GB"/>
        </w:rPr>
        <w:t xml:space="preserve">In Amazonas, about 70% of deforestation is concentrated in the southern region of the </w:t>
      </w:r>
      <w:r w:rsidR="002214AC" w:rsidRPr="00FD007D">
        <w:rPr>
          <w:lang w:val="en-GB"/>
        </w:rPr>
        <w:t>State</w:t>
      </w:r>
      <w:r w:rsidR="00A6063B" w:rsidRPr="00FD007D">
        <w:rPr>
          <w:lang w:val="en-GB"/>
        </w:rPr>
        <w:t>.</w:t>
      </w:r>
    </w:p>
    <w:p w14:paraId="48C6C931" w14:textId="77777777" w:rsidR="00910EEC" w:rsidRPr="00910EEC" w:rsidRDefault="00910EEC" w:rsidP="00910EEC">
      <w:pPr>
        <w:pStyle w:val="ListParagraph"/>
        <w:rPr>
          <w:lang w:val="en-GB"/>
        </w:rPr>
      </w:pPr>
    </w:p>
    <w:p w14:paraId="095FF261" w14:textId="23D1226A" w:rsidR="00F1596B" w:rsidRPr="003615FA" w:rsidRDefault="00C54FD7" w:rsidP="00C54FD7">
      <w:pPr>
        <w:pStyle w:val="ListParagraph"/>
        <w:numPr>
          <w:ilvl w:val="0"/>
          <w:numId w:val="6"/>
        </w:numPr>
        <w:spacing w:after="0"/>
        <w:jc w:val="both"/>
        <w:rPr>
          <w:lang w:val="en-GB"/>
        </w:rPr>
      </w:pPr>
      <w:r w:rsidRPr="003615FA">
        <w:rPr>
          <w:lang w:val="en-GB"/>
        </w:rPr>
        <w:t xml:space="preserve">The Environmental </w:t>
      </w:r>
      <w:r w:rsidR="003615FA" w:rsidRPr="003615FA">
        <w:rPr>
          <w:lang w:val="en-GB"/>
        </w:rPr>
        <w:t xml:space="preserve">Rural </w:t>
      </w:r>
      <w:r w:rsidRPr="003615FA">
        <w:rPr>
          <w:lang w:val="en-GB"/>
        </w:rPr>
        <w:t>Regist</w:t>
      </w:r>
      <w:r w:rsidR="003615FA" w:rsidRPr="003615FA">
        <w:rPr>
          <w:lang w:val="en-GB"/>
        </w:rPr>
        <w:t>er</w:t>
      </w:r>
      <w:r w:rsidRPr="003615FA">
        <w:rPr>
          <w:lang w:val="en-GB"/>
        </w:rPr>
        <w:t xml:space="preserve"> (CAR) in Am</w:t>
      </w:r>
      <w:r w:rsidR="00EC1F5B">
        <w:rPr>
          <w:lang w:val="en-GB"/>
        </w:rPr>
        <w:t>azonas was instituted by Law n</w:t>
      </w:r>
      <w:r w:rsidR="0069318A">
        <w:rPr>
          <w:lang w:val="en-GB"/>
        </w:rPr>
        <w:t>umber</w:t>
      </w:r>
      <w:r w:rsidRPr="003615FA">
        <w:rPr>
          <w:lang w:val="en-GB"/>
        </w:rPr>
        <w:t xml:space="preserve"> 3,635 / 2011, with the Environmental Regularization </w:t>
      </w:r>
      <w:r w:rsidR="00CD29E5">
        <w:rPr>
          <w:lang w:val="en-GB"/>
        </w:rPr>
        <w:t>Programme</w:t>
      </w:r>
      <w:r w:rsidRPr="003615FA">
        <w:rPr>
          <w:lang w:val="en-GB"/>
        </w:rPr>
        <w:t xml:space="preserve"> for rural properties and for compliance with Forest Law 12.651 / 2012 and local specificities that are under review. The main strategy for registration in the CAR and adherence to the Environmental Regularization </w:t>
      </w:r>
      <w:r w:rsidR="00CD29E5">
        <w:rPr>
          <w:lang w:val="en-GB"/>
        </w:rPr>
        <w:t>Programme</w:t>
      </w:r>
      <w:r w:rsidRPr="003615FA">
        <w:rPr>
          <w:lang w:val="en-GB"/>
        </w:rPr>
        <w:t xml:space="preserve"> (PRA) has been carried out integrated environmental and land regularization efforts. The accomplishment of the </w:t>
      </w:r>
      <w:r w:rsidR="003615FA" w:rsidRPr="003615FA">
        <w:rPr>
          <w:lang w:val="en-GB"/>
        </w:rPr>
        <w:t>task force</w:t>
      </w:r>
      <w:r w:rsidRPr="003615FA">
        <w:rPr>
          <w:lang w:val="en-GB"/>
        </w:rPr>
        <w:t xml:space="preserve"> has contributed to the progressive increase of the insertion of registrations in the National System of Rural Environmental Cadastre (Sicar). That is, with the joint efforts, 3,444 entries were entered into the system, which corresponds to 34.5%, from</w:t>
      </w:r>
      <w:r w:rsidR="002D0642">
        <w:rPr>
          <w:lang w:val="en-GB"/>
        </w:rPr>
        <w:t xml:space="preserve"> the state's accession to the Si</w:t>
      </w:r>
      <w:r w:rsidRPr="003615FA">
        <w:rPr>
          <w:lang w:val="en-GB"/>
        </w:rPr>
        <w:t>car in 2014.</w:t>
      </w:r>
    </w:p>
    <w:p w14:paraId="5B214290" w14:textId="77777777" w:rsidR="00584778" w:rsidRPr="00584778" w:rsidRDefault="00584778" w:rsidP="00584778">
      <w:pPr>
        <w:pStyle w:val="ListParagraph"/>
        <w:rPr>
          <w:lang w:val="en-GB"/>
        </w:rPr>
      </w:pPr>
    </w:p>
    <w:p w14:paraId="62593B98" w14:textId="68239E95" w:rsidR="00330433" w:rsidRDefault="00584778" w:rsidP="00584778">
      <w:pPr>
        <w:pStyle w:val="ListParagraph"/>
        <w:numPr>
          <w:ilvl w:val="0"/>
          <w:numId w:val="6"/>
        </w:numPr>
        <w:spacing w:after="0"/>
        <w:jc w:val="both"/>
        <w:rPr>
          <w:lang w:val="en-GB"/>
        </w:rPr>
      </w:pPr>
      <w:r w:rsidRPr="00584778">
        <w:rPr>
          <w:lang w:val="en-GB"/>
        </w:rPr>
        <w:t xml:space="preserve">In 2016, there was greater transparency in the data provided by the Brazilian Forest Service - SFB / MMA, which facilitated the monitoring of the CAR's progress in Amazonas. In this sense, it was made available: The Report Module, available at </w:t>
      </w:r>
      <w:hyperlink r:id="rId12" w:history="1">
        <w:r w:rsidRPr="00584778">
          <w:rPr>
            <w:rStyle w:val="Hyperlink"/>
            <w:lang w:val="en-GB"/>
          </w:rPr>
          <w:t>http://www.florestal.gov.br/modulo-de-relatorios</w:t>
        </w:r>
      </w:hyperlink>
      <w:r w:rsidRPr="00584778">
        <w:rPr>
          <w:lang w:val="en-GB"/>
        </w:rPr>
        <w:t xml:space="preserve">, where it is provided the quantity of registrations and respective area registered by municipality where with the possibility of exporting the spreadsheets in Excel format and the data of the Public Consultation of CAR, available at </w:t>
      </w:r>
      <w:hyperlink r:id="rId13" w:history="1">
        <w:r w:rsidRPr="00584778">
          <w:rPr>
            <w:rStyle w:val="Hyperlink"/>
            <w:lang w:val="en-GB"/>
          </w:rPr>
          <w:t>http://www.car.gov.br/publico/imoveis/index</w:t>
        </w:r>
      </w:hyperlink>
      <w:r w:rsidRPr="00584778">
        <w:rPr>
          <w:lang w:val="en-GB"/>
        </w:rPr>
        <w:t>, where it is possible to verify the rural properties registered and their respective areas, environmental regularity and restrictions that occur in the system due to automatic filters and analyzes of CAR and also, the downloads database, with which can be exported shapefiles files of registers by municipalities inserted in SICAR.</w:t>
      </w:r>
    </w:p>
    <w:p w14:paraId="4ECD8D6F" w14:textId="77777777" w:rsidR="00584778" w:rsidRPr="00584778" w:rsidRDefault="00584778" w:rsidP="00584778">
      <w:pPr>
        <w:pStyle w:val="ListParagraph"/>
        <w:rPr>
          <w:lang w:val="en-GB"/>
        </w:rPr>
      </w:pPr>
    </w:p>
    <w:p w14:paraId="25DA9D34" w14:textId="278DAFE0" w:rsidR="00584778" w:rsidRDefault="00584778" w:rsidP="00584778">
      <w:pPr>
        <w:pStyle w:val="ListParagraph"/>
        <w:numPr>
          <w:ilvl w:val="0"/>
          <w:numId w:val="6"/>
        </w:numPr>
        <w:spacing w:after="0"/>
        <w:jc w:val="both"/>
        <w:rPr>
          <w:lang w:val="en-GB"/>
        </w:rPr>
      </w:pPr>
      <w:r w:rsidRPr="00584778">
        <w:rPr>
          <w:lang w:val="en-GB"/>
        </w:rPr>
        <w:t xml:space="preserve">The new forest code was established with the publication of Federal Law 12.651, dated May 25, 2012. In 2014, additional general rules were established for the Environmental Regularization </w:t>
      </w:r>
      <w:r w:rsidR="00CD29E5">
        <w:rPr>
          <w:lang w:val="en-GB"/>
        </w:rPr>
        <w:t>Programme</w:t>
      </w:r>
      <w:r w:rsidRPr="00584778">
        <w:rPr>
          <w:lang w:val="en-GB"/>
        </w:rPr>
        <w:t xml:space="preserve">s of the States through Decree 8,235, dated May 5, 2014, general procedures for </w:t>
      </w:r>
      <w:r w:rsidR="002D0642" w:rsidRPr="00584778">
        <w:rPr>
          <w:lang w:val="en-GB"/>
        </w:rPr>
        <w:t>enrolment</w:t>
      </w:r>
      <w:r w:rsidRPr="00584778">
        <w:rPr>
          <w:lang w:val="en-GB"/>
        </w:rPr>
        <w:t xml:space="preserve"> in the Rural Environmental Registry by means of MMA Normative Instruction No. 02, dated May 6, 2014. In this sense, it was established the need to carry out the revision of State Law 3,635, dated July 6, 2011, through the contracting of legal advice, whose purpose was to promote the </w:t>
      </w:r>
      <w:r w:rsidR="00CD29E5">
        <w:rPr>
          <w:lang w:val="en-GB"/>
        </w:rPr>
        <w:t>Programme</w:t>
      </w:r>
      <w:r w:rsidRPr="00584778">
        <w:rPr>
          <w:lang w:val="en-GB"/>
        </w:rPr>
        <w:t xml:space="preserve"> for the Environmental Regulation of Rural Property in the State of Amazonas. The changes were promoted with the publication of State Law No. 4,406, dated January 9, 2017.</w:t>
      </w:r>
    </w:p>
    <w:p w14:paraId="75B6708F" w14:textId="77777777" w:rsidR="00584778" w:rsidRPr="00584778" w:rsidRDefault="00584778" w:rsidP="00584778">
      <w:pPr>
        <w:spacing w:after="0"/>
        <w:jc w:val="both"/>
        <w:rPr>
          <w:lang w:val="en-GB"/>
        </w:rPr>
      </w:pPr>
    </w:p>
    <w:p w14:paraId="46A55D08" w14:textId="649A5B3C" w:rsidR="006039E0" w:rsidRDefault="00330433" w:rsidP="004A3A34">
      <w:pPr>
        <w:pStyle w:val="Normal1"/>
        <w:numPr>
          <w:ilvl w:val="0"/>
          <w:numId w:val="6"/>
        </w:numPr>
        <w:spacing w:after="0"/>
        <w:jc w:val="both"/>
        <w:rPr>
          <w:lang w:val="en-GB"/>
        </w:rPr>
      </w:pPr>
      <w:r w:rsidRPr="00330433">
        <w:rPr>
          <w:lang w:val="en-GB"/>
        </w:rPr>
        <w:t xml:space="preserve">Brazil has </w:t>
      </w:r>
      <w:r w:rsidR="004A3A34">
        <w:rPr>
          <w:lang w:val="en-GB"/>
        </w:rPr>
        <w:t>four</w:t>
      </w:r>
      <w:r w:rsidR="004A3A34" w:rsidRPr="00330433">
        <w:rPr>
          <w:lang w:val="en-GB"/>
        </w:rPr>
        <w:t xml:space="preserve"> </w:t>
      </w:r>
      <w:r w:rsidRPr="00330433">
        <w:rPr>
          <w:lang w:val="en-GB"/>
        </w:rPr>
        <w:t>important regulatory frameworks for climate and forests: the Forestry Law</w:t>
      </w:r>
      <w:r w:rsidRPr="00272D5C">
        <w:rPr>
          <w:rStyle w:val="FootnoteReference"/>
          <w:lang w:val="en-GB"/>
        </w:rPr>
        <w:footnoteReference w:id="6"/>
      </w:r>
      <w:r w:rsidRPr="00330433">
        <w:rPr>
          <w:lang w:val="en-GB"/>
        </w:rPr>
        <w:t>, the National Policy on Climate Change (PNMC)</w:t>
      </w:r>
      <w:r w:rsidRPr="00272D5C">
        <w:rPr>
          <w:rStyle w:val="FootnoteReference"/>
          <w:lang w:val="en-GB"/>
        </w:rPr>
        <w:footnoteReference w:id="7"/>
      </w:r>
      <w:r w:rsidR="004A3A34">
        <w:rPr>
          <w:lang w:val="en-GB"/>
        </w:rPr>
        <w:t xml:space="preserve">, the </w:t>
      </w:r>
      <w:r w:rsidR="004A3A34" w:rsidRPr="004A3A34">
        <w:rPr>
          <w:lang w:val="en-GB"/>
        </w:rPr>
        <w:t xml:space="preserve">Action Plan for Prevention </w:t>
      </w:r>
      <w:r w:rsidR="004A3A34" w:rsidRPr="004A3A34">
        <w:rPr>
          <w:lang w:val="en-GB"/>
        </w:rPr>
        <w:lastRenderedPageBreak/>
        <w:t>and Control of the Legal Amazon Deforestation</w:t>
      </w:r>
      <w:r w:rsidR="004A3A34">
        <w:rPr>
          <w:lang w:val="en-GB"/>
        </w:rPr>
        <w:t xml:space="preserve"> (PPCDAM</w:t>
      </w:r>
      <w:r w:rsidR="004A3A34">
        <w:rPr>
          <w:rStyle w:val="FootnoteReference"/>
          <w:lang w:val="en-GB"/>
        </w:rPr>
        <w:footnoteReference w:id="8"/>
      </w:r>
      <w:r w:rsidR="004A3A34">
        <w:rPr>
          <w:lang w:val="en-GB"/>
        </w:rPr>
        <w:t xml:space="preserve">), </w:t>
      </w:r>
      <w:r w:rsidRPr="00330433">
        <w:rPr>
          <w:lang w:val="en-GB"/>
        </w:rPr>
        <w:t>and the National Strategy REDD+ (ENREDD+)</w:t>
      </w:r>
      <w:r w:rsidRPr="00272D5C">
        <w:rPr>
          <w:rStyle w:val="FootnoteReference"/>
          <w:lang w:val="en-GB"/>
        </w:rPr>
        <w:footnoteReference w:id="9"/>
      </w:r>
      <w:r w:rsidRPr="00330433">
        <w:rPr>
          <w:lang w:val="en-GB"/>
        </w:rPr>
        <w:t>.</w:t>
      </w:r>
      <w:r>
        <w:rPr>
          <w:lang w:val="en-GB"/>
        </w:rPr>
        <w:t xml:space="preserve"> </w:t>
      </w:r>
      <w:r w:rsidRPr="00330433">
        <w:rPr>
          <w:lang w:val="en-GB"/>
        </w:rPr>
        <w:t>This proposal is in line with (a) article 41 of the Brazilian Forestry Law, which establishes the payment or incentive to environmental services; (b) with Article 4 of the PNMC to stimulate the Brazilian emissions market, and (c) with the objective of ENREDD+ to contribute with the mobilization of resources to mitigate emissions by 2020.</w:t>
      </w:r>
    </w:p>
    <w:p w14:paraId="088B5859" w14:textId="77777777" w:rsidR="00584778" w:rsidRPr="00584778" w:rsidRDefault="00584778" w:rsidP="00584778">
      <w:pPr>
        <w:pStyle w:val="Normal1"/>
        <w:spacing w:after="0"/>
        <w:jc w:val="both"/>
        <w:rPr>
          <w:lang w:val="en-GB"/>
        </w:rPr>
      </w:pPr>
    </w:p>
    <w:p w14:paraId="73533B75" w14:textId="2A19D6E0" w:rsidR="00334D29" w:rsidRPr="00272D5C" w:rsidRDefault="00334D29" w:rsidP="007F28CF">
      <w:pPr>
        <w:pStyle w:val="Normal1"/>
        <w:jc w:val="both"/>
        <w:rPr>
          <w:lang w:val="en-GB"/>
        </w:rPr>
      </w:pPr>
      <w:r w:rsidRPr="00272D5C">
        <w:rPr>
          <w:lang w:val="en-GB"/>
        </w:rPr>
        <w:t>Such strategies</w:t>
      </w:r>
      <w:r w:rsidR="006039E0">
        <w:rPr>
          <w:lang w:val="en-GB"/>
        </w:rPr>
        <w:t xml:space="preserve"> and policies</w:t>
      </w:r>
      <w:r w:rsidRPr="00272D5C">
        <w:rPr>
          <w:lang w:val="en-GB"/>
        </w:rPr>
        <w:t xml:space="preserve"> are more sophisticated</w:t>
      </w:r>
      <w:r w:rsidR="006039E0">
        <w:rPr>
          <w:lang w:val="en-GB"/>
        </w:rPr>
        <w:t xml:space="preserve"> and effective</w:t>
      </w:r>
      <w:r w:rsidRPr="00272D5C">
        <w:rPr>
          <w:lang w:val="en-GB"/>
        </w:rPr>
        <w:t xml:space="preserve"> than </w:t>
      </w:r>
      <w:r w:rsidR="006039E0">
        <w:rPr>
          <w:lang w:val="en-GB"/>
        </w:rPr>
        <w:t xml:space="preserve">just </w:t>
      </w:r>
      <w:r w:rsidRPr="00272D5C">
        <w:rPr>
          <w:lang w:val="en-GB"/>
        </w:rPr>
        <w:t>the command-control</w:t>
      </w:r>
      <w:r w:rsidR="006039E0">
        <w:rPr>
          <w:lang w:val="en-GB"/>
        </w:rPr>
        <w:t xml:space="preserve"> – which was</w:t>
      </w:r>
      <w:r w:rsidR="0052429B">
        <w:rPr>
          <w:lang w:val="en-GB"/>
        </w:rPr>
        <w:t xml:space="preserve"> </w:t>
      </w:r>
      <w:r w:rsidRPr="00272D5C">
        <w:rPr>
          <w:lang w:val="en-GB"/>
        </w:rPr>
        <w:t xml:space="preserve">crucial to reduce </w:t>
      </w:r>
      <w:r w:rsidR="00A6063B" w:rsidRPr="00272D5C">
        <w:rPr>
          <w:lang w:val="en-GB"/>
        </w:rPr>
        <w:t>76</w:t>
      </w:r>
      <w:r w:rsidRPr="00272D5C">
        <w:rPr>
          <w:lang w:val="en-GB"/>
        </w:rPr>
        <w:t>% of the deforestation rate from 200</w:t>
      </w:r>
      <w:r w:rsidR="00A6063B" w:rsidRPr="00272D5C">
        <w:rPr>
          <w:lang w:val="en-GB"/>
        </w:rPr>
        <w:t>7</w:t>
      </w:r>
      <w:r w:rsidRPr="00272D5C">
        <w:rPr>
          <w:lang w:val="en-GB"/>
        </w:rPr>
        <w:t xml:space="preserve"> to </w:t>
      </w:r>
      <w:r w:rsidR="00A6063B" w:rsidRPr="00272D5C">
        <w:rPr>
          <w:lang w:val="en-GB"/>
        </w:rPr>
        <w:t>2017</w:t>
      </w:r>
      <w:r w:rsidRPr="00272D5C">
        <w:rPr>
          <w:lang w:val="en-GB"/>
        </w:rPr>
        <w:t xml:space="preserve">. But </w:t>
      </w:r>
      <w:r w:rsidR="006039E0">
        <w:rPr>
          <w:lang w:val="en-GB"/>
        </w:rPr>
        <w:t>it</w:t>
      </w:r>
      <w:r w:rsidRPr="00272D5C">
        <w:rPr>
          <w:lang w:val="en-GB"/>
        </w:rPr>
        <w:t xml:space="preserve"> is not enough: according to official data the rate of deforestation in the Legal Amazon </w:t>
      </w:r>
      <w:r w:rsidR="00A6063B" w:rsidRPr="00272D5C">
        <w:rPr>
          <w:lang w:val="en-GB"/>
        </w:rPr>
        <w:t>has been having ups and downs, and despite the slow decrease from 2016-2017, we are still deforesting 6.6 thousand sq km. T</w:t>
      </w:r>
      <w:r w:rsidRPr="00272D5C">
        <w:rPr>
          <w:lang w:val="en-GB"/>
        </w:rPr>
        <w:t xml:space="preserve">he </w:t>
      </w:r>
      <w:r w:rsidR="002214AC">
        <w:rPr>
          <w:lang w:val="en-GB"/>
        </w:rPr>
        <w:t>State</w:t>
      </w:r>
      <w:r w:rsidRPr="00272D5C">
        <w:rPr>
          <w:lang w:val="en-GB"/>
        </w:rPr>
        <w:t xml:space="preserve"> of Amazonas, </w:t>
      </w:r>
      <w:r w:rsidR="00A6063B" w:rsidRPr="00272D5C">
        <w:rPr>
          <w:lang w:val="en-GB"/>
        </w:rPr>
        <w:t>unfortunately</w:t>
      </w:r>
      <w:r w:rsidR="006039E0">
        <w:rPr>
          <w:lang w:val="en-GB"/>
        </w:rPr>
        <w:t>,</w:t>
      </w:r>
      <w:r w:rsidR="00A6063B" w:rsidRPr="00272D5C">
        <w:rPr>
          <w:lang w:val="en-GB"/>
        </w:rPr>
        <w:t xml:space="preserve"> had </w:t>
      </w:r>
      <w:r w:rsidRPr="00272D5C">
        <w:rPr>
          <w:lang w:val="en-GB"/>
        </w:rPr>
        <w:t xml:space="preserve">increased </w:t>
      </w:r>
      <w:r w:rsidR="00A6063B" w:rsidRPr="00272D5C">
        <w:rPr>
          <w:lang w:val="en-GB"/>
        </w:rPr>
        <w:t>56</w:t>
      </w:r>
      <w:r w:rsidRPr="00272D5C">
        <w:rPr>
          <w:lang w:val="en-GB"/>
        </w:rPr>
        <w:t xml:space="preserve">% within </w:t>
      </w:r>
      <w:r w:rsidR="00A6063B" w:rsidRPr="00272D5C">
        <w:rPr>
          <w:lang w:val="en-GB"/>
        </w:rPr>
        <w:t>2015</w:t>
      </w:r>
      <w:r w:rsidRPr="00272D5C">
        <w:rPr>
          <w:lang w:val="en-GB"/>
        </w:rPr>
        <w:t>-</w:t>
      </w:r>
      <w:r w:rsidR="00A6063B" w:rsidRPr="00272D5C">
        <w:rPr>
          <w:lang w:val="en-GB"/>
        </w:rPr>
        <w:t xml:space="preserve">2016 </w:t>
      </w:r>
      <w:r w:rsidRPr="00272D5C">
        <w:rPr>
          <w:lang w:val="en-GB"/>
        </w:rPr>
        <w:t>and</w:t>
      </w:r>
      <w:r w:rsidR="006039E0">
        <w:rPr>
          <w:lang w:val="en-GB"/>
        </w:rPr>
        <w:t>, due to hard working,</w:t>
      </w:r>
      <w:r w:rsidRPr="00272D5C">
        <w:rPr>
          <w:lang w:val="en-GB"/>
        </w:rPr>
        <w:t xml:space="preserve"> </w:t>
      </w:r>
      <w:r w:rsidR="00A6063B" w:rsidRPr="00272D5C">
        <w:rPr>
          <w:lang w:val="en-GB"/>
        </w:rPr>
        <w:t>decreased 16% in 2016-17</w:t>
      </w:r>
      <w:r w:rsidRPr="00272D5C">
        <w:rPr>
          <w:rStyle w:val="FootnoteReference"/>
          <w:lang w:val="en-GB"/>
        </w:rPr>
        <w:footnoteReference w:id="10"/>
      </w:r>
      <w:r w:rsidRPr="00272D5C">
        <w:rPr>
          <w:lang w:val="en-GB"/>
        </w:rPr>
        <w:t xml:space="preserve">. </w:t>
      </w:r>
    </w:p>
    <w:p w14:paraId="5FEDF228" w14:textId="77777777" w:rsidR="00111043" w:rsidRDefault="00111043" w:rsidP="007F28CF">
      <w:pPr>
        <w:pStyle w:val="Normal1"/>
        <w:jc w:val="both"/>
        <w:rPr>
          <w:lang w:val="en-GB"/>
        </w:rPr>
      </w:pPr>
      <w:r>
        <w:rPr>
          <w:lang w:val="en-GB"/>
        </w:rPr>
        <w:t>T</w:t>
      </w:r>
      <w:r w:rsidR="00334D29" w:rsidRPr="00272D5C">
        <w:rPr>
          <w:lang w:val="en-GB"/>
        </w:rPr>
        <w:t xml:space="preserve">he big challenge for Amazonas, </w:t>
      </w:r>
      <w:r>
        <w:rPr>
          <w:lang w:val="en-GB"/>
        </w:rPr>
        <w:t xml:space="preserve">thus, </w:t>
      </w:r>
      <w:r w:rsidR="00334D29" w:rsidRPr="00272D5C">
        <w:rPr>
          <w:lang w:val="en-GB"/>
        </w:rPr>
        <w:t xml:space="preserve">is </w:t>
      </w:r>
      <w:r>
        <w:rPr>
          <w:lang w:val="en-GB"/>
        </w:rPr>
        <w:t xml:space="preserve">adding to </w:t>
      </w:r>
      <w:r w:rsidR="00334D29" w:rsidRPr="00272D5C">
        <w:rPr>
          <w:lang w:val="en-GB"/>
        </w:rPr>
        <w:t xml:space="preserve">command-control a legal, institutional and technical framework to </w:t>
      </w:r>
      <w:r>
        <w:rPr>
          <w:lang w:val="en-GB"/>
        </w:rPr>
        <w:t>provide tools and incentives</w:t>
      </w:r>
      <w:r w:rsidR="00334D29" w:rsidRPr="00272D5C">
        <w:rPr>
          <w:lang w:val="en-GB"/>
        </w:rPr>
        <w:t xml:space="preserve"> to reverse this deforestation trend</w:t>
      </w:r>
      <w:r>
        <w:rPr>
          <w:lang w:val="en-GB"/>
        </w:rPr>
        <w:t>.</w:t>
      </w:r>
      <w:r w:rsidR="00334D29" w:rsidRPr="00272D5C">
        <w:rPr>
          <w:lang w:val="en-GB"/>
        </w:rPr>
        <w:t xml:space="preserve"> </w:t>
      </w:r>
    </w:p>
    <w:p w14:paraId="5CA5A7DD" w14:textId="77777777" w:rsidR="00111043" w:rsidRDefault="00111043" w:rsidP="007F28CF">
      <w:pPr>
        <w:pStyle w:val="Normal1"/>
        <w:jc w:val="both"/>
        <w:rPr>
          <w:lang w:val="en-GB"/>
        </w:rPr>
      </w:pPr>
      <w:r>
        <w:rPr>
          <w:lang w:val="en-GB"/>
        </w:rPr>
        <w:t xml:space="preserve">This will contribute specifically with the </w:t>
      </w:r>
      <w:r w:rsidR="00334D29" w:rsidRPr="00272D5C">
        <w:rPr>
          <w:lang w:val="en-GB"/>
        </w:rPr>
        <w:t>UN Convention on Climate Change</w:t>
      </w:r>
      <w:r w:rsidR="00222FE8" w:rsidRPr="00272D5C">
        <w:rPr>
          <w:lang w:val="en-GB"/>
        </w:rPr>
        <w:t xml:space="preserve">, </w:t>
      </w:r>
      <w:r>
        <w:rPr>
          <w:lang w:val="en-GB"/>
        </w:rPr>
        <w:t xml:space="preserve">and with </w:t>
      </w:r>
      <w:r w:rsidR="00222FE8" w:rsidRPr="00272D5C">
        <w:rPr>
          <w:lang w:val="en-GB"/>
        </w:rPr>
        <w:t xml:space="preserve">the UN Sustainable Development Goals </w:t>
      </w:r>
      <w:r w:rsidR="0003798E" w:rsidRPr="00272D5C">
        <w:rPr>
          <w:lang w:val="en-GB"/>
        </w:rPr>
        <w:t xml:space="preserve">(SDG) </w:t>
      </w:r>
      <w:r w:rsidR="00222FE8" w:rsidRPr="00272D5C">
        <w:rPr>
          <w:lang w:val="en-GB"/>
        </w:rPr>
        <w:t xml:space="preserve">and the Aichi </w:t>
      </w:r>
      <w:r w:rsidR="002D394E" w:rsidRPr="00272D5C">
        <w:rPr>
          <w:lang w:val="en-GB"/>
        </w:rPr>
        <w:t xml:space="preserve">Biodiversity </w:t>
      </w:r>
      <w:r w:rsidR="00222FE8" w:rsidRPr="00272D5C">
        <w:rPr>
          <w:lang w:val="en-GB"/>
        </w:rPr>
        <w:t>Targets</w:t>
      </w:r>
      <w:r w:rsidR="00334D29" w:rsidRPr="00272D5C">
        <w:rPr>
          <w:lang w:val="en-GB"/>
        </w:rPr>
        <w:t>.</w:t>
      </w:r>
      <w:r w:rsidR="00222FE8" w:rsidRPr="00272D5C">
        <w:rPr>
          <w:lang w:val="en-GB"/>
        </w:rPr>
        <w:t xml:space="preserve"> These three major international agreements will be properly addressed by this proposal through its intervention logic </w:t>
      </w:r>
      <w:r>
        <w:rPr>
          <w:lang w:val="en-GB"/>
        </w:rPr>
        <w:t>within</w:t>
      </w:r>
      <w:r w:rsidR="00222FE8" w:rsidRPr="00272D5C">
        <w:rPr>
          <w:lang w:val="en-GB"/>
        </w:rPr>
        <w:t xml:space="preserve"> its theory of change.</w:t>
      </w:r>
      <w:r w:rsidR="00FC37B9" w:rsidRPr="00272D5C">
        <w:rPr>
          <w:lang w:val="en-GB"/>
        </w:rPr>
        <w:t xml:space="preserve"> </w:t>
      </w:r>
      <w:r w:rsidR="00DE7807" w:rsidRPr="00272D5C">
        <w:rPr>
          <w:lang w:val="en-GB"/>
        </w:rPr>
        <w:t>R</w:t>
      </w:r>
      <w:r w:rsidR="00FC37B9" w:rsidRPr="00272D5C">
        <w:rPr>
          <w:lang w:val="en-GB"/>
        </w:rPr>
        <w:t xml:space="preserve">egulating and establishing a </w:t>
      </w:r>
      <w:r w:rsidR="002214AC">
        <w:rPr>
          <w:lang w:val="en-GB"/>
        </w:rPr>
        <w:t>State</w:t>
      </w:r>
      <w:r w:rsidR="00FC37B9" w:rsidRPr="00272D5C">
        <w:rPr>
          <w:lang w:val="en-GB"/>
        </w:rPr>
        <w:t xml:space="preserve"> REDD+ Plan, as well as its safeguards and benefit-sharing scheme, </w:t>
      </w:r>
      <w:r w:rsidR="00DE7807" w:rsidRPr="00272D5C">
        <w:rPr>
          <w:lang w:val="en-GB"/>
        </w:rPr>
        <w:t>fostering proper engagement of local communities and key stakeholders through FPIC</w:t>
      </w:r>
      <w:r w:rsidR="00805C79" w:rsidRPr="00272D5C">
        <w:rPr>
          <w:rStyle w:val="FootnoteReference"/>
          <w:lang w:val="en-GB"/>
        </w:rPr>
        <w:footnoteReference w:id="11"/>
      </w:r>
      <w:r w:rsidR="00DE7807" w:rsidRPr="00272D5C">
        <w:rPr>
          <w:lang w:val="en-GB"/>
        </w:rPr>
        <w:t xml:space="preserve"> and elaborating communication products to disseminate concepts and strategies, </w:t>
      </w:r>
      <w:r>
        <w:rPr>
          <w:lang w:val="en-GB"/>
        </w:rPr>
        <w:t xml:space="preserve">are deeply related </w:t>
      </w:r>
    </w:p>
    <w:p w14:paraId="3F6B3529" w14:textId="77777777" w:rsidR="00111043" w:rsidRDefault="00111043" w:rsidP="00111043">
      <w:pPr>
        <w:pStyle w:val="Normal1"/>
        <w:numPr>
          <w:ilvl w:val="0"/>
          <w:numId w:val="6"/>
        </w:numPr>
        <w:jc w:val="both"/>
        <w:rPr>
          <w:lang w:val="en-GB"/>
        </w:rPr>
      </w:pPr>
      <w:r>
        <w:rPr>
          <w:lang w:val="en-GB"/>
        </w:rPr>
        <w:t>with the</w:t>
      </w:r>
      <w:r w:rsidR="0003798E" w:rsidRPr="00272D5C">
        <w:rPr>
          <w:lang w:val="en-GB"/>
        </w:rPr>
        <w:t xml:space="preserve"> achievement</w:t>
      </w:r>
      <w:r>
        <w:rPr>
          <w:lang w:val="en-GB"/>
        </w:rPr>
        <w:t>s</w:t>
      </w:r>
      <w:r w:rsidR="0003798E" w:rsidRPr="00272D5C">
        <w:rPr>
          <w:lang w:val="en-GB"/>
        </w:rPr>
        <w:t xml:space="preserve"> of the Paris Agreement (through the Brazilian targets within its NDC), </w:t>
      </w:r>
    </w:p>
    <w:p w14:paraId="490CC69B" w14:textId="64A96104" w:rsidR="00111043" w:rsidRDefault="00111043" w:rsidP="00111043">
      <w:pPr>
        <w:pStyle w:val="Normal1"/>
        <w:numPr>
          <w:ilvl w:val="0"/>
          <w:numId w:val="6"/>
        </w:numPr>
        <w:jc w:val="both"/>
        <w:rPr>
          <w:lang w:val="en-GB"/>
        </w:rPr>
      </w:pPr>
      <w:r>
        <w:rPr>
          <w:lang w:val="en-GB"/>
        </w:rPr>
        <w:t>with</w:t>
      </w:r>
      <w:r w:rsidR="0003798E" w:rsidRPr="00272D5C">
        <w:rPr>
          <w:lang w:val="en-GB"/>
        </w:rPr>
        <w:t xml:space="preserve"> SDG </w:t>
      </w:r>
      <w:r w:rsidR="00713F6B">
        <w:rPr>
          <w:lang w:val="en-GB"/>
        </w:rPr>
        <w:t xml:space="preserve">5, </w:t>
      </w:r>
      <w:r w:rsidR="000F2CA8" w:rsidRPr="00272D5C">
        <w:rPr>
          <w:lang w:val="en-GB"/>
        </w:rPr>
        <w:t xml:space="preserve">11, </w:t>
      </w:r>
      <w:r w:rsidR="0003798E" w:rsidRPr="00272D5C">
        <w:rPr>
          <w:lang w:val="en-GB"/>
        </w:rPr>
        <w:t>13 and 15</w:t>
      </w:r>
      <w:r w:rsidR="0003798E" w:rsidRPr="00272D5C">
        <w:rPr>
          <w:rStyle w:val="FootnoteReference"/>
          <w:lang w:val="en-GB"/>
        </w:rPr>
        <w:footnoteReference w:id="12"/>
      </w:r>
      <w:r w:rsidR="0003798E" w:rsidRPr="00272D5C">
        <w:rPr>
          <w:lang w:val="en-GB"/>
        </w:rPr>
        <w:t xml:space="preserve">, </w:t>
      </w:r>
    </w:p>
    <w:p w14:paraId="0040D920" w14:textId="4595B193" w:rsidR="00334D29" w:rsidRPr="00272D5C" w:rsidRDefault="0003798E" w:rsidP="00111043">
      <w:pPr>
        <w:pStyle w:val="Normal1"/>
        <w:numPr>
          <w:ilvl w:val="0"/>
          <w:numId w:val="6"/>
        </w:numPr>
        <w:jc w:val="both"/>
        <w:rPr>
          <w:lang w:val="en-GB"/>
        </w:rPr>
      </w:pPr>
      <w:r w:rsidRPr="00272D5C">
        <w:rPr>
          <w:lang w:val="en-GB"/>
        </w:rPr>
        <w:t xml:space="preserve">and </w:t>
      </w:r>
      <w:r w:rsidR="00111043">
        <w:rPr>
          <w:lang w:val="en-GB"/>
        </w:rPr>
        <w:t>with</w:t>
      </w:r>
      <w:r w:rsidRPr="00272D5C">
        <w:rPr>
          <w:lang w:val="en-GB"/>
        </w:rPr>
        <w:t xml:space="preserve"> Strategy Goals </w:t>
      </w:r>
      <w:r w:rsidR="000F2CA8" w:rsidRPr="00272D5C">
        <w:rPr>
          <w:lang w:val="en-GB"/>
        </w:rPr>
        <w:t xml:space="preserve">A (1, 2, 3 &amp; 4), </w:t>
      </w:r>
      <w:r w:rsidRPr="00272D5C">
        <w:rPr>
          <w:lang w:val="en-GB"/>
        </w:rPr>
        <w:t>B</w:t>
      </w:r>
      <w:r w:rsidR="000F2CA8" w:rsidRPr="00272D5C">
        <w:rPr>
          <w:lang w:val="en-GB"/>
        </w:rPr>
        <w:t xml:space="preserve"> (5)</w:t>
      </w:r>
      <w:r w:rsidRPr="00272D5C">
        <w:rPr>
          <w:lang w:val="en-GB"/>
        </w:rPr>
        <w:t>, C</w:t>
      </w:r>
      <w:r w:rsidR="000F2CA8" w:rsidRPr="00272D5C">
        <w:rPr>
          <w:lang w:val="en-GB"/>
        </w:rPr>
        <w:t xml:space="preserve"> (13), D (14 &amp; 15)</w:t>
      </w:r>
      <w:r w:rsidRPr="00272D5C">
        <w:rPr>
          <w:lang w:val="en-GB"/>
        </w:rPr>
        <w:t xml:space="preserve"> and E</w:t>
      </w:r>
      <w:r w:rsidR="000F2CA8" w:rsidRPr="00272D5C">
        <w:rPr>
          <w:lang w:val="en-GB"/>
        </w:rPr>
        <w:t xml:space="preserve"> (18, 19 &amp; 20)</w:t>
      </w:r>
      <w:r w:rsidR="002D394E" w:rsidRPr="00272D5C">
        <w:rPr>
          <w:lang w:val="en-GB"/>
        </w:rPr>
        <w:t xml:space="preserve"> of Aichi Targets</w:t>
      </w:r>
      <w:r w:rsidRPr="00272D5C">
        <w:rPr>
          <w:rStyle w:val="FootnoteReference"/>
          <w:lang w:val="en-GB"/>
        </w:rPr>
        <w:footnoteReference w:id="13"/>
      </w:r>
      <w:r w:rsidRPr="00272D5C">
        <w:rPr>
          <w:lang w:val="en-GB"/>
        </w:rPr>
        <w:t>.</w:t>
      </w:r>
    </w:p>
    <w:p w14:paraId="52D64B55" w14:textId="10AAF1E1" w:rsidR="00334D29" w:rsidRDefault="00111043" w:rsidP="00111043">
      <w:pPr>
        <w:pStyle w:val="Normal1"/>
        <w:jc w:val="both"/>
        <w:rPr>
          <w:lang w:val="en-GB"/>
        </w:rPr>
      </w:pPr>
      <w:r>
        <w:rPr>
          <w:lang w:val="en-GB"/>
        </w:rPr>
        <w:t xml:space="preserve">This proposal belongs to an ongoing process initiated in 2012, within the State Forum on Climate Change (FAMC, in Portuguese), with the discussions of LSA and its frameworks and regulations. Since then, SEMA-AM involved more than </w:t>
      </w:r>
      <w:r w:rsidR="004E4F30">
        <w:rPr>
          <w:lang w:val="en-GB"/>
        </w:rPr>
        <w:t>69</w:t>
      </w:r>
      <w:r>
        <w:rPr>
          <w:lang w:val="en-GB"/>
        </w:rPr>
        <w:t xml:space="preserve"> institutions in public consultations, events</w:t>
      </w:r>
      <w:r w:rsidR="002D0642">
        <w:rPr>
          <w:lang w:val="en-GB"/>
        </w:rPr>
        <w:t>,</w:t>
      </w:r>
      <w:r>
        <w:rPr>
          <w:lang w:val="en-GB"/>
        </w:rPr>
        <w:t xml:space="preserve"> technical meetings and workshops to design and support the law implementation. Then, as aforementioned, in 2015, the law </w:t>
      </w:r>
      <w:r w:rsidR="00334D29" w:rsidRPr="00272D5C">
        <w:rPr>
          <w:lang w:val="en-GB"/>
        </w:rPr>
        <w:t xml:space="preserve">was approved and created the (a) Environmental Services </w:t>
      </w:r>
      <w:r w:rsidR="00334D29" w:rsidRPr="00272D5C">
        <w:rPr>
          <w:lang w:val="en-GB"/>
        </w:rPr>
        <w:lastRenderedPageBreak/>
        <w:t xml:space="preserve">Policy, (b) Environmental Services Management System, (c) Climate Change </w:t>
      </w:r>
      <w:r w:rsidR="002214AC">
        <w:rPr>
          <w:lang w:val="en-GB"/>
        </w:rPr>
        <w:t>State</w:t>
      </w:r>
      <w:r w:rsidR="00334D29" w:rsidRPr="00272D5C">
        <w:rPr>
          <w:lang w:val="en-GB"/>
        </w:rPr>
        <w:t xml:space="preserve"> Fund, and (d) Environmental Conservation and Environmental Services of the </w:t>
      </w:r>
      <w:r w:rsidR="002214AC">
        <w:rPr>
          <w:lang w:val="en-GB"/>
        </w:rPr>
        <w:t>State</w:t>
      </w:r>
      <w:r w:rsidR="00334D29" w:rsidRPr="00272D5C">
        <w:rPr>
          <w:lang w:val="en-GB"/>
        </w:rPr>
        <w:t xml:space="preserve"> of Amazonas. This set of mechanisms established the legal framework to </w:t>
      </w:r>
      <w:r>
        <w:rPr>
          <w:lang w:val="en-GB"/>
        </w:rPr>
        <w:t xml:space="preserve">manage </w:t>
      </w:r>
      <w:r w:rsidR="00C36A97">
        <w:rPr>
          <w:lang w:val="en-GB"/>
        </w:rPr>
        <w:t xml:space="preserve">properly </w:t>
      </w:r>
      <w:r w:rsidR="00334D29" w:rsidRPr="00272D5C">
        <w:rPr>
          <w:lang w:val="en-GB"/>
        </w:rPr>
        <w:t>the environmental services by (i) raising funds and search for partners for the implementation of environmental management and (ii) fostering existing forest governance policies. The following step, already started by SEMA-AM, is the regulation</w:t>
      </w:r>
      <w:r w:rsidR="00C36A97">
        <w:rPr>
          <w:lang w:val="en-GB"/>
        </w:rPr>
        <w:t xml:space="preserve"> – the goal of this proposal.</w:t>
      </w:r>
    </w:p>
    <w:p w14:paraId="3326D019" w14:textId="2FAA8CB2" w:rsidR="00A462E3" w:rsidRPr="00272D5C" w:rsidRDefault="00A462E3" w:rsidP="007F28CF">
      <w:pPr>
        <w:pStyle w:val="Normal1"/>
        <w:jc w:val="both"/>
        <w:rPr>
          <w:lang w:val="en-GB"/>
        </w:rPr>
      </w:pPr>
      <w:r w:rsidRPr="00272D5C">
        <w:rPr>
          <w:lang w:val="en-GB"/>
        </w:rPr>
        <w:t xml:space="preserve">In regards of the institutional </w:t>
      </w:r>
      <w:r w:rsidR="008E496D" w:rsidRPr="00272D5C">
        <w:rPr>
          <w:lang w:val="en-GB"/>
        </w:rPr>
        <w:t xml:space="preserve">arrangement, SEMA-AM </w:t>
      </w:r>
      <w:r w:rsidRPr="00272D5C">
        <w:rPr>
          <w:lang w:val="en-GB"/>
        </w:rPr>
        <w:t xml:space="preserve">established </w:t>
      </w:r>
      <w:r w:rsidR="008E496D" w:rsidRPr="00272D5C">
        <w:rPr>
          <w:lang w:val="en-GB"/>
        </w:rPr>
        <w:t xml:space="preserve">a consortium </w:t>
      </w:r>
      <w:r w:rsidRPr="00272D5C">
        <w:rPr>
          <w:lang w:val="en-GB"/>
        </w:rPr>
        <w:t>for this project</w:t>
      </w:r>
      <w:r w:rsidR="008E496D" w:rsidRPr="00272D5C">
        <w:rPr>
          <w:lang w:val="en-GB"/>
        </w:rPr>
        <w:t xml:space="preserve">. </w:t>
      </w:r>
      <w:r w:rsidRPr="00272D5C">
        <w:rPr>
          <w:lang w:val="en-GB"/>
        </w:rPr>
        <w:t xml:space="preserve">FAS was chosen to coordinate it for its </w:t>
      </w:r>
      <w:r w:rsidR="003B53DC" w:rsidRPr="00272D5C">
        <w:rPr>
          <w:lang w:val="en-GB"/>
        </w:rPr>
        <w:t>fruitful partnership since 2008: implementing BF</w:t>
      </w:r>
      <w:r w:rsidR="00C36A97">
        <w:rPr>
          <w:lang w:val="en-GB"/>
        </w:rPr>
        <w:t>P</w:t>
      </w:r>
      <w:r w:rsidR="003B53DC" w:rsidRPr="00272D5C">
        <w:rPr>
          <w:lang w:val="en-GB"/>
        </w:rPr>
        <w:t xml:space="preserve">, managing Juma REDD+ project, the ability (technical and administrative) for managing </w:t>
      </w:r>
      <w:r w:rsidR="00C36A97">
        <w:rPr>
          <w:lang w:val="en-GB"/>
        </w:rPr>
        <w:t>strategic</w:t>
      </w:r>
      <w:r w:rsidR="003B53DC" w:rsidRPr="00272D5C">
        <w:rPr>
          <w:lang w:val="en-GB"/>
        </w:rPr>
        <w:t xml:space="preserve"> project</w:t>
      </w:r>
      <w:r w:rsidR="00C36A97">
        <w:rPr>
          <w:lang w:val="en-GB"/>
        </w:rPr>
        <w:t>s</w:t>
      </w:r>
      <w:r w:rsidR="003B53DC" w:rsidRPr="00272D5C">
        <w:rPr>
          <w:lang w:val="en-GB"/>
        </w:rPr>
        <w:t>, and for being recognised as a key partner for mobilising resources for Amazonas. It is important to mention that FAS leads a consortium of four NGO that will support the implementation of the project’s goals, in coordination with SEMA-AM.</w:t>
      </w:r>
      <w:r w:rsidR="00C36A97">
        <w:rPr>
          <w:lang w:val="en-GB"/>
        </w:rPr>
        <w:t xml:space="preserve"> </w:t>
      </w:r>
      <w:r w:rsidR="00582F38">
        <w:rPr>
          <w:lang w:val="en-GB"/>
        </w:rPr>
        <w:t>It is not mandatory but each partner issued a letter of support on the proposal – which is attached. In addition, e</w:t>
      </w:r>
      <w:r w:rsidR="00C36A97">
        <w:rPr>
          <w:lang w:val="en-GB"/>
        </w:rPr>
        <w:t>ach partner will have a specific role and will support both technically and with its networking to leverage outcomes.</w:t>
      </w:r>
    </w:p>
    <w:p w14:paraId="56E5572A" w14:textId="7FD35001" w:rsidR="008E496D" w:rsidRDefault="008E496D" w:rsidP="007F28CF">
      <w:pPr>
        <w:pStyle w:val="Normal1"/>
        <w:jc w:val="both"/>
        <w:rPr>
          <w:lang w:val="en-GB"/>
        </w:rPr>
      </w:pPr>
      <w:r w:rsidRPr="00272D5C">
        <w:rPr>
          <w:lang w:val="en-GB"/>
        </w:rPr>
        <w:t>In addition, FAS, at the time of the first window of opportunity</w:t>
      </w:r>
      <w:r w:rsidR="00D3530D" w:rsidRPr="00272D5C">
        <w:rPr>
          <w:lang w:val="en-GB"/>
        </w:rPr>
        <w:t xml:space="preserve"> in 2016</w:t>
      </w:r>
      <w:r w:rsidRPr="00272D5C">
        <w:rPr>
          <w:lang w:val="en-GB"/>
        </w:rPr>
        <w:t>, took advantage of the Bolsa Floresta Leadership Meeting</w:t>
      </w:r>
      <w:r w:rsidRPr="00272D5C">
        <w:rPr>
          <w:rStyle w:val="FootnoteReference"/>
          <w:lang w:val="en-GB"/>
        </w:rPr>
        <w:footnoteReference w:id="14"/>
      </w:r>
      <w:r w:rsidR="003B4AD0">
        <w:rPr>
          <w:lang w:val="en-GB"/>
        </w:rPr>
        <w:t xml:space="preserve"> to present the proposal’s strategy for </w:t>
      </w:r>
      <w:r w:rsidRPr="00272D5C">
        <w:rPr>
          <w:lang w:val="en-GB"/>
        </w:rPr>
        <w:t>60 riverine local leaders</w:t>
      </w:r>
      <w:r w:rsidR="00951899">
        <w:rPr>
          <w:rStyle w:val="FootnoteReference"/>
          <w:lang w:val="en-GB"/>
        </w:rPr>
        <w:footnoteReference w:id="15"/>
      </w:r>
      <w:r w:rsidRPr="00272D5C">
        <w:rPr>
          <w:lang w:val="en-GB"/>
        </w:rPr>
        <w:t xml:space="preserve"> representing over 40 thousand people from the 16 protected areas. </w:t>
      </w:r>
      <w:r w:rsidR="003B4AD0">
        <w:rPr>
          <w:lang w:val="en-GB"/>
        </w:rPr>
        <w:t>At that time, all leaders signed a supported letter to the project</w:t>
      </w:r>
      <w:r w:rsidRPr="00272D5C">
        <w:rPr>
          <w:lang w:val="en-GB"/>
        </w:rPr>
        <w:t xml:space="preserve"> (see </w:t>
      </w:r>
      <w:r w:rsidR="00001C62">
        <w:rPr>
          <w:lang w:val="en-GB"/>
        </w:rPr>
        <w:t>attached as “</w:t>
      </w:r>
      <w:r w:rsidR="00001C62" w:rsidRPr="00001C62">
        <w:rPr>
          <w:i/>
          <w:lang w:val="en-GB"/>
        </w:rPr>
        <w:t>Bolsa Floresta leaders support letter_2007</w:t>
      </w:r>
      <w:r w:rsidR="00001C62">
        <w:rPr>
          <w:lang w:val="en-GB"/>
        </w:rPr>
        <w:t>”</w:t>
      </w:r>
      <w:r w:rsidRPr="00272D5C">
        <w:rPr>
          <w:lang w:val="en-GB"/>
        </w:rPr>
        <w:t>).</w:t>
      </w:r>
    </w:p>
    <w:p w14:paraId="09CD3DE0" w14:textId="572F13BE" w:rsidR="007B13B0" w:rsidRDefault="007B13B0" w:rsidP="007F28CF">
      <w:pPr>
        <w:pStyle w:val="Normal1"/>
        <w:jc w:val="both"/>
        <w:rPr>
          <w:lang w:val="en-GB"/>
        </w:rPr>
      </w:pPr>
      <w:r>
        <w:rPr>
          <w:lang w:val="en-GB"/>
        </w:rPr>
        <w:t xml:space="preserve">In regards of the Social and Environmental Standards (SES), </w:t>
      </w:r>
      <w:r w:rsidR="00FF3409">
        <w:rPr>
          <w:lang w:val="en-GB"/>
        </w:rPr>
        <w:t>the project</w:t>
      </w:r>
      <w:r>
        <w:rPr>
          <w:lang w:val="en-GB"/>
        </w:rPr>
        <w:t xml:space="preserve"> will </w:t>
      </w:r>
      <w:r w:rsidR="00FF3409">
        <w:rPr>
          <w:lang w:val="en-GB"/>
        </w:rPr>
        <w:t>be inspired by</w:t>
      </w:r>
      <w:r>
        <w:rPr>
          <w:lang w:val="en-GB"/>
        </w:rPr>
        <w:t xml:space="preserve"> UNDP’s standard</w:t>
      </w:r>
      <w:r>
        <w:rPr>
          <w:rStyle w:val="FootnoteReference"/>
          <w:lang w:val="en-GB"/>
        </w:rPr>
        <w:footnoteReference w:id="16"/>
      </w:r>
      <w:r w:rsidR="000172CE">
        <w:rPr>
          <w:lang w:val="en-GB"/>
        </w:rPr>
        <w:t>. Among all criteria</w:t>
      </w:r>
      <w:r>
        <w:rPr>
          <w:lang w:val="en-GB"/>
        </w:rPr>
        <w:t xml:space="preserve"> it is worth to mention: a</w:t>
      </w:r>
      <w:r w:rsidRPr="007B13B0">
        <w:rPr>
          <w:lang w:val="en-GB"/>
        </w:rPr>
        <w:t>void adverse impacts to people and the environment</w:t>
      </w:r>
      <w:r>
        <w:rPr>
          <w:lang w:val="en-GB"/>
        </w:rPr>
        <w:t>, m</w:t>
      </w:r>
      <w:r w:rsidRPr="007B13B0">
        <w:rPr>
          <w:lang w:val="en-GB"/>
        </w:rPr>
        <w:t>inimize, mitigate, and manage adverse impacts where avoidance is not possible</w:t>
      </w:r>
      <w:r>
        <w:rPr>
          <w:lang w:val="en-GB"/>
        </w:rPr>
        <w:t>, and e</w:t>
      </w:r>
      <w:r w:rsidRPr="007B13B0">
        <w:rPr>
          <w:lang w:val="en-GB"/>
        </w:rPr>
        <w:t>nsure full and effective stakeholder engagement, including through a mechanism to respond to complaints from project-affected people</w:t>
      </w:r>
      <w:r>
        <w:rPr>
          <w:lang w:val="en-GB"/>
        </w:rPr>
        <w:t>.</w:t>
      </w:r>
    </w:p>
    <w:p w14:paraId="3E3A9569" w14:textId="1E09E5B1" w:rsidR="005F5E8F" w:rsidRPr="007B13B0" w:rsidRDefault="005F5E8F" w:rsidP="007F28CF">
      <w:pPr>
        <w:pStyle w:val="Normal1"/>
        <w:jc w:val="both"/>
        <w:rPr>
          <w:lang w:val="en-GB"/>
        </w:rPr>
      </w:pPr>
      <w:r>
        <w:rPr>
          <w:lang w:val="en-GB"/>
        </w:rPr>
        <w:t>Therefore, in order to fulfil global principles on safeguards, the project will also address gender equality, social empowerment and environmental conservation. Moreover, all discussion will follow FPIC approach, including women, youngsters and indigenous and traditional peoples.</w:t>
      </w:r>
    </w:p>
    <w:p w14:paraId="0EA950FF" w14:textId="1537AA76" w:rsidR="007B13B0" w:rsidRDefault="00FF3409" w:rsidP="007B13B0">
      <w:pPr>
        <w:shd w:val="clear" w:color="auto" w:fill="FFFFFF"/>
        <w:spacing w:line="288" w:lineRule="atLeast"/>
        <w:jc w:val="both"/>
        <w:rPr>
          <w:rFonts w:ascii="Calibri" w:hAnsi="Calibri" w:cs="Calibri"/>
          <w:lang w:val="en-GB"/>
        </w:rPr>
      </w:pPr>
      <w:r>
        <w:rPr>
          <w:rFonts w:ascii="Calibri" w:hAnsi="Calibri" w:cs="Calibri"/>
          <w:lang w:val="en-GB"/>
        </w:rPr>
        <w:t>SEMA</w:t>
      </w:r>
      <w:r w:rsidR="00951899">
        <w:rPr>
          <w:rFonts w:ascii="Calibri" w:hAnsi="Calibri" w:cs="Calibri"/>
          <w:lang w:val="en-GB"/>
        </w:rPr>
        <w:t>-AM</w:t>
      </w:r>
      <w:r>
        <w:rPr>
          <w:rFonts w:ascii="Calibri" w:hAnsi="Calibri" w:cs="Calibri"/>
          <w:lang w:val="en-GB"/>
        </w:rPr>
        <w:t xml:space="preserve"> indicated FAS as lead proponent due to its experience on social and environmental safeguards</w:t>
      </w:r>
      <w:r w:rsidR="004A3782">
        <w:rPr>
          <w:rFonts w:ascii="Calibri" w:hAnsi="Calibri" w:cs="Calibri"/>
          <w:lang w:val="en-GB"/>
        </w:rPr>
        <w:t xml:space="preserve"> – mainly on FPIC and inclusive participatory engagement and social capital within </w:t>
      </w:r>
      <w:r w:rsidR="00576397">
        <w:rPr>
          <w:rFonts w:ascii="Calibri" w:hAnsi="Calibri" w:cs="Calibri"/>
          <w:lang w:val="en-GB"/>
        </w:rPr>
        <w:t>Protected Areas in Amazonas.</w:t>
      </w:r>
    </w:p>
    <w:p w14:paraId="09DEA1AB" w14:textId="78290573" w:rsidR="00DB0795" w:rsidRPr="005F5E8F" w:rsidRDefault="00DB0795" w:rsidP="007B13B0">
      <w:pPr>
        <w:shd w:val="clear" w:color="auto" w:fill="FFFFFF"/>
        <w:spacing w:line="288" w:lineRule="atLeast"/>
        <w:jc w:val="both"/>
        <w:rPr>
          <w:rFonts w:ascii="Calibri" w:hAnsi="Calibri" w:cs="Calibri"/>
          <w:lang w:val="en-GB"/>
        </w:rPr>
      </w:pPr>
      <w:r>
        <w:rPr>
          <w:rFonts w:ascii="Calibri" w:hAnsi="Calibri" w:cs="Calibri"/>
          <w:lang w:val="en-GB"/>
        </w:rPr>
        <w:t>FAS will convene partners and resources to elaborate and update State Law’s safeguards related to environmental services</w:t>
      </w:r>
      <w:r w:rsidR="00245C7C">
        <w:rPr>
          <w:rFonts w:ascii="Calibri" w:hAnsi="Calibri" w:cs="Calibri"/>
          <w:lang w:val="en-GB"/>
        </w:rPr>
        <w:t>. The governance and the decision-making process will encompass SEMA</w:t>
      </w:r>
      <w:r w:rsidR="00951899">
        <w:rPr>
          <w:rFonts w:ascii="Calibri" w:hAnsi="Calibri" w:cs="Calibri"/>
          <w:lang w:val="en-GB"/>
        </w:rPr>
        <w:t>-AM</w:t>
      </w:r>
      <w:r w:rsidR="00245C7C">
        <w:rPr>
          <w:rFonts w:ascii="Calibri" w:hAnsi="Calibri" w:cs="Calibri"/>
          <w:lang w:val="en-GB"/>
        </w:rPr>
        <w:t xml:space="preserve">’s Committee on Environmental Monitoring, Amazonas Climate Change Forum, the State Council on Environment and the State Council on Traditional Peoples. All these </w:t>
      </w:r>
      <w:r w:rsidR="007B44B7">
        <w:rPr>
          <w:rFonts w:ascii="Calibri" w:hAnsi="Calibri" w:cs="Calibri"/>
          <w:lang w:val="en-GB"/>
        </w:rPr>
        <w:t xml:space="preserve">fora will </w:t>
      </w:r>
      <w:r w:rsidR="007B44B7">
        <w:rPr>
          <w:rFonts w:ascii="Calibri" w:hAnsi="Calibri" w:cs="Calibri"/>
          <w:lang w:val="en-GB"/>
        </w:rPr>
        <w:lastRenderedPageBreak/>
        <w:t xml:space="preserve">insure the </w:t>
      </w:r>
      <w:r w:rsidR="00334C6D">
        <w:rPr>
          <w:rFonts w:ascii="Calibri" w:hAnsi="Calibri" w:cs="Calibri"/>
          <w:lang w:val="en-GB"/>
        </w:rPr>
        <w:t xml:space="preserve">qualified </w:t>
      </w:r>
      <w:r w:rsidR="007B44B7">
        <w:rPr>
          <w:rFonts w:ascii="Calibri" w:hAnsi="Calibri" w:cs="Calibri"/>
          <w:lang w:val="en-GB"/>
        </w:rPr>
        <w:t>participation of relevant stakeholders</w:t>
      </w:r>
      <w:r w:rsidR="0022790B">
        <w:rPr>
          <w:rFonts w:ascii="Calibri" w:hAnsi="Calibri" w:cs="Calibri"/>
          <w:lang w:val="en-GB"/>
        </w:rPr>
        <w:t xml:space="preserve">, </w:t>
      </w:r>
      <w:r w:rsidR="00334C6D" w:rsidRPr="00334C6D">
        <w:rPr>
          <w:rFonts w:ascii="Calibri" w:hAnsi="Calibri" w:cs="Calibri"/>
          <w:lang w:val="en-GB"/>
        </w:rPr>
        <w:t>including local communities, indigenous groups insuring gender balance</w:t>
      </w:r>
      <w:r w:rsidR="007B44B7">
        <w:rPr>
          <w:rFonts w:ascii="Calibri" w:hAnsi="Calibri" w:cs="Calibri"/>
          <w:lang w:val="en-GB"/>
        </w:rPr>
        <w:t>.</w:t>
      </w:r>
    </w:p>
    <w:p w14:paraId="279995BE" w14:textId="5B5D3C31" w:rsidR="00DF0454" w:rsidRDefault="003B4AD0" w:rsidP="007F28CF">
      <w:pPr>
        <w:pStyle w:val="Normal1"/>
        <w:jc w:val="both"/>
        <w:rPr>
          <w:lang w:val="en-GB"/>
        </w:rPr>
      </w:pPr>
      <w:r w:rsidRPr="00272D5C">
        <w:rPr>
          <w:lang w:val="en-GB"/>
        </w:rPr>
        <w:t>Finally yet importantly</w:t>
      </w:r>
      <w:r w:rsidR="00B711A0" w:rsidRPr="00272D5C">
        <w:rPr>
          <w:lang w:val="en-GB"/>
        </w:rPr>
        <w:t xml:space="preserve">, SEMA-AM </w:t>
      </w:r>
      <w:r>
        <w:rPr>
          <w:lang w:val="en-GB"/>
        </w:rPr>
        <w:t xml:space="preserve">has a </w:t>
      </w:r>
      <w:r w:rsidR="00DF0454">
        <w:rPr>
          <w:lang w:val="en-GB"/>
        </w:rPr>
        <w:t>robust</w:t>
      </w:r>
      <w:r>
        <w:rPr>
          <w:lang w:val="en-GB"/>
        </w:rPr>
        <w:t xml:space="preserve"> monitoring system in place: using data from the Brazili</w:t>
      </w:r>
      <w:r w:rsidR="00D80BF6">
        <w:rPr>
          <w:lang w:val="en-GB"/>
        </w:rPr>
        <w:t>an National Space Agency (INPE);</w:t>
      </w:r>
      <w:r>
        <w:rPr>
          <w:lang w:val="en-GB"/>
        </w:rPr>
        <w:t xml:space="preserve"> </w:t>
      </w:r>
      <w:r w:rsidRPr="00272D5C">
        <w:rPr>
          <w:lang w:val="en-GB"/>
        </w:rPr>
        <w:t xml:space="preserve">having set </w:t>
      </w:r>
      <w:r w:rsidR="00B7181B">
        <w:rPr>
          <w:lang w:val="en-GB"/>
        </w:rPr>
        <w:t>State</w:t>
      </w:r>
      <w:r w:rsidRPr="00272D5C">
        <w:rPr>
          <w:lang w:val="en-GB"/>
        </w:rPr>
        <w:t xml:space="preserve">’s </w:t>
      </w:r>
      <w:r w:rsidR="00B7181B">
        <w:rPr>
          <w:lang w:val="en-GB"/>
        </w:rPr>
        <w:t xml:space="preserve">deforestation </w:t>
      </w:r>
      <w:r w:rsidRPr="00272D5C">
        <w:rPr>
          <w:lang w:val="en-GB"/>
        </w:rPr>
        <w:t>baseline and emission reduction targets</w:t>
      </w:r>
      <w:r w:rsidR="00D80BF6">
        <w:rPr>
          <w:lang w:val="en-GB"/>
        </w:rPr>
        <w:t>;</w:t>
      </w:r>
      <w:r>
        <w:rPr>
          <w:lang w:val="en-GB"/>
        </w:rPr>
        <w:t xml:space="preserve"> and building an accountability platform </w:t>
      </w:r>
      <w:r w:rsidR="00D80BF6">
        <w:rPr>
          <w:lang w:val="en-GB"/>
        </w:rPr>
        <w:t xml:space="preserve">(i.e., the REDD+ registry system), together with FAS and BV-Rio. </w:t>
      </w:r>
    </w:p>
    <w:p w14:paraId="3D74183F" w14:textId="58C31333" w:rsidR="00DF0454" w:rsidRDefault="00D80BF6" w:rsidP="00C35EAD">
      <w:pPr>
        <w:pStyle w:val="Normal1"/>
        <w:jc w:val="both"/>
        <w:rPr>
          <w:lang w:val="en-GB"/>
        </w:rPr>
      </w:pPr>
      <w:r>
        <w:rPr>
          <w:lang w:val="en-GB"/>
        </w:rPr>
        <w:t>All these belong to a solid framework</w:t>
      </w:r>
      <w:r w:rsidR="00DF0454">
        <w:rPr>
          <w:lang w:val="en-GB"/>
        </w:rPr>
        <w:t xml:space="preserve"> of legal arrangements, effective partnerships, sharp regulations, and clear and feasible goals and targets moving Amazonas towards the low-carbon economy.</w:t>
      </w:r>
      <w:r w:rsidR="00DF0454">
        <w:rPr>
          <w:lang w:val="en-GB"/>
        </w:rPr>
        <w:br w:type="page"/>
      </w:r>
    </w:p>
    <w:p w14:paraId="776B7077" w14:textId="77777777" w:rsidR="00C10E5D" w:rsidRPr="00272D5C" w:rsidRDefault="00C10E5D" w:rsidP="007F28CF">
      <w:pPr>
        <w:pStyle w:val="Heading2"/>
        <w:jc w:val="both"/>
        <w:rPr>
          <w:lang w:val="en-GB"/>
        </w:rPr>
      </w:pPr>
      <w:bookmarkStart w:id="7" w:name="_Toc517617414"/>
      <w:r w:rsidRPr="00272D5C">
        <w:rPr>
          <w:lang w:val="en-GB"/>
        </w:rPr>
        <w:lastRenderedPageBreak/>
        <w:t>1.3. Strategic Opportunities</w:t>
      </w:r>
      <w:bookmarkEnd w:id="7"/>
    </w:p>
    <w:p w14:paraId="1D28F454" w14:textId="36FB13E9" w:rsidR="00855E5F" w:rsidRPr="00272D5C" w:rsidRDefault="00855E5F" w:rsidP="007F28CF">
      <w:pPr>
        <w:pStyle w:val="Normal1"/>
        <w:jc w:val="both"/>
        <w:rPr>
          <w:lang w:val="en-GB"/>
        </w:rPr>
      </w:pPr>
      <w:r w:rsidRPr="00272D5C">
        <w:rPr>
          <w:lang w:val="en-GB"/>
        </w:rPr>
        <w:t xml:space="preserve">The regulation and implementation of </w:t>
      </w:r>
      <w:r w:rsidR="00330433">
        <w:rPr>
          <w:lang w:val="en-GB"/>
        </w:rPr>
        <w:t xml:space="preserve">LSA </w:t>
      </w:r>
      <w:r w:rsidRPr="00272D5C">
        <w:rPr>
          <w:lang w:val="en-GB"/>
        </w:rPr>
        <w:t>will allow</w:t>
      </w:r>
      <w:r w:rsidR="00330433">
        <w:rPr>
          <w:lang w:val="en-GB"/>
        </w:rPr>
        <w:t xml:space="preserve"> more resources </w:t>
      </w:r>
      <w:r w:rsidRPr="00272D5C">
        <w:rPr>
          <w:lang w:val="en-GB"/>
        </w:rPr>
        <w:t>to combat deforestation and provide inp</w:t>
      </w:r>
      <w:r w:rsidR="00330433">
        <w:rPr>
          <w:lang w:val="en-GB"/>
        </w:rPr>
        <w:t>uts for territorial development;</w:t>
      </w:r>
      <w:r w:rsidRPr="00272D5C">
        <w:rPr>
          <w:lang w:val="en-GB"/>
        </w:rPr>
        <w:t xml:space="preserve"> </w:t>
      </w:r>
      <w:r w:rsidR="00330433">
        <w:rPr>
          <w:lang w:val="en-GB"/>
        </w:rPr>
        <w:t xml:space="preserve">enable a low-carbon economy to grow and proper incentives; </w:t>
      </w:r>
      <w:r w:rsidRPr="00272D5C">
        <w:rPr>
          <w:lang w:val="en-GB"/>
        </w:rPr>
        <w:t xml:space="preserve">consolidate jurisdictional REDD+ system in </w:t>
      </w:r>
      <w:r w:rsidR="00330433">
        <w:rPr>
          <w:lang w:val="en-GB"/>
        </w:rPr>
        <w:t>Amazonas;</w:t>
      </w:r>
      <w:r w:rsidRPr="00272D5C">
        <w:rPr>
          <w:lang w:val="en-GB"/>
        </w:rPr>
        <w:t xml:space="preserve"> and </w:t>
      </w:r>
      <w:r w:rsidR="00330433">
        <w:rPr>
          <w:lang w:val="en-GB"/>
        </w:rPr>
        <w:t xml:space="preserve">foster sustainable development in Amazonas – </w:t>
      </w:r>
      <w:r w:rsidR="006D379A" w:rsidRPr="00272D5C">
        <w:rPr>
          <w:lang w:val="en-GB"/>
        </w:rPr>
        <w:t xml:space="preserve">as shown </w:t>
      </w:r>
      <w:r w:rsidR="00330433">
        <w:rPr>
          <w:lang w:val="en-GB"/>
        </w:rPr>
        <w:t>below (</w:t>
      </w:r>
      <w:r w:rsidR="00330433">
        <w:rPr>
          <w:lang w:val="en-GB"/>
        </w:rPr>
        <w:fldChar w:fldCharType="begin"/>
      </w:r>
      <w:r w:rsidR="00330433">
        <w:rPr>
          <w:lang w:val="en-GB"/>
        </w:rPr>
        <w:instrText xml:space="preserve"> REF _Ref513651301 \h </w:instrText>
      </w:r>
      <w:r w:rsidR="00330433">
        <w:rPr>
          <w:lang w:val="en-GB"/>
        </w:rPr>
      </w:r>
      <w:r w:rsidR="00330433">
        <w:rPr>
          <w:lang w:val="en-GB"/>
        </w:rPr>
        <w:fldChar w:fldCharType="separate"/>
      </w:r>
      <w:r w:rsidR="00AB2EB2" w:rsidRPr="00272D5C">
        <w:rPr>
          <w:lang w:val="en-GB"/>
        </w:rPr>
        <w:t xml:space="preserve">Figure </w:t>
      </w:r>
      <w:r w:rsidR="00AB2EB2">
        <w:rPr>
          <w:noProof/>
          <w:lang w:val="en-GB"/>
        </w:rPr>
        <w:t>2</w:t>
      </w:r>
      <w:r w:rsidR="00330433">
        <w:rPr>
          <w:lang w:val="en-GB"/>
        </w:rPr>
        <w:fldChar w:fldCharType="end"/>
      </w:r>
      <w:r w:rsidR="00330433">
        <w:rPr>
          <w:lang w:val="en-GB"/>
        </w:rPr>
        <w:t>).</w:t>
      </w:r>
    </w:p>
    <w:p w14:paraId="6DF8AFE9" w14:textId="0D26A498" w:rsidR="006D379A" w:rsidRPr="00272D5C" w:rsidRDefault="00794C8C" w:rsidP="00C35EAD">
      <w:pPr>
        <w:pStyle w:val="Normal1"/>
        <w:keepNext/>
        <w:jc w:val="center"/>
        <w:rPr>
          <w:lang w:val="en-GB"/>
        </w:rPr>
      </w:pPr>
      <w:r>
        <w:rPr>
          <w:noProof/>
        </w:rPr>
        <w:drawing>
          <wp:inline distT="0" distB="0" distL="0" distR="0" wp14:anchorId="73D33EDF" wp14:editId="178F33A6">
            <wp:extent cx="6326680" cy="324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6680" cy="3240000"/>
                    </a:xfrm>
                    <a:prstGeom prst="rect">
                      <a:avLst/>
                    </a:prstGeom>
                    <a:noFill/>
                  </pic:spPr>
                </pic:pic>
              </a:graphicData>
            </a:graphic>
          </wp:inline>
        </w:drawing>
      </w:r>
    </w:p>
    <w:p w14:paraId="11F8A176" w14:textId="060CD445" w:rsidR="006D379A" w:rsidRPr="00272D5C" w:rsidRDefault="006D379A" w:rsidP="007F28CF">
      <w:pPr>
        <w:pStyle w:val="Caption"/>
        <w:jc w:val="both"/>
        <w:rPr>
          <w:lang w:val="en-GB"/>
        </w:rPr>
      </w:pPr>
      <w:bookmarkStart w:id="8" w:name="_Ref513651301"/>
      <w:r w:rsidRPr="00272D5C">
        <w:rPr>
          <w:lang w:val="en-GB"/>
        </w:rPr>
        <w:t xml:space="preserve">Figure </w:t>
      </w:r>
      <w:r w:rsidRPr="00272D5C">
        <w:rPr>
          <w:lang w:val="en-GB"/>
        </w:rPr>
        <w:fldChar w:fldCharType="begin"/>
      </w:r>
      <w:r w:rsidRPr="00272D5C">
        <w:rPr>
          <w:lang w:val="en-GB"/>
        </w:rPr>
        <w:instrText xml:space="preserve"> SEQ Figure \* ARABIC </w:instrText>
      </w:r>
      <w:r w:rsidRPr="00272D5C">
        <w:rPr>
          <w:lang w:val="en-GB"/>
        </w:rPr>
        <w:fldChar w:fldCharType="separate"/>
      </w:r>
      <w:r w:rsidR="00AB2EB2">
        <w:rPr>
          <w:noProof/>
          <w:lang w:val="en-GB"/>
        </w:rPr>
        <w:t>2</w:t>
      </w:r>
      <w:r w:rsidRPr="00272D5C">
        <w:rPr>
          <w:lang w:val="en-GB"/>
        </w:rPr>
        <w:fldChar w:fldCharType="end"/>
      </w:r>
      <w:bookmarkEnd w:id="8"/>
      <w:r w:rsidRPr="00272D5C">
        <w:rPr>
          <w:lang w:val="en-GB"/>
        </w:rPr>
        <w:t>. Project’s theory of change</w:t>
      </w:r>
      <w:r w:rsidR="002277A6" w:rsidRPr="00272D5C">
        <w:rPr>
          <w:lang w:val="en-GB"/>
        </w:rPr>
        <w:t>.</w:t>
      </w:r>
    </w:p>
    <w:p w14:paraId="1476F81E" w14:textId="2F6207A8" w:rsidR="00F53F38" w:rsidRDefault="00717389" w:rsidP="007F28CF">
      <w:pPr>
        <w:pStyle w:val="Normal1"/>
        <w:jc w:val="both"/>
        <w:rPr>
          <w:lang w:val="en-GB"/>
        </w:rPr>
      </w:pPr>
      <w:r>
        <w:rPr>
          <w:lang w:val="en-GB"/>
        </w:rPr>
        <w:t>Institutional barriers and risks, such as political instability</w:t>
      </w:r>
      <w:r w:rsidR="00D5443B">
        <w:rPr>
          <w:lang w:val="en-GB"/>
        </w:rPr>
        <w:t>, will be addressed by strictly agreements amongst partners and true engagement from the high-level decision-makers such as the State Secretary, Marcelo Dutra, and the Governor himself</w:t>
      </w:r>
      <w:r w:rsidR="003C751E">
        <w:rPr>
          <w:lang w:val="en-GB"/>
        </w:rPr>
        <w:t xml:space="preserve"> – this gathers and promote transversal interaction within the State Government.</w:t>
      </w:r>
    </w:p>
    <w:p w14:paraId="5F32C98A" w14:textId="1511FE46" w:rsidR="00272163" w:rsidRDefault="00F53F38" w:rsidP="007F28CF">
      <w:pPr>
        <w:pStyle w:val="Normal1"/>
        <w:jc w:val="both"/>
        <w:rPr>
          <w:lang w:val="en-GB"/>
        </w:rPr>
      </w:pPr>
      <w:r>
        <w:rPr>
          <w:lang w:val="en-GB"/>
        </w:rPr>
        <w:t>Political risks, such as misalignment between Amazonian States and the Brazilian Government in financing, will be overcome through new strategies, to-be developed, with the new presidency and related ministries. In addition, considering the support from GCF and UNDP to all Brazilian Amazonian States, the advocacy (and the ‘green lobby’) will be enhanced – again, during an important moment of political shift in the federal level.</w:t>
      </w:r>
      <w:r w:rsidR="00656543">
        <w:rPr>
          <w:lang w:val="en-GB"/>
        </w:rPr>
        <w:t xml:space="preserve"> </w:t>
      </w:r>
      <w:r w:rsidR="00AC2AAC">
        <w:rPr>
          <w:lang w:val="en-GB"/>
        </w:rPr>
        <w:t>I</w:t>
      </w:r>
      <w:r w:rsidR="00656543">
        <w:rPr>
          <w:lang w:val="en-GB"/>
        </w:rPr>
        <w:t>t is important to highlight that the 80%-deforestation reduction target, within the NDC, depends on the Amazonian State to be aligned and strong to implement projects and activities.</w:t>
      </w:r>
      <w:r w:rsidR="003C751E">
        <w:rPr>
          <w:lang w:val="en-GB"/>
        </w:rPr>
        <w:t xml:space="preserve"> </w:t>
      </w:r>
      <w:r w:rsidR="00272163">
        <w:rPr>
          <w:lang w:val="en-GB"/>
        </w:rPr>
        <w:t xml:space="preserve">Therefore, the </w:t>
      </w:r>
      <w:r w:rsidR="00B8246C">
        <w:rPr>
          <w:lang w:val="en-GB"/>
        </w:rPr>
        <w:t>pilots within the LSA regulations will address the key deforestation drivers.</w:t>
      </w:r>
    </w:p>
    <w:p w14:paraId="6E547A0D" w14:textId="76BFE785" w:rsidR="00F45BDB" w:rsidRDefault="00F45BDB" w:rsidP="007F28CF">
      <w:pPr>
        <w:pStyle w:val="Normal1"/>
        <w:jc w:val="both"/>
        <w:rPr>
          <w:lang w:val="en-GB"/>
        </w:rPr>
      </w:pPr>
      <w:r>
        <w:rPr>
          <w:lang w:val="en-GB"/>
        </w:rPr>
        <w:t>Another result that it is important to highlight is training public decision-makers and agents on environmental services and management. As the project will publish high-level reports, and they have to be discussed in public consultations, project’s partners shall work in complementary materials to support the better understanding of the subject. In addition to public consultation, meetings held in FAMC and CEMAAM will also have a training context background.</w:t>
      </w:r>
    </w:p>
    <w:p w14:paraId="7C5061F3" w14:textId="77777777" w:rsidR="004A3A34" w:rsidRDefault="003C751E" w:rsidP="007F28CF">
      <w:pPr>
        <w:pStyle w:val="Normal1"/>
        <w:jc w:val="both"/>
        <w:rPr>
          <w:lang w:val="en-GB"/>
        </w:rPr>
      </w:pPr>
      <w:r>
        <w:rPr>
          <w:lang w:val="en-GB"/>
        </w:rPr>
        <w:t xml:space="preserve">Furthermore, SEMA-AM is agglutinating all State’s effort within the climate strategy: promoting cross-sectorial policies and incentives, for instance, for low-carbon rural production with the </w:t>
      </w:r>
      <w:r>
        <w:rPr>
          <w:lang w:val="en-GB"/>
        </w:rPr>
        <w:lastRenderedPageBreak/>
        <w:t xml:space="preserve">State Secretary of Rural Production; including relevant educational content for public schools with the State Secretary of Education; </w:t>
      </w:r>
      <w:r w:rsidR="006F5DC0">
        <w:rPr>
          <w:lang w:val="en-GB"/>
        </w:rPr>
        <w:t xml:space="preserve">providing capacity building within public decision-makers through public consultations, specific meetings and technical publication; </w:t>
      </w:r>
      <w:r>
        <w:rPr>
          <w:lang w:val="en-GB"/>
        </w:rPr>
        <w:t>and assessing public budgets for carbon-intensive projects with the State Secretary of Treasury.</w:t>
      </w:r>
      <w:r w:rsidR="00654A1F">
        <w:rPr>
          <w:lang w:val="en-GB"/>
        </w:rPr>
        <w:t xml:space="preserve"> </w:t>
      </w:r>
      <w:r w:rsidR="004A3A34">
        <w:rPr>
          <w:lang w:val="en-GB"/>
        </w:rPr>
        <w:t>In addition to State’s organisations, SEMA-AM is also engaged with the Ministry of Environment to support the implementation of the ENREDD+ and PPCDAM in Amazonas.</w:t>
      </w:r>
    </w:p>
    <w:p w14:paraId="59B59B95" w14:textId="16600299" w:rsidR="003C751E" w:rsidRDefault="00654A1F" w:rsidP="007F28CF">
      <w:pPr>
        <w:pStyle w:val="Normal1"/>
        <w:jc w:val="both"/>
        <w:rPr>
          <w:lang w:val="en-GB"/>
        </w:rPr>
      </w:pPr>
      <w:r>
        <w:rPr>
          <w:lang w:val="en-GB"/>
        </w:rPr>
        <w:t>These will be done through three specific approaches: engage with other public agencies (State- and Federal levels) in high-level platforms chaired by SEMA-AM; using the mandate made by the State Governor for the climate agenda; and seeking for synergies in specific policies focusing capacity building, rural production and green bonds (incentives and subsidies).</w:t>
      </w:r>
    </w:p>
    <w:p w14:paraId="66EE4437" w14:textId="107D6BCE" w:rsidR="00F53F38" w:rsidRDefault="00F53F38" w:rsidP="007F28CF">
      <w:pPr>
        <w:pStyle w:val="Normal1"/>
        <w:jc w:val="both"/>
        <w:rPr>
          <w:lang w:val="en-GB"/>
        </w:rPr>
      </w:pPr>
      <w:r>
        <w:rPr>
          <w:lang w:val="en-GB"/>
        </w:rPr>
        <w:t xml:space="preserve">This scenario is a new (and good opportunity) to strengthen the Rio Branco Declaration within the national level. Amazonas, being a leader in the climate change agenda, reinforces its commitments in curbing the deforestation, enhancing and protected forest carbon stocks and developing strategies in sustainable low-carbon </w:t>
      </w:r>
      <w:r w:rsidR="00310C2D">
        <w:rPr>
          <w:lang w:val="en-GB"/>
        </w:rPr>
        <w:t xml:space="preserve">forest-based </w:t>
      </w:r>
      <w:r>
        <w:rPr>
          <w:lang w:val="en-GB"/>
        </w:rPr>
        <w:t>production.</w:t>
      </w:r>
    </w:p>
    <w:p w14:paraId="4731EFDD" w14:textId="206CFFFA" w:rsidR="00855E5F" w:rsidRPr="00272D5C" w:rsidRDefault="00855E5F" w:rsidP="007F28CF">
      <w:pPr>
        <w:pStyle w:val="Normal1"/>
        <w:jc w:val="both"/>
        <w:rPr>
          <w:lang w:val="en-GB"/>
        </w:rPr>
      </w:pPr>
      <w:r w:rsidRPr="00272D5C">
        <w:rPr>
          <w:lang w:val="en-GB"/>
        </w:rPr>
        <w:t xml:space="preserve">In addition to reducing emissions, this proposal will also strengthen the management and training systems for public managers, providing maintenance of </w:t>
      </w:r>
      <w:r w:rsidR="002214AC">
        <w:rPr>
          <w:lang w:val="en-GB"/>
        </w:rPr>
        <w:t>State</w:t>
      </w:r>
      <w:r w:rsidRPr="00272D5C">
        <w:rPr>
          <w:lang w:val="en-GB"/>
        </w:rPr>
        <w:t>’s natural capital, promoting the improvement of the quality of life of the populations living in the forest, and allowing sustainable territorial development.</w:t>
      </w:r>
      <w:r w:rsidR="00654A1F">
        <w:rPr>
          <w:lang w:val="en-GB"/>
        </w:rPr>
        <w:t xml:space="preserve"> Also, the pilots to be supported will play an important role within</w:t>
      </w:r>
      <w:r w:rsidR="00F53F38">
        <w:rPr>
          <w:lang w:val="en-GB"/>
        </w:rPr>
        <w:t xml:space="preserve"> </w:t>
      </w:r>
      <w:r w:rsidR="00654A1F">
        <w:rPr>
          <w:lang w:val="en-GB"/>
        </w:rPr>
        <w:t>providing feedbacks for the regulation of LSA in testing activities and approaches – furthermore, these pilots, as proof of concept, will also support the engagement of funding partners.</w:t>
      </w:r>
    </w:p>
    <w:p w14:paraId="35A0321D" w14:textId="69AE820D" w:rsidR="00855E5F" w:rsidRPr="00272D5C" w:rsidRDefault="00855E5F" w:rsidP="00E73C81">
      <w:pPr>
        <w:pStyle w:val="Normal1"/>
        <w:jc w:val="both"/>
        <w:rPr>
          <w:lang w:val="en-GB"/>
        </w:rPr>
      </w:pPr>
      <w:r w:rsidRPr="00272D5C">
        <w:rPr>
          <w:lang w:val="en-GB"/>
        </w:rPr>
        <w:t>Finally, some of the outputs of this project are mapping, elaboration and submission of the proposal to possible funder</w:t>
      </w:r>
      <w:r w:rsidR="00165A81">
        <w:rPr>
          <w:lang w:val="en-GB"/>
        </w:rPr>
        <w:t>s and donors</w:t>
      </w:r>
      <w:r w:rsidRPr="00272D5C">
        <w:rPr>
          <w:lang w:val="en-GB"/>
        </w:rPr>
        <w:t xml:space="preserve"> </w:t>
      </w:r>
      <w:r w:rsidR="00165A81">
        <w:rPr>
          <w:lang w:val="en-GB"/>
        </w:rPr>
        <w:t>for a complementary budget to leverage current resources</w:t>
      </w:r>
      <w:r w:rsidRPr="00272D5C">
        <w:rPr>
          <w:lang w:val="en-GB"/>
        </w:rPr>
        <w:t>.</w:t>
      </w:r>
      <w:r w:rsidR="00165A81">
        <w:rPr>
          <w:lang w:val="en-GB"/>
        </w:rPr>
        <w:t xml:space="preserve"> </w:t>
      </w:r>
      <w:r w:rsidR="00165A81" w:rsidRPr="00272D5C">
        <w:rPr>
          <w:lang w:val="en-GB"/>
        </w:rPr>
        <w:t xml:space="preserve">This can be achieved by accessing both national and international sources such as NORAD, California's emissions market, ICAO, KfW, Atlhelia, Amazon Fund, GCF Fund, Green Climate Fund, and direct access to private partners and other mechanisms. </w:t>
      </w:r>
      <w:r w:rsidR="00AD7112" w:rsidRPr="00AD7112">
        <w:rPr>
          <w:lang w:val="en-GB"/>
        </w:rPr>
        <w:t>Amongst project's partners, FAS, Idesam and CI-BR are acknowledged by their networks and ability to catalyse partnerships and resources. Therefore</w:t>
      </w:r>
      <w:r w:rsidR="00AD7112">
        <w:rPr>
          <w:lang w:val="en-GB"/>
        </w:rPr>
        <w:t>,</w:t>
      </w:r>
      <w:r w:rsidR="00AD7112" w:rsidRPr="00AD7112">
        <w:rPr>
          <w:lang w:val="en-GB"/>
        </w:rPr>
        <w:t xml:space="preserve"> these </w:t>
      </w:r>
      <w:r w:rsidR="00AD7112">
        <w:rPr>
          <w:lang w:val="en-GB"/>
        </w:rPr>
        <w:t>organisations</w:t>
      </w:r>
      <w:r w:rsidR="00AD7112" w:rsidRPr="00AD7112">
        <w:rPr>
          <w:lang w:val="en-GB"/>
        </w:rPr>
        <w:t>, and others involved, have been moving forward on mapping and narrowing opportunities for the State of Amazonas.</w:t>
      </w:r>
      <w:r w:rsidR="00AD7112">
        <w:rPr>
          <w:lang w:val="en-GB"/>
        </w:rPr>
        <w:t xml:space="preserve"> Moreover, </w:t>
      </w:r>
      <w:r w:rsidR="00165A81">
        <w:rPr>
          <w:lang w:val="en-GB"/>
        </w:rPr>
        <w:t>CI-Brazil</w:t>
      </w:r>
      <w:r w:rsidR="00165A81" w:rsidRPr="00272D5C">
        <w:rPr>
          <w:lang w:val="en-GB"/>
        </w:rPr>
        <w:t xml:space="preserve"> is accredited to GEF since 2013 and to the Green Climate Fund since 2015. FAS is the largest private beneficiary of the Amazon Fund</w:t>
      </w:r>
      <w:r w:rsidR="00165A81">
        <w:rPr>
          <w:lang w:val="en-GB"/>
        </w:rPr>
        <w:t xml:space="preserve"> and has been able to channel private resources to REDD+ -- such as with Marriott International</w:t>
      </w:r>
      <w:r w:rsidR="00165A81" w:rsidRPr="00272D5C">
        <w:rPr>
          <w:lang w:val="en-GB"/>
        </w:rPr>
        <w:t>.</w:t>
      </w:r>
    </w:p>
    <w:p w14:paraId="35B3B9FE" w14:textId="77777777" w:rsidR="00B61F69" w:rsidRPr="00272D5C" w:rsidRDefault="00B61F69" w:rsidP="007F28CF">
      <w:pPr>
        <w:pStyle w:val="Normal1"/>
        <w:jc w:val="both"/>
        <w:rPr>
          <w:lang w:val="en-GB"/>
        </w:rPr>
      </w:pPr>
    </w:p>
    <w:p w14:paraId="4AF321BC" w14:textId="77777777" w:rsidR="00B61F69" w:rsidRPr="00272D5C" w:rsidRDefault="00B61F69" w:rsidP="007F28CF">
      <w:pPr>
        <w:pStyle w:val="Normal1"/>
        <w:jc w:val="both"/>
        <w:rPr>
          <w:lang w:val="en-GB"/>
        </w:rPr>
      </w:pPr>
    </w:p>
    <w:p w14:paraId="6C621651" w14:textId="77777777" w:rsidR="00B61F69" w:rsidRPr="00272D5C" w:rsidRDefault="00B61F69" w:rsidP="007F28CF">
      <w:pPr>
        <w:pStyle w:val="Normal1"/>
        <w:jc w:val="both"/>
        <w:rPr>
          <w:lang w:val="en-GB"/>
        </w:rPr>
      </w:pPr>
    </w:p>
    <w:p w14:paraId="46E02584" w14:textId="77777777" w:rsidR="00B61F69" w:rsidRPr="00272D5C" w:rsidRDefault="00B61F69" w:rsidP="007F28CF">
      <w:pPr>
        <w:pStyle w:val="Normal1"/>
        <w:jc w:val="both"/>
        <w:rPr>
          <w:lang w:val="en-GB"/>
        </w:rPr>
        <w:sectPr w:rsidR="00B61F69" w:rsidRPr="00272D5C" w:rsidSect="00B11C13">
          <w:footerReference w:type="default" r:id="rId15"/>
          <w:pgSz w:w="11906" w:h="16838"/>
          <w:pgMar w:top="1417" w:right="1701" w:bottom="1417" w:left="1701" w:header="708" w:footer="708" w:gutter="0"/>
          <w:cols w:space="708"/>
          <w:titlePg/>
          <w:docGrid w:linePitch="360"/>
        </w:sectPr>
      </w:pPr>
    </w:p>
    <w:p w14:paraId="17A0BE84" w14:textId="0CB996F0" w:rsidR="00B61F69" w:rsidRPr="00272D5C" w:rsidRDefault="00B61F69" w:rsidP="007F28CF">
      <w:pPr>
        <w:pStyle w:val="Normal1"/>
        <w:jc w:val="both"/>
        <w:rPr>
          <w:lang w:val="en-GB"/>
        </w:rPr>
      </w:pPr>
    </w:p>
    <w:p w14:paraId="5DAF5195" w14:textId="77777777" w:rsidR="00C10E5D" w:rsidRPr="00272D5C" w:rsidRDefault="00C10E5D" w:rsidP="007F28CF">
      <w:pPr>
        <w:pStyle w:val="Heading2"/>
        <w:jc w:val="both"/>
        <w:rPr>
          <w:lang w:val="en-GB"/>
        </w:rPr>
      </w:pPr>
      <w:bookmarkStart w:id="9" w:name="_Toc517617415"/>
      <w:r w:rsidRPr="00272D5C">
        <w:rPr>
          <w:lang w:val="en-GB"/>
        </w:rPr>
        <w:t>1.4. Objectives and Expected Results</w:t>
      </w:r>
      <w:bookmarkEnd w:id="9"/>
    </w:p>
    <w:p w14:paraId="409B7EE4" w14:textId="77777777" w:rsidR="00B61F69" w:rsidRPr="00272D5C" w:rsidRDefault="00B61F69" w:rsidP="007F28CF">
      <w:pPr>
        <w:jc w:val="both"/>
        <w:rPr>
          <w:lang w:val="en-GB"/>
        </w:rPr>
      </w:pPr>
    </w:p>
    <w:tbl>
      <w:tblPr>
        <w:tblW w:w="0" w:type="auto"/>
        <w:tblLook w:val="04A0" w:firstRow="1" w:lastRow="0" w:firstColumn="1" w:lastColumn="0" w:noHBand="0" w:noVBand="1"/>
      </w:tblPr>
      <w:tblGrid>
        <w:gridCol w:w="1630"/>
        <w:gridCol w:w="2109"/>
        <w:gridCol w:w="1494"/>
        <w:gridCol w:w="1504"/>
        <w:gridCol w:w="1462"/>
        <w:gridCol w:w="1024"/>
        <w:gridCol w:w="1588"/>
        <w:gridCol w:w="1460"/>
        <w:gridCol w:w="1733"/>
      </w:tblGrid>
      <w:tr w:rsidR="000729A8" w:rsidRPr="00272D5C" w14:paraId="02B078D4" w14:textId="77777777" w:rsidTr="00C35EAD">
        <w:trPr>
          <w:trHeight w:val="380"/>
        </w:trPr>
        <w:tc>
          <w:tcPr>
            <w:tcW w:w="1630" w:type="dxa"/>
            <w:vMerge w:val="restart"/>
            <w:shd w:val="clear" w:color="auto" w:fill="00B0F0"/>
            <w:vAlign w:val="center"/>
          </w:tcPr>
          <w:p w14:paraId="59958BEB" w14:textId="45CCA9B7" w:rsidR="000729A8" w:rsidRPr="00272D5C" w:rsidRDefault="000729A8" w:rsidP="00E73C81">
            <w:pPr>
              <w:spacing w:after="0" w:line="240" w:lineRule="auto"/>
              <w:jc w:val="center"/>
              <w:rPr>
                <w:rFonts w:ascii="Calibri" w:eastAsia="Times New Roman" w:hAnsi="Calibri" w:cs="Times New Roman"/>
                <w:b/>
                <w:bCs/>
                <w:color w:val="000000"/>
                <w:sz w:val="20"/>
                <w:szCs w:val="20"/>
                <w:lang w:val="en-GB"/>
              </w:rPr>
            </w:pPr>
            <w:r>
              <w:rPr>
                <w:rFonts w:ascii="Calibri" w:eastAsia="Times New Roman" w:hAnsi="Calibri" w:cs="Times New Roman"/>
                <w:b/>
                <w:bCs/>
                <w:color w:val="000000"/>
                <w:sz w:val="20"/>
                <w:szCs w:val="20"/>
                <w:lang w:val="en-GB"/>
              </w:rPr>
              <w:t>Impact</w:t>
            </w:r>
            <w:r>
              <w:rPr>
                <w:rStyle w:val="FootnoteReference"/>
                <w:rFonts w:ascii="Calibri" w:eastAsia="Times New Roman" w:hAnsi="Calibri" w:cs="Times New Roman"/>
                <w:b/>
                <w:bCs/>
                <w:color w:val="000000"/>
                <w:sz w:val="20"/>
                <w:szCs w:val="20"/>
                <w:lang w:val="en-GB"/>
              </w:rPr>
              <w:footnoteReference w:id="17"/>
            </w:r>
          </w:p>
        </w:tc>
        <w:tc>
          <w:tcPr>
            <w:tcW w:w="2109" w:type="dxa"/>
            <w:vMerge w:val="restart"/>
            <w:shd w:val="clear" w:color="auto" w:fill="00B0F0"/>
            <w:vAlign w:val="center"/>
          </w:tcPr>
          <w:p w14:paraId="6765F837" w14:textId="3F3118EA"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Expected outputs</w:t>
            </w:r>
          </w:p>
        </w:tc>
        <w:tc>
          <w:tcPr>
            <w:tcW w:w="1494" w:type="dxa"/>
            <w:vMerge w:val="restart"/>
            <w:shd w:val="clear" w:color="auto" w:fill="00B0F0"/>
            <w:vAlign w:val="center"/>
          </w:tcPr>
          <w:p w14:paraId="4DF041CD" w14:textId="7BAF0D3E"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Output indicators</w:t>
            </w:r>
          </w:p>
        </w:tc>
        <w:tc>
          <w:tcPr>
            <w:tcW w:w="1504" w:type="dxa"/>
            <w:vMerge w:val="restart"/>
            <w:shd w:val="clear" w:color="auto" w:fill="00B0F0"/>
            <w:vAlign w:val="center"/>
          </w:tcPr>
          <w:p w14:paraId="15193DED" w14:textId="7659E4B6"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Data source</w:t>
            </w:r>
          </w:p>
        </w:tc>
        <w:tc>
          <w:tcPr>
            <w:tcW w:w="2486" w:type="dxa"/>
            <w:gridSpan w:val="2"/>
            <w:shd w:val="clear" w:color="auto" w:fill="00B0F0"/>
            <w:vAlign w:val="center"/>
          </w:tcPr>
          <w:p w14:paraId="04696885" w14:textId="13AA8DC4"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Baseline</w:t>
            </w:r>
          </w:p>
        </w:tc>
        <w:tc>
          <w:tcPr>
            <w:tcW w:w="1588" w:type="dxa"/>
            <w:vMerge w:val="restart"/>
            <w:shd w:val="clear" w:color="auto" w:fill="00B0F0"/>
            <w:vAlign w:val="center"/>
          </w:tcPr>
          <w:p w14:paraId="5ADB6B5D" w14:textId="57EDF284"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Targets</w:t>
            </w:r>
          </w:p>
        </w:tc>
        <w:tc>
          <w:tcPr>
            <w:tcW w:w="1460" w:type="dxa"/>
            <w:vMerge w:val="restart"/>
            <w:shd w:val="clear" w:color="auto" w:fill="00B0F0"/>
            <w:vAlign w:val="center"/>
          </w:tcPr>
          <w:p w14:paraId="2EB2BFB4" w14:textId="14DE2DBF"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Data collection, methods &amp; risks</w:t>
            </w:r>
          </w:p>
        </w:tc>
        <w:tc>
          <w:tcPr>
            <w:tcW w:w="1733" w:type="dxa"/>
            <w:vMerge w:val="restart"/>
            <w:shd w:val="clear" w:color="auto" w:fill="00B0F0"/>
            <w:vAlign w:val="center"/>
          </w:tcPr>
          <w:p w14:paraId="1A712BF8" w14:textId="5D952F8C"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sidRPr="00272D5C">
              <w:rPr>
                <w:rFonts w:ascii="Calibri" w:eastAsia="Times New Roman" w:hAnsi="Calibri" w:cs="Times New Roman"/>
                <w:b/>
                <w:bCs/>
                <w:color w:val="000000"/>
                <w:sz w:val="20"/>
                <w:szCs w:val="20"/>
                <w:lang w:val="en-GB"/>
              </w:rPr>
              <w:t>Key assumptions</w:t>
            </w:r>
          </w:p>
        </w:tc>
      </w:tr>
      <w:tr w:rsidR="000729A8" w:rsidRPr="00272D5C" w14:paraId="73629A84" w14:textId="77777777" w:rsidTr="004A3A34">
        <w:tc>
          <w:tcPr>
            <w:tcW w:w="1630" w:type="dxa"/>
            <w:vMerge/>
            <w:tcBorders>
              <w:bottom w:val="single" w:sz="4" w:space="0" w:color="auto"/>
            </w:tcBorders>
          </w:tcPr>
          <w:p w14:paraId="12480BB7" w14:textId="77777777"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p>
        </w:tc>
        <w:tc>
          <w:tcPr>
            <w:tcW w:w="2109" w:type="dxa"/>
            <w:vMerge/>
            <w:tcBorders>
              <w:bottom w:val="single" w:sz="4" w:space="0" w:color="auto"/>
            </w:tcBorders>
            <w:vAlign w:val="center"/>
          </w:tcPr>
          <w:p w14:paraId="4718052D" w14:textId="59259814"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p>
        </w:tc>
        <w:tc>
          <w:tcPr>
            <w:tcW w:w="1494" w:type="dxa"/>
            <w:vMerge/>
            <w:tcBorders>
              <w:bottom w:val="single" w:sz="4" w:space="0" w:color="auto"/>
            </w:tcBorders>
            <w:vAlign w:val="center"/>
          </w:tcPr>
          <w:p w14:paraId="7F8B76F9" w14:textId="77777777" w:rsidR="000729A8" w:rsidRPr="00272D5C" w:rsidRDefault="000729A8" w:rsidP="002E2055">
            <w:pPr>
              <w:spacing w:after="0" w:line="240" w:lineRule="auto"/>
              <w:jc w:val="center"/>
              <w:rPr>
                <w:rFonts w:ascii="Calibri" w:eastAsia="Times New Roman" w:hAnsi="Calibri" w:cs="Times New Roman"/>
                <w:color w:val="000000"/>
                <w:sz w:val="20"/>
                <w:szCs w:val="20"/>
                <w:lang w:val="en-GB"/>
              </w:rPr>
            </w:pPr>
          </w:p>
        </w:tc>
        <w:tc>
          <w:tcPr>
            <w:tcW w:w="1504" w:type="dxa"/>
            <w:vMerge/>
            <w:tcBorders>
              <w:bottom w:val="single" w:sz="4" w:space="0" w:color="auto"/>
            </w:tcBorders>
            <w:vAlign w:val="center"/>
          </w:tcPr>
          <w:p w14:paraId="24602752" w14:textId="77777777" w:rsidR="000729A8" w:rsidRPr="00272D5C" w:rsidRDefault="000729A8" w:rsidP="002E2055">
            <w:pPr>
              <w:spacing w:after="0" w:line="240" w:lineRule="auto"/>
              <w:jc w:val="center"/>
              <w:rPr>
                <w:rFonts w:ascii="Calibri" w:eastAsia="Times New Roman" w:hAnsi="Calibri" w:cs="Times New Roman"/>
                <w:color w:val="000000"/>
                <w:sz w:val="20"/>
                <w:szCs w:val="20"/>
                <w:lang w:val="en-GB"/>
              </w:rPr>
            </w:pPr>
          </w:p>
        </w:tc>
        <w:tc>
          <w:tcPr>
            <w:tcW w:w="1462" w:type="dxa"/>
            <w:tcBorders>
              <w:bottom w:val="single" w:sz="4" w:space="0" w:color="auto"/>
            </w:tcBorders>
            <w:shd w:val="clear" w:color="auto" w:fill="00B0F0"/>
            <w:vAlign w:val="center"/>
          </w:tcPr>
          <w:p w14:paraId="17D127D1" w14:textId="2BF5E2DE" w:rsidR="000729A8" w:rsidRPr="00272D5C" w:rsidRDefault="000729A8" w:rsidP="002E2055">
            <w:pPr>
              <w:spacing w:after="0" w:line="240" w:lineRule="auto"/>
              <w:jc w:val="center"/>
              <w:rPr>
                <w:rFonts w:ascii="Calibri" w:eastAsia="Times New Roman" w:hAnsi="Calibri" w:cs="Times New Roman"/>
                <w:b/>
                <w:color w:val="000000"/>
                <w:sz w:val="20"/>
                <w:szCs w:val="20"/>
                <w:lang w:val="en-GB"/>
              </w:rPr>
            </w:pPr>
            <w:r w:rsidRPr="00272D5C">
              <w:rPr>
                <w:rFonts w:ascii="Calibri" w:eastAsia="Times New Roman" w:hAnsi="Calibri" w:cs="Times New Roman"/>
                <w:b/>
                <w:color w:val="000000"/>
                <w:sz w:val="20"/>
                <w:szCs w:val="20"/>
                <w:lang w:val="en-GB"/>
              </w:rPr>
              <w:t>Value</w:t>
            </w:r>
          </w:p>
        </w:tc>
        <w:tc>
          <w:tcPr>
            <w:tcW w:w="1024" w:type="dxa"/>
            <w:tcBorders>
              <w:bottom w:val="single" w:sz="4" w:space="0" w:color="auto"/>
            </w:tcBorders>
            <w:shd w:val="clear" w:color="auto" w:fill="00B0F0"/>
            <w:vAlign w:val="center"/>
          </w:tcPr>
          <w:p w14:paraId="4DF14B27" w14:textId="54F4CF7F" w:rsidR="000729A8" w:rsidRPr="00272D5C" w:rsidRDefault="000729A8" w:rsidP="002E2055">
            <w:pPr>
              <w:spacing w:after="0" w:line="240" w:lineRule="auto"/>
              <w:jc w:val="center"/>
              <w:rPr>
                <w:rFonts w:ascii="Calibri" w:eastAsia="Times New Roman" w:hAnsi="Calibri" w:cs="Times New Roman"/>
                <w:b/>
                <w:color w:val="000000"/>
                <w:sz w:val="20"/>
                <w:szCs w:val="20"/>
                <w:lang w:val="en-GB"/>
              </w:rPr>
            </w:pPr>
            <w:r w:rsidRPr="00272D5C">
              <w:rPr>
                <w:rFonts w:ascii="Calibri" w:eastAsia="Times New Roman" w:hAnsi="Calibri" w:cs="Times New Roman"/>
                <w:b/>
                <w:color w:val="000000"/>
                <w:sz w:val="20"/>
                <w:szCs w:val="20"/>
                <w:lang w:val="en-GB"/>
              </w:rPr>
              <w:t>Yr</w:t>
            </w:r>
          </w:p>
        </w:tc>
        <w:tc>
          <w:tcPr>
            <w:tcW w:w="1588" w:type="dxa"/>
            <w:vMerge/>
            <w:tcBorders>
              <w:bottom w:val="single" w:sz="4" w:space="0" w:color="auto"/>
            </w:tcBorders>
            <w:vAlign w:val="center"/>
          </w:tcPr>
          <w:p w14:paraId="3CDCE2EC" w14:textId="77777777" w:rsidR="000729A8" w:rsidRPr="00272D5C" w:rsidRDefault="000729A8" w:rsidP="002E2055">
            <w:pPr>
              <w:spacing w:after="0" w:line="240" w:lineRule="auto"/>
              <w:jc w:val="center"/>
              <w:rPr>
                <w:rFonts w:ascii="Calibri" w:eastAsia="Times New Roman" w:hAnsi="Calibri" w:cs="Times New Roman"/>
                <w:color w:val="000000"/>
                <w:sz w:val="20"/>
                <w:szCs w:val="20"/>
                <w:lang w:val="en-GB"/>
              </w:rPr>
            </w:pPr>
          </w:p>
        </w:tc>
        <w:tc>
          <w:tcPr>
            <w:tcW w:w="1460" w:type="dxa"/>
            <w:vMerge/>
            <w:tcBorders>
              <w:bottom w:val="single" w:sz="4" w:space="0" w:color="auto"/>
            </w:tcBorders>
            <w:vAlign w:val="center"/>
          </w:tcPr>
          <w:p w14:paraId="00FA43B7" w14:textId="77777777" w:rsidR="000729A8" w:rsidRPr="00272D5C" w:rsidRDefault="000729A8" w:rsidP="002E2055">
            <w:pPr>
              <w:spacing w:after="0" w:line="240" w:lineRule="auto"/>
              <w:jc w:val="center"/>
              <w:rPr>
                <w:rFonts w:ascii="Calibri" w:eastAsia="Times New Roman" w:hAnsi="Calibri" w:cs="Times New Roman"/>
                <w:color w:val="000000"/>
                <w:sz w:val="20"/>
                <w:szCs w:val="20"/>
                <w:lang w:val="en-GB"/>
              </w:rPr>
            </w:pPr>
          </w:p>
        </w:tc>
        <w:tc>
          <w:tcPr>
            <w:tcW w:w="1733" w:type="dxa"/>
            <w:vMerge/>
            <w:tcBorders>
              <w:bottom w:val="single" w:sz="4" w:space="0" w:color="auto"/>
            </w:tcBorders>
            <w:vAlign w:val="center"/>
          </w:tcPr>
          <w:p w14:paraId="1C047E01" w14:textId="77777777" w:rsidR="000729A8" w:rsidRPr="00272D5C" w:rsidRDefault="000729A8" w:rsidP="002E2055">
            <w:pPr>
              <w:spacing w:after="0" w:line="240" w:lineRule="auto"/>
              <w:jc w:val="center"/>
              <w:rPr>
                <w:rFonts w:ascii="Calibri" w:eastAsia="Times New Roman" w:hAnsi="Calibri" w:cs="Times New Roman"/>
                <w:color w:val="000000"/>
                <w:sz w:val="20"/>
                <w:szCs w:val="20"/>
                <w:lang w:val="en-GB"/>
              </w:rPr>
            </w:pPr>
          </w:p>
        </w:tc>
      </w:tr>
      <w:tr w:rsidR="000729A8" w:rsidRPr="00B9166A" w14:paraId="551B11FE" w14:textId="77777777" w:rsidTr="00C35EAD">
        <w:tc>
          <w:tcPr>
            <w:tcW w:w="1630" w:type="dxa"/>
            <w:tcBorders>
              <w:top w:val="single" w:sz="4" w:space="0" w:color="auto"/>
              <w:left w:val="single" w:sz="4" w:space="0" w:color="auto"/>
              <w:bottom w:val="single" w:sz="4" w:space="0" w:color="auto"/>
              <w:right w:val="single" w:sz="4" w:space="0" w:color="auto"/>
            </w:tcBorders>
            <w:vAlign w:val="center"/>
          </w:tcPr>
          <w:p w14:paraId="2B6221F2" w14:textId="5465F50D" w:rsidR="000729A8" w:rsidRDefault="000729A8" w:rsidP="00E73C81">
            <w:pPr>
              <w:spacing w:after="0" w:line="240" w:lineRule="auto"/>
              <w:jc w:val="center"/>
              <w:rPr>
                <w:rFonts w:ascii="Calibri" w:eastAsia="Calibri" w:hAnsi="Calibri" w:cs="Times New Roman"/>
                <w:b/>
                <w:bCs/>
                <w:color w:val="000000"/>
                <w:sz w:val="20"/>
                <w:szCs w:val="20"/>
                <w:lang w:val="en-GB"/>
              </w:rPr>
            </w:pPr>
            <w:r>
              <w:rPr>
                <w:rFonts w:ascii="Calibri" w:eastAsia="Calibri" w:hAnsi="Calibri" w:cs="Times New Roman"/>
                <w:b/>
                <w:bCs/>
                <w:color w:val="000000"/>
                <w:sz w:val="20"/>
                <w:szCs w:val="20"/>
                <w:lang w:val="en-GB"/>
              </w:rPr>
              <w:t>Reducing emissions from deforestation and forest deforestation</w:t>
            </w:r>
          </w:p>
        </w:tc>
        <w:tc>
          <w:tcPr>
            <w:tcW w:w="2109" w:type="dxa"/>
            <w:tcBorders>
              <w:top w:val="single" w:sz="4" w:space="0" w:color="auto"/>
              <w:left w:val="single" w:sz="4" w:space="0" w:color="auto"/>
              <w:bottom w:val="single" w:sz="4" w:space="0" w:color="auto"/>
              <w:right w:val="single" w:sz="4" w:space="0" w:color="auto"/>
            </w:tcBorders>
            <w:vAlign w:val="center"/>
          </w:tcPr>
          <w:p w14:paraId="28CEC176" w14:textId="70F613CA" w:rsidR="000729A8" w:rsidRPr="00272D5C" w:rsidRDefault="000729A8" w:rsidP="002E2055">
            <w:pPr>
              <w:spacing w:after="0" w:line="240" w:lineRule="auto"/>
              <w:jc w:val="center"/>
              <w:rPr>
                <w:rFonts w:ascii="Calibri" w:eastAsia="Times New Roman" w:hAnsi="Calibri" w:cs="Times New Roman"/>
                <w:b/>
                <w:bCs/>
                <w:color w:val="000000"/>
                <w:sz w:val="20"/>
                <w:szCs w:val="20"/>
                <w:lang w:val="en-GB"/>
              </w:rPr>
            </w:pPr>
            <w:r>
              <w:rPr>
                <w:rFonts w:ascii="Calibri" w:eastAsia="Calibri" w:hAnsi="Calibri" w:cs="Times New Roman"/>
                <w:b/>
                <w:bCs/>
                <w:color w:val="000000"/>
                <w:sz w:val="20"/>
                <w:szCs w:val="20"/>
                <w:lang w:val="en-GB"/>
              </w:rPr>
              <w:t xml:space="preserve">1. </w:t>
            </w:r>
            <w:r w:rsidRPr="00272D5C">
              <w:rPr>
                <w:rFonts w:ascii="Calibri" w:eastAsia="Calibri" w:hAnsi="Calibri" w:cs="Times New Roman"/>
                <w:b/>
                <w:bCs/>
                <w:color w:val="000000"/>
                <w:sz w:val="20"/>
                <w:szCs w:val="20"/>
                <w:lang w:val="en-GB"/>
              </w:rPr>
              <w:t xml:space="preserve">Approval of legal instruments for the </w:t>
            </w:r>
            <w:r>
              <w:rPr>
                <w:rFonts w:ascii="Calibri" w:eastAsia="Calibri" w:hAnsi="Calibri" w:cs="Times New Roman"/>
                <w:b/>
                <w:bCs/>
                <w:color w:val="000000"/>
                <w:sz w:val="20"/>
                <w:szCs w:val="20"/>
                <w:lang w:val="en-GB"/>
              </w:rPr>
              <w:t>State</w:t>
            </w:r>
            <w:r w:rsidRPr="00272D5C">
              <w:rPr>
                <w:rFonts w:ascii="Calibri" w:eastAsia="Calibri" w:hAnsi="Calibri" w:cs="Times New Roman"/>
                <w:b/>
                <w:bCs/>
                <w:color w:val="000000"/>
                <w:sz w:val="20"/>
                <w:szCs w:val="20"/>
                <w:lang w:val="en-GB"/>
              </w:rPr>
              <w:t xml:space="preserve"> REDD+ Plan and the benefit sharing mechanism under the LSA</w:t>
            </w:r>
          </w:p>
        </w:tc>
        <w:tc>
          <w:tcPr>
            <w:tcW w:w="1494" w:type="dxa"/>
            <w:tcBorders>
              <w:top w:val="single" w:sz="4" w:space="0" w:color="auto"/>
              <w:left w:val="single" w:sz="4" w:space="0" w:color="auto"/>
              <w:bottom w:val="single" w:sz="4" w:space="0" w:color="auto"/>
              <w:right w:val="single" w:sz="4" w:space="0" w:color="auto"/>
            </w:tcBorders>
            <w:vAlign w:val="center"/>
          </w:tcPr>
          <w:p w14:paraId="1EE0A5B5" w14:textId="2220ACE3"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a. </w:t>
            </w:r>
            <w:r w:rsidRPr="00272D5C">
              <w:rPr>
                <w:rFonts w:ascii="Calibri" w:eastAsia="Times New Roman" w:hAnsi="Calibri" w:cs="Times New Roman"/>
                <w:color w:val="000000"/>
                <w:sz w:val="16"/>
                <w:szCs w:val="16"/>
                <w:lang w:val="en-GB"/>
              </w:rPr>
              <w:t>Legal instruments (</w:t>
            </w:r>
            <w:r>
              <w:rPr>
                <w:rFonts w:ascii="Calibri" w:eastAsia="Times New Roman" w:hAnsi="Calibri" w:cs="Times New Roman"/>
                <w:color w:val="000000"/>
                <w:sz w:val="16"/>
                <w:szCs w:val="16"/>
                <w:lang w:val="en-GB"/>
              </w:rPr>
              <w:t>State</w:t>
            </w:r>
            <w:r w:rsidRPr="00272D5C">
              <w:rPr>
                <w:rFonts w:ascii="Calibri" w:eastAsia="Times New Roman" w:hAnsi="Calibri" w:cs="Times New Roman"/>
                <w:color w:val="000000"/>
                <w:sz w:val="16"/>
                <w:szCs w:val="16"/>
                <w:lang w:val="en-GB"/>
              </w:rPr>
              <w:t xml:space="preserve"> decree) approved</w:t>
            </w:r>
          </w:p>
          <w:p w14:paraId="2B41E26D" w14:textId="77777777"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p>
          <w:p w14:paraId="0234E024" w14:textId="377CA2D3"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b. </w:t>
            </w:r>
            <w:r w:rsidRPr="00272D5C">
              <w:rPr>
                <w:rFonts w:ascii="Calibri" w:eastAsia="Times New Roman" w:hAnsi="Calibri" w:cs="Times New Roman"/>
                <w:color w:val="000000"/>
                <w:sz w:val="16"/>
                <w:szCs w:val="16"/>
                <w:lang w:val="en-GB"/>
              </w:rPr>
              <w:t xml:space="preserve">Approval of the </w:t>
            </w:r>
            <w:r>
              <w:rPr>
                <w:rFonts w:ascii="Calibri" w:eastAsia="Times New Roman" w:hAnsi="Calibri" w:cs="Times New Roman"/>
                <w:color w:val="000000"/>
                <w:sz w:val="16"/>
                <w:szCs w:val="16"/>
                <w:lang w:val="en-GB"/>
              </w:rPr>
              <w:t>State</w:t>
            </w:r>
            <w:r w:rsidRPr="00272D5C">
              <w:rPr>
                <w:rFonts w:ascii="Calibri" w:eastAsia="Times New Roman" w:hAnsi="Calibri" w:cs="Times New Roman"/>
                <w:color w:val="000000"/>
                <w:sz w:val="16"/>
                <w:szCs w:val="16"/>
                <w:lang w:val="en-GB"/>
              </w:rPr>
              <w:t xml:space="preserve"> REDD+ Plan (including benefit-sharing mechanism)</w:t>
            </w:r>
          </w:p>
          <w:p w14:paraId="41876A78" w14:textId="77777777"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p>
        </w:tc>
        <w:tc>
          <w:tcPr>
            <w:tcW w:w="1504" w:type="dxa"/>
            <w:tcBorders>
              <w:top w:val="single" w:sz="4" w:space="0" w:color="auto"/>
              <w:left w:val="single" w:sz="4" w:space="0" w:color="auto"/>
              <w:bottom w:val="single" w:sz="4" w:space="0" w:color="auto"/>
              <w:right w:val="single" w:sz="4" w:space="0" w:color="auto"/>
            </w:tcBorders>
            <w:vAlign w:val="center"/>
          </w:tcPr>
          <w:p w14:paraId="030C4994" w14:textId="4B8EA2D2"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SEMA-AM</w:t>
            </w:r>
          </w:p>
        </w:tc>
        <w:tc>
          <w:tcPr>
            <w:tcW w:w="1462" w:type="dxa"/>
            <w:tcBorders>
              <w:top w:val="single" w:sz="4" w:space="0" w:color="auto"/>
              <w:left w:val="single" w:sz="4" w:space="0" w:color="auto"/>
              <w:bottom w:val="single" w:sz="4" w:space="0" w:color="auto"/>
              <w:right w:val="single" w:sz="4" w:space="0" w:color="auto"/>
            </w:tcBorders>
            <w:vAlign w:val="center"/>
          </w:tcPr>
          <w:p w14:paraId="096F5DEE" w14:textId="72BEC96A"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None regulation approved; N/A</w:t>
            </w:r>
          </w:p>
        </w:tc>
        <w:tc>
          <w:tcPr>
            <w:tcW w:w="1024" w:type="dxa"/>
            <w:tcBorders>
              <w:top w:val="single" w:sz="4" w:space="0" w:color="auto"/>
              <w:left w:val="single" w:sz="4" w:space="0" w:color="auto"/>
              <w:bottom w:val="single" w:sz="4" w:space="0" w:color="auto"/>
              <w:right w:val="single" w:sz="4" w:space="0" w:color="auto"/>
            </w:tcBorders>
            <w:vAlign w:val="center"/>
          </w:tcPr>
          <w:p w14:paraId="1073188E" w14:textId="77777777"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2017</w:t>
            </w:r>
          </w:p>
        </w:tc>
        <w:tc>
          <w:tcPr>
            <w:tcW w:w="1588" w:type="dxa"/>
            <w:tcBorders>
              <w:top w:val="single" w:sz="4" w:space="0" w:color="auto"/>
              <w:left w:val="single" w:sz="4" w:space="0" w:color="auto"/>
              <w:bottom w:val="single" w:sz="4" w:space="0" w:color="auto"/>
              <w:right w:val="single" w:sz="4" w:space="0" w:color="auto"/>
            </w:tcBorders>
            <w:vAlign w:val="center"/>
          </w:tcPr>
          <w:p w14:paraId="2A81C6AF" w14:textId="7EFB7FF3" w:rsidR="000729A8" w:rsidRPr="00272D5C" w:rsidRDefault="00C20DED"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A </w:t>
            </w:r>
            <w:r w:rsidR="000729A8" w:rsidRPr="00272D5C">
              <w:rPr>
                <w:rFonts w:ascii="Calibri" w:eastAsia="Times New Roman" w:hAnsi="Calibri" w:cs="Times New Roman"/>
                <w:color w:val="000000"/>
                <w:sz w:val="16"/>
                <w:szCs w:val="16"/>
                <w:lang w:val="en-GB"/>
              </w:rPr>
              <w:t>legal instrument</w:t>
            </w:r>
            <w:r>
              <w:rPr>
                <w:rFonts w:ascii="Calibri" w:eastAsia="Times New Roman" w:hAnsi="Calibri" w:cs="Times New Roman"/>
                <w:color w:val="000000"/>
                <w:sz w:val="16"/>
                <w:szCs w:val="16"/>
                <w:lang w:val="en-GB"/>
              </w:rPr>
              <w:t xml:space="preserve"> (“</w:t>
            </w:r>
            <w:r w:rsidR="000729A8">
              <w:rPr>
                <w:rFonts w:ascii="Calibri" w:eastAsia="Times New Roman" w:hAnsi="Calibri" w:cs="Times New Roman"/>
                <w:color w:val="000000"/>
                <w:sz w:val="16"/>
                <w:szCs w:val="16"/>
                <w:lang w:val="en-GB"/>
              </w:rPr>
              <w:t>State</w:t>
            </w:r>
            <w:r w:rsidR="000729A8" w:rsidRPr="00272D5C">
              <w:rPr>
                <w:rFonts w:ascii="Calibri" w:eastAsia="Times New Roman" w:hAnsi="Calibri" w:cs="Times New Roman"/>
                <w:color w:val="000000"/>
                <w:sz w:val="16"/>
                <w:szCs w:val="16"/>
                <w:lang w:val="en-GB"/>
              </w:rPr>
              <w:t xml:space="preserve"> REDD+ Plan</w:t>
            </w:r>
            <w:r>
              <w:rPr>
                <w:rFonts w:ascii="Calibri" w:eastAsia="Times New Roman" w:hAnsi="Calibri" w:cs="Times New Roman"/>
                <w:color w:val="000000"/>
                <w:sz w:val="16"/>
                <w:szCs w:val="16"/>
                <w:lang w:val="en-GB"/>
              </w:rPr>
              <w:t>”)</w:t>
            </w:r>
            <w:r w:rsidR="000729A8" w:rsidRPr="00272D5C">
              <w:rPr>
                <w:rFonts w:ascii="Calibri" w:eastAsia="Times New Roman" w:hAnsi="Calibri" w:cs="Times New Roman"/>
                <w:color w:val="000000"/>
                <w:sz w:val="16"/>
                <w:szCs w:val="16"/>
                <w:lang w:val="en-GB"/>
              </w:rPr>
              <w:t xml:space="preserve"> </w:t>
            </w:r>
            <w:r>
              <w:rPr>
                <w:rFonts w:ascii="Calibri" w:eastAsia="Times New Roman" w:hAnsi="Calibri" w:cs="Times New Roman"/>
                <w:color w:val="000000"/>
                <w:sz w:val="16"/>
                <w:szCs w:val="16"/>
                <w:lang w:val="en-GB"/>
              </w:rPr>
              <w:t xml:space="preserve">with its </w:t>
            </w:r>
            <w:r w:rsidR="000729A8" w:rsidRPr="00272D5C">
              <w:rPr>
                <w:rFonts w:ascii="Calibri" w:eastAsia="Times New Roman" w:hAnsi="Calibri" w:cs="Times New Roman"/>
                <w:color w:val="000000"/>
                <w:sz w:val="16"/>
                <w:szCs w:val="16"/>
                <w:lang w:val="en-GB"/>
              </w:rPr>
              <w:t>benefit sharing mechanism</w:t>
            </w:r>
            <w:r w:rsidR="000729A8">
              <w:rPr>
                <w:rFonts w:ascii="Calibri" w:eastAsia="Times New Roman" w:hAnsi="Calibri" w:cs="Times New Roman"/>
                <w:color w:val="000000"/>
                <w:sz w:val="16"/>
                <w:szCs w:val="16"/>
                <w:lang w:val="en-GB"/>
              </w:rPr>
              <w:t xml:space="preserve"> within 18 months</w:t>
            </w:r>
          </w:p>
        </w:tc>
        <w:tc>
          <w:tcPr>
            <w:tcW w:w="1460" w:type="dxa"/>
            <w:tcBorders>
              <w:top w:val="single" w:sz="4" w:space="0" w:color="auto"/>
              <w:left w:val="single" w:sz="4" w:space="0" w:color="auto"/>
              <w:bottom w:val="single" w:sz="4" w:space="0" w:color="auto"/>
              <w:right w:val="single" w:sz="4" w:space="0" w:color="auto"/>
            </w:tcBorders>
            <w:vAlign w:val="center"/>
          </w:tcPr>
          <w:p w14:paraId="4FB000A0" w14:textId="77777777"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- 2018 elections</w:t>
            </w:r>
          </w:p>
          <w:p w14:paraId="2E14E28A" w14:textId="77777777"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p>
          <w:p w14:paraId="72439335" w14:textId="459826A7" w:rsidR="000729A8" w:rsidRPr="00272D5C" w:rsidRDefault="000729A8" w:rsidP="00E20B0E">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xml:space="preserve">- </w:t>
            </w:r>
            <w:r>
              <w:rPr>
                <w:rFonts w:ascii="Calibri" w:eastAsia="Times New Roman" w:hAnsi="Calibri" w:cs="Times New Roman"/>
                <w:color w:val="000000"/>
                <w:sz w:val="16"/>
                <w:szCs w:val="16"/>
                <w:lang w:val="en-GB"/>
              </w:rPr>
              <w:t>Lose political momentum for approval due to lack of proper involvement of the House of Representatives</w:t>
            </w:r>
          </w:p>
        </w:tc>
        <w:tc>
          <w:tcPr>
            <w:tcW w:w="1733" w:type="dxa"/>
            <w:tcBorders>
              <w:top w:val="single" w:sz="4" w:space="0" w:color="auto"/>
              <w:left w:val="single" w:sz="4" w:space="0" w:color="auto"/>
              <w:bottom w:val="single" w:sz="4" w:space="0" w:color="auto"/>
              <w:right w:val="single" w:sz="4" w:space="0" w:color="auto"/>
            </w:tcBorders>
            <w:vAlign w:val="center"/>
          </w:tcPr>
          <w:p w14:paraId="2573589C" w14:textId="75A1BEC6" w:rsidR="000729A8" w:rsidRPr="00272D5C" w:rsidRDefault="000729A8" w:rsidP="00E20B0E">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xml:space="preserve">Legal instruments and </w:t>
            </w:r>
            <w:r>
              <w:rPr>
                <w:rFonts w:ascii="Calibri" w:eastAsia="Times New Roman" w:hAnsi="Calibri" w:cs="Times New Roman"/>
                <w:color w:val="000000"/>
                <w:sz w:val="16"/>
                <w:szCs w:val="16"/>
                <w:lang w:val="en-GB"/>
              </w:rPr>
              <w:t>State</w:t>
            </w:r>
            <w:r w:rsidRPr="00272D5C">
              <w:rPr>
                <w:rFonts w:ascii="Calibri" w:eastAsia="Times New Roman" w:hAnsi="Calibri" w:cs="Times New Roman"/>
                <w:color w:val="000000"/>
                <w:sz w:val="16"/>
                <w:szCs w:val="16"/>
                <w:lang w:val="en-GB"/>
              </w:rPr>
              <w:t xml:space="preserve"> REDD+ Plan (including benefit-sharing mechanism) </w:t>
            </w:r>
            <w:r>
              <w:rPr>
                <w:rFonts w:ascii="Calibri" w:eastAsia="Times New Roman" w:hAnsi="Calibri" w:cs="Times New Roman"/>
                <w:color w:val="000000"/>
                <w:sz w:val="16"/>
                <w:szCs w:val="16"/>
                <w:lang w:val="en-GB"/>
              </w:rPr>
              <w:t>fosters</w:t>
            </w:r>
            <w:r w:rsidRPr="00272D5C">
              <w:rPr>
                <w:rFonts w:ascii="Calibri" w:eastAsia="Times New Roman" w:hAnsi="Calibri" w:cs="Times New Roman"/>
                <w:color w:val="000000"/>
                <w:sz w:val="16"/>
                <w:szCs w:val="16"/>
                <w:lang w:val="en-GB"/>
              </w:rPr>
              <w:t xml:space="preserve"> investments for forest conservation</w:t>
            </w:r>
            <w:r>
              <w:rPr>
                <w:rFonts w:ascii="Calibri" w:eastAsia="Times New Roman" w:hAnsi="Calibri" w:cs="Times New Roman"/>
                <w:color w:val="000000"/>
                <w:sz w:val="16"/>
                <w:szCs w:val="16"/>
                <w:lang w:val="en-GB"/>
              </w:rPr>
              <w:t xml:space="preserve"> and REDD+</w:t>
            </w:r>
            <w:r w:rsidRPr="00272D5C">
              <w:rPr>
                <w:rFonts w:ascii="Calibri" w:eastAsia="Times New Roman" w:hAnsi="Calibri" w:cs="Times New Roman"/>
                <w:color w:val="000000"/>
                <w:sz w:val="16"/>
                <w:szCs w:val="16"/>
                <w:lang w:val="en-GB"/>
              </w:rPr>
              <w:t xml:space="preserve"> in Amazonas</w:t>
            </w:r>
          </w:p>
        </w:tc>
      </w:tr>
      <w:tr w:rsidR="00D05BF9" w:rsidRPr="00B9166A" w14:paraId="7A8B0DBE" w14:textId="77777777" w:rsidTr="00BE3A98">
        <w:tc>
          <w:tcPr>
            <w:tcW w:w="1630" w:type="dxa"/>
            <w:vMerge w:val="restart"/>
            <w:tcBorders>
              <w:top w:val="single" w:sz="4" w:space="0" w:color="auto"/>
              <w:left w:val="single" w:sz="4" w:space="0" w:color="auto"/>
              <w:right w:val="single" w:sz="4" w:space="0" w:color="auto"/>
            </w:tcBorders>
            <w:vAlign w:val="center"/>
          </w:tcPr>
          <w:p w14:paraId="67B2700B" w14:textId="6B941B1C" w:rsidR="00D05BF9" w:rsidRPr="00272D5C" w:rsidRDefault="00D05BF9" w:rsidP="00E73C81">
            <w:pPr>
              <w:spacing w:after="0" w:line="240" w:lineRule="auto"/>
              <w:jc w:val="center"/>
              <w:rPr>
                <w:rFonts w:ascii="Calibri" w:eastAsia="Calibri" w:hAnsi="Calibri" w:cs="Times New Roman"/>
                <w:b/>
                <w:bCs/>
                <w:color w:val="000000"/>
                <w:sz w:val="20"/>
                <w:szCs w:val="20"/>
                <w:lang w:val="en-GB"/>
              </w:rPr>
            </w:pPr>
            <w:r>
              <w:rPr>
                <w:rFonts w:ascii="Calibri" w:eastAsia="Calibri" w:hAnsi="Calibri" w:cs="Times New Roman"/>
                <w:b/>
                <w:bCs/>
                <w:color w:val="000000"/>
                <w:sz w:val="20"/>
                <w:szCs w:val="20"/>
                <w:lang w:val="en-GB"/>
              </w:rPr>
              <w:t>Reducing emissions from deforestation and forest deforestation</w:t>
            </w:r>
          </w:p>
        </w:tc>
        <w:tc>
          <w:tcPr>
            <w:tcW w:w="2109" w:type="dxa"/>
            <w:vMerge w:val="restart"/>
            <w:tcBorders>
              <w:top w:val="single" w:sz="4" w:space="0" w:color="auto"/>
              <w:left w:val="single" w:sz="4" w:space="0" w:color="auto"/>
              <w:right w:val="single" w:sz="4" w:space="0" w:color="auto"/>
            </w:tcBorders>
            <w:vAlign w:val="center"/>
          </w:tcPr>
          <w:p w14:paraId="0A8E1565" w14:textId="6F3980C6" w:rsidR="00D05BF9" w:rsidRPr="00272D5C" w:rsidRDefault="00D05BF9" w:rsidP="00E73C81">
            <w:pPr>
              <w:spacing w:after="0" w:line="240" w:lineRule="auto"/>
              <w:jc w:val="center"/>
              <w:rPr>
                <w:rFonts w:ascii="Calibri" w:eastAsia="Times New Roman" w:hAnsi="Calibri" w:cs="Calibri"/>
                <w:b/>
                <w:bCs/>
                <w:color w:val="000000"/>
                <w:sz w:val="18"/>
                <w:szCs w:val="18"/>
                <w:lang w:val="en-GB" w:eastAsia="pt-BR"/>
              </w:rPr>
            </w:pPr>
            <w:r w:rsidRPr="00272D5C">
              <w:rPr>
                <w:rFonts w:ascii="Calibri" w:eastAsia="Calibri" w:hAnsi="Calibri" w:cs="Times New Roman"/>
                <w:b/>
                <w:bCs/>
                <w:color w:val="000000"/>
                <w:sz w:val="20"/>
                <w:szCs w:val="20"/>
                <w:lang w:val="en-GB"/>
              </w:rPr>
              <w:t>2. Public consultations (</w:t>
            </w:r>
            <w:r w:rsidRPr="00B03DAF">
              <w:rPr>
                <w:rFonts w:ascii="Calibri" w:eastAsia="Calibri" w:hAnsi="Calibri" w:cs="Times New Roman"/>
                <w:b/>
                <w:bCs/>
                <w:color w:val="000000"/>
                <w:sz w:val="20"/>
                <w:szCs w:val="20"/>
                <w:lang w:val="en-GB"/>
              </w:rPr>
              <w:t>including local communities, indigenous groups insuring gender balance</w:t>
            </w:r>
            <w:r w:rsidRPr="00272D5C">
              <w:rPr>
                <w:rFonts w:ascii="Calibri" w:eastAsia="Calibri" w:hAnsi="Calibri" w:cs="Times New Roman"/>
                <w:b/>
                <w:bCs/>
                <w:color w:val="000000"/>
                <w:sz w:val="20"/>
                <w:szCs w:val="20"/>
                <w:lang w:val="en-GB"/>
              </w:rPr>
              <w:t>) and safeguards workshops</w:t>
            </w:r>
          </w:p>
        </w:tc>
        <w:tc>
          <w:tcPr>
            <w:tcW w:w="1494" w:type="dxa"/>
            <w:tcBorders>
              <w:top w:val="single" w:sz="4" w:space="0" w:color="auto"/>
              <w:left w:val="single" w:sz="4" w:space="0" w:color="auto"/>
              <w:bottom w:val="single" w:sz="4" w:space="0" w:color="auto"/>
              <w:right w:val="single" w:sz="4" w:space="0" w:color="auto"/>
            </w:tcBorders>
            <w:vAlign w:val="center"/>
          </w:tcPr>
          <w:p w14:paraId="07D7682F" w14:textId="0C0E26AA"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Establishment</w:t>
            </w:r>
            <w:r w:rsidRPr="00272D5C">
              <w:rPr>
                <w:rFonts w:ascii="Calibri" w:eastAsia="Times New Roman" w:hAnsi="Calibri" w:cs="Times New Roman"/>
                <w:color w:val="000000"/>
                <w:sz w:val="16"/>
                <w:szCs w:val="16"/>
                <w:lang w:val="en-GB"/>
              </w:rPr>
              <w:t xml:space="preserve"> of overall parameters and criteria for safeguards within Amazonas REDD+ System</w:t>
            </w:r>
          </w:p>
        </w:tc>
        <w:tc>
          <w:tcPr>
            <w:tcW w:w="1504" w:type="dxa"/>
            <w:tcBorders>
              <w:top w:val="single" w:sz="4" w:space="0" w:color="auto"/>
              <w:left w:val="single" w:sz="4" w:space="0" w:color="auto"/>
              <w:bottom w:val="single" w:sz="4" w:space="0" w:color="auto"/>
              <w:right w:val="single" w:sz="4" w:space="0" w:color="auto"/>
            </w:tcBorders>
            <w:vAlign w:val="center"/>
          </w:tcPr>
          <w:p w14:paraId="6DC49828" w14:textId="77997739"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SEMA-AM</w:t>
            </w:r>
          </w:p>
        </w:tc>
        <w:tc>
          <w:tcPr>
            <w:tcW w:w="1462" w:type="dxa"/>
            <w:tcBorders>
              <w:top w:val="single" w:sz="4" w:space="0" w:color="auto"/>
              <w:left w:val="single" w:sz="4" w:space="0" w:color="auto"/>
              <w:bottom w:val="single" w:sz="4" w:space="0" w:color="auto"/>
              <w:right w:val="single" w:sz="4" w:space="0" w:color="auto"/>
            </w:tcBorders>
            <w:vAlign w:val="center"/>
          </w:tcPr>
          <w:p w14:paraId="2A0E2281" w14:textId="02DC3487"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None regulation approved; N/A</w:t>
            </w:r>
          </w:p>
        </w:tc>
        <w:tc>
          <w:tcPr>
            <w:tcW w:w="1024" w:type="dxa"/>
            <w:tcBorders>
              <w:top w:val="single" w:sz="4" w:space="0" w:color="auto"/>
              <w:left w:val="single" w:sz="4" w:space="0" w:color="auto"/>
              <w:bottom w:val="single" w:sz="4" w:space="0" w:color="auto"/>
              <w:right w:val="single" w:sz="4" w:space="0" w:color="auto"/>
            </w:tcBorders>
            <w:vAlign w:val="center"/>
          </w:tcPr>
          <w:p w14:paraId="7B4E7EF5" w14:textId="0DF818F8"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2018</w:t>
            </w:r>
          </w:p>
        </w:tc>
        <w:tc>
          <w:tcPr>
            <w:tcW w:w="1588" w:type="dxa"/>
            <w:tcBorders>
              <w:top w:val="single" w:sz="4" w:space="0" w:color="auto"/>
              <w:left w:val="single" w:sz="4" w:space="0" w:color="auto"/>
              <w:bottom w:val="single" w:sz="4" w:space="0" w:color="auto"/>
              <w:right w:val="single" w:sz="4" w:space="0" w:color="auto"/>
            </w:tcBorders>
            <w:vAlign w:val="center"/>
          </w:tcPr>
          <w:p w14:paraId="0D6983E1" w14:textId="08BE9D3F" w:rsidR="00D05BF9" w:rsidRPr="00272D5C" w:rsidRDefault="00D05BF9"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Five reports from the</w:t>
            </w:r>
            <w:r w:rsidRPr="00272D5C">
              <w:rPr>
                <w:rFonts w:ascii="Calibri" w:eastAsia="Times New Roman" w:hAnsi="Calibri" w:cs="Times New Roman"/>
                <w:color w:val="000000"/>
                <w:sz w:val="16"/>
                <w:szCs w:val="16"/>
                <w:lang w:val="en-GB"/>
              </w:rPr>
              <w:t xml:space="preserve"> public consultations </w:t>
            </w:r>
            <w:r>
              <w:rPr>
                <w:rFonts w:ascii="Calibri" w:eastAsia="Times New Roman" w:hAnsi="Calibri" w:cs="Times New Roman"/>
                <w:color w:val="000000"/>
                <w:sz w:val="16"/>
                <w:szCs w:val="16"/>
                <w:lang w:val="en-GB"/>
              </w:rPr>
              <w:t>encompassing their outcomes and major demands, within 18 months</w:t>
            </w:r>
          </w:p>
        </w:tc>
        <w:tc>
          <w:tcPr>
            <w:tcW w:w="1460" w:type="dxa"/>
            <w:tcBorders>
              <w:top w:val="single" w:sz="4" w:space="0" w:color="auto"/>
              <w:left w:val="single" w:sz="4" w:space="0" w:color="auto"/>
              <w:bottom w:val="single" w:sz="4" w:space="0" w:color="auto"/>
              <w:right w:val="single" w:sz="4" w:space="0" w:color="auto"/>
            </w:tcBorders>
            <w:vAlign w:val="center"/>
          </w:tcPr>
          <w:p w14:paraId="23F5006B" w14:textId="0D360CB1" w:rsidR="00D05BF9" w:rsidRDefault="00D05BF9"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Challenges for reaching isolated communities</w:t>
            </w:r>
          </w:p>
          <w:p w14:paraId="54EB3281" w14:textId="77777777" w:rsidR="00D05BF9" w:rsidRDefault="00D05BF9" w:rsidP="002E2055">
            <w:pPr>
              <w:spacing w:after="0" w:line="240" w:lineRule="auto"/>
              <w:jc w:val="center"/>
              <w:rPr>
                <w:rFonts w:ascii="Calibri" w:eastAsia="Times New Roman" w:hAnsi="Calibri" w:cs="Times New Roman"/>
                <w:color w:val="000000"/>
                <w:sz w:val="16"/>
                <w:szCs w:val="16"/>
                <w:lang w:val="en-GB"/>
              </w:rPr>
            </w:pPr>
          </w:p>
          <w:p w14:paraId="6D9187C3" w14:textId="65144014"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Lack of involvement of policy-makers</w:t>
            </w:r>
          </w:p>
          <w:p w14:paraId="091DCCC3" w14:textId="77777777"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p>
          <w:p w14:paraId="5744F7AE" w14:textId="77777777"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p>
        </w:tc>
        <w:tc>
          <w:tcPr>
            <w:tcW w:w="1733" w:type="dxa"/>
            <w:tcBorders>
              <w:top w:val="single" w:sz="4" w:space="0" w:color="auto"/>
              <w:left w:val="single" w:sz="4" w:space="0" w:color="auto"/>
              <w:bottom w:val="single" w:sz="4" w:space="0" w:color="auto"/>
              <w:right w:val="single" w:sz="4" w:space="0" w:color="auto"/>
            </w:tcBorders>
            <w:vAlign w:val="center"/>
          </w:tcPr>
          <w:p w14:paraId="0BDEB9D0" w14:textId="5A9543F9"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xml:space="preserve">To establish the basic social parameters for implementing REDD+ within the </w:t>
            </w:r>
            <w:r>
              <w:rPr>
                <w:rFonts w:ascii="Calibri" w:eastAsia="Times New Roman" w:hAnsi="Calibri" w:cs="Times New Roman"/>
                <w:color w:val="000000"/>
                <w:sz w:val="16"/>
                <w:szCs w:val="16"/>
                <w:lang w:val="en-GB"/>
              </w:rPr>
              <w:t>State</w:t>
            </w:r>
          </w:p>
        </w:tc>
      </w:tr>
      <w:tr w:rsidR="00D05BF9" w:rsidRPr="00B9166A" w14:paraId="13AD56B5" w14:textId="77777777" w:rsidTr="00BE3A98">
        <w:tc>
          <w:tcPr>
            <w:tcW w:w="1630" w:type="dxa"/>
            <w:vMerge/>
            <w:tcBorders>
              <w:left w:val="single" w:sz="4" w:space="0" w:color="auto"/>
              <w:bottom w:val="single" w:sz="4" w:space="0" w:color="auto"/>
              <w:right w:val="single" w:sz="4" w:space="0" w:color="auto"/>
            </w:tcBorders>
            <w:vAlign w:val="center"/>
          </w:tcPr>
          <w:p w14:paraId="7E1D6FCF" w14:textId="77777777" w:rsidR="00D05BF9" w:rsidRDefault="00D05BF9" w:rsidP="000729A8">
            <w:pPr>
              <w:spacing w:after="0" w:line="240" w:lineRule="auto"/>
              <w:jc w:val="center"/>
              <w:rPr>
                <w:rFonts w:ascii="Calibri" w:eastAsia="Calibri" w:hAnsi="Calibri" w:cs="Times New Roman"/>
                <w:b/>
                <w:bCs/>
                <w:color w:val="000000"/>
                <w:sz w:val="20"/>
                <w:szCs w:val="20"/>
                <w:lang w:val="en-GB"/>
              </w:rPr>
            </w:pPr>
          </w:p>
        </w:tc>
        <w:tc>
          <w:tcPr>
            <w:tcW w:w="2109" w:type="dxa"/>
            <w:vMerge/>
            <w:tcBorders>
              <w:left w:val="single" w:sz="4" w:space="0" w:color="auto"/>
              <w:bottom w:val="single" w:sz="4" w:space="0" w:color="auto"/>
              <w:right w:val="single" w:sz="4" w:space="0" w:color="auto"/>
            </w:tcBorders>
            <w:vAlign w:val="center"/>
          </w:tcPr>
          <w:p w14:paraId="4A575242" w14:textId="77777777" w:rsidR="00D05BF9" w:rsidRPr="00272D5C" w:rsidRDefault="00D05BF9" w:rsidP="002E2055">
            <w:pPr>
              <w:spacing w:after="0" w:line="240" w:lineRule="auto"/>
              <w:jc w:val="center"/>
              <w:rPr>
                <w:rFonts w:ascii="Calibri" w:eastAsia="Calibri" w:hAnsi="Calibri" w:cs="Times New Roman"/>
                <w:b/>
                <w:bCs/>
                <w:color w:val="000000"/>
                <w:sz w:val="20"/>
                <w:szCs w:val="20"/>
                <w:lang w:val="en-GB"/>
              </w:rPr>
            </w:pPr>
          </w:p>
        </w:tc>
        <w:tc>
          <w:tcPr>
            <w:tcW w:w="1494" w:type="dxa"/>
            <w:tcBorders>
              <w:top w:val="single" w:sz="4" w:space="0" w:color="auto"/>
              <w:left w:val="single" w:sz="4" w:space="0" w:color="auto"/>
              <w:bottom w:val="single" w:sz="4" w:space="0" w:color="auto"/>
              <w:right w:val="single" w:sz="4" w:space="0" w:color="auto"/>
            </w:tcBorders>
            <w:vAlign w:val="center"/>
          </w:tcPr>
          <w:p w14:paraId="12FB83C6" w14:textId="54C8F91F" w:rsidR="00D05BF9" w:rsidRPr="00272D5C" w:rsidDel="00D05BF9" w:rsidRDefault="00D05BF9"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Participation of women in public consultations</w:t>
            </w:r>
          </w:p>
        </w:tc>
        <w:tc>
          <w:tcPr>
            <w:tcW w:w="1504" w:type="dxa"/>
            <w:tcBorders>
              <w:top w:val="single" w:sz="4" w:space="0" w:color="auto"/>
              <w:left w:val="single" w:sz="4" w:space="0" w:color="auto"/>
              <w:bottom w:val="single" w:sz="4" w:space="0" w:color="auto"/>
              <w:right w:val="single" w:sz="4" w:space="0" w:color="auto"/>
            </w:tcBorders>
            <w:vAlign w:val="center"/>
          </w:tcPr>
          <w:p w14:paraId="55FAF595" w14:textId="0A42D030"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SEMA-AM</w:t>
            </w:r>
          </w:p>
        </w:tc>
        <w:tc>
          <w:tcPr>
            <w:tcW w:w="1462" w:type="dxa"/>
            <w:tcBorders>
              <w:top w:val="single" w:sz="4" w:space="0" w:color="auto"/>
              <w:left w:val="single" w:sz="4" w:space="0" w:color="auto"/>
              <w:bottom w:val="single" w:sz="4" w:space="0" w:color="auto"/>
              <w:right w:val="single" w:sz="4" w:space="0" w:color="auto"/>
            </w:tcBorders>
            <w:vAlign w:val="center"/>
          </w:tcPr>
          <w:p w14:paraId="17AC26E1" w14:textId="0C35F84E" w:rsidR="00D05BF9"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NA</w:t>
            </w:r>
          </w:p>
        </w:tc>
        <w:tc>
          <w:tcPr>
            <w:tcW w:w="1024" w:type="dxa"/>
            <w:tcBorders>
              <w:top w:val="single" w:sz="4" w:space="0" w:color="auto"/>
              <w:left w:val="single" w:sz="4" w:space="0" w:color="auto"/>
              <w:bottom w:val="single" w:sz="4" w:space="0" w:color="auto"/>
              <w:right w:val="single" w:sz="4" w:space="0" w:color="auto"/>
            </w:tcBorders>
            <w:vAlign w:val="center"/>
          </w:tcPr>
          <w:p w14:paraId="425C3FBC" w14:textId="0B62D926" w:rsidR="00D05BF9"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2018</w:t>
            </w:r>
          </w:p>
        </w:tc>
        <w:tc>
          <w:tcPr>
            <w:tcW w:w="1588" w:type="dxa"/>
            <w:tcBorders>
              <w:top w:val="single" w:sz="4" w:space="0" w:color="auto"/>
              <w:left w:val="single" w:sz="4" w:space="0" w:color="auto"/>
              <w:bottom w:val="single" w:sz="4" w:space="0" w:color="auto"/>
              <w:right w:val="single" w:sz="4" w:space="0" w:color="auto"/>
            </w:tcBorders>
            <w:vAlign w:val="center"/>
          </w:tcPr>
          <w:p w14:paraId="6805D966" w14:textId="468D50E4" w:rsidR="00D05BF9" w:rsidRDefault="00D05BF9" w:rsidP="00C20DED">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30% of women in public consultations</w:t>
            </w:r>
          </w:p>
        </w:tc>
        <w:tc>
          <w:tcPr>
            <w:tcW w:w="1460" w:type="dxa"/>
            <w:tcBorders>
              <w:top w:val="single" w:sz="4" w:space="0" w:color="auto"/>
              <w:left w:val="single" w:sz="4" w:space="0" w:color="auto"/>
              <w:bottom w:val="single" w:sz="4" w:space="0" w:color="auto"/>
              <w:right w:val="single" w:sz="4" w:space="0" w:color="auto"/>
            </w:tcBorders>
            <w:vAlign w:val="center"/>
          </w:tcPr>
          <w:p w14:paraId="24744E7D" w14:textId="77777777" w:rsidR="00D05BF9"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Lack of women involvement due to cultural/social issues</w:t>
            </w:r>
          </w:p>
          <w:p w14:paraId="2D920131" w14:textId="77777777" w:rsidR="00D05BF9" w:rsidRDefault="00D05BF9" w:rsidP="002E2055">
            <w:pPr>
              <w:spacing w:after="0" w:line="240" w:lineRule="auto"/>
              <w:jc w:val="center"/>
              <w:rPr>
                <w:rFonts w:ascii="Calibri" w:eastAsia="Times New Roman" w:hAnsi="Calibri" w:cs="Times New Roman"/>
                <w:color w:val="000000"/>
                <w:sz w:val="16"/>
                <w:szCs w:val="16"/>
                <w:lang w:val="en-GB"/>
              </w:rPr>
            </w:pPr>
          </w:p>
          <w:p w14:paraId="4372108C" w14:textId="75769DB1" w:rsidR="00D05BF9" w:rsidRPr="00272D5C" w:rsidRDefault="00D05BF9"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Insufficient efforts to proper engage women leaders</w:t>
            </w:r>
          </w:p>
        </w:tc>
        <w:tc>
          <w:tcPr>
            <w:tcW w:w="1733" w:type="dxa"/>
            <w:tcBorders>
              <w:top w:val="single" w:sz="4" w:space="0" w:color="auto"/>
              <w:left w:val="single" w:sz="4" w:space="0" w:color="auto"/>
              <w:bottom w:val="single" w:sz="4" w:space="0" w:color="auto"/>
              <w:right w:val="single" w:sz="4" w:space="0" w:color="auto"/>
            </w:tcBorders>
            <w:vAlign w:val="center"/>
          </w:tcPr>
          <w:p w14:paraId="09F19352" w14:textId="73225A44" w:rsidR="00D05BF9" w:rsidRPr="00272D5C" w:rsidRDefault="00D05BF9"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FAS has emphasising women participation in its activities – the average participation is 34% within community meetings</w:t>
            </w:r>
          </w:p>
        </w:tc>
      </w:tr>
      <w:tr w:rsidR="000729A8" w:rsidRPr="00B9166A" w14:paraId="07DB4F79" w14:textId="77777777" w:rsidTr="00C35EAD">
        <w:tc>
          <w:tcPr>
            <w:tcW w:w="1630" w:type="dxa"/>
            <w:tcBorders>
              <w:top w:val="single" w:sz="4" w:space="0" w:color="auto"/>
              <w:left w:val="single" w:sz="4" w:space="0" w:color="auto"/>
              <w:bottom w:val="single" w:sz="4" w:space="0" w:color="auto"/>
              <w:right w:val="single" w:sz="4" w:space="0" w:color="auto"/>
            </w:tcBorders>
            <w:vAlign w:val="center"/>
          </w:tcPr>
          <w:p w14:paraId="4F3FE8F7" w14:textId="5A281301" w:rsidR="000729A8" w:rsidRPr="00272D5C" w:rsidRDefault="000729A8" w:rsidP="00E73C81">
            <w:pPr>
              <w:spacing w:after="0" w:line="240" w:lineRule="auto"/>
              <w:jc w:val="center"/>
              <w:rPr>
                <w:rFonts w:ascii="Calibri" w:eastAsia="Times New Roman" w:hAnsi="Calibri" w:cs="Calibri"/>
                <w:b/>
                <w:bCs/>
                <w:color w:val="000000"/>
                <w:sz w:val="20"/>
                <w:szCs w:val="20"/>
                <w:lang w:val="en-GB"/>
              </w:rPr>
            </w:pPr>
            <w:r>
              <w:rPr>
                <w:rFonts w:ascii="Calibri" w:eastAsia="Calibri" w:hAnsi="Calibri" w:cs="Times New Roman"/>
                <w:b/>
                <w:bCs/>
                <w:color w:val="000000"/>
                <w:sz w:val="20"/>
                <w:szCs w:val="20"/>
                <w:lang w:val="en-GB"/>
              </w:rPr>
              <w:lastRenderedPageBreak/>
              <w:t>Reducing emissions from deforestation and forest deforestation</w:t>
            </w:r>
          </w:p>
        </w:tc>
        <w:tc>
          <w:tcPr>
            <w:tcW w:w="2109" w:type="dxa"/>
            <w:tcBorders>
              <w:top w:val="single" w:sz="4" w:space="0" w:color="auto"/>
              <w:left w:val="single" w:sz="4" w:space="0" w:color="auto"/>
              <w:bottom w:val="single" w:sz="4" w:space="0" w:color="auto"/>
              <w:right w:val="single" w:sz="4" w:space="0" w:color="auto"/>
            </w:tcBorders>
            <w:vAlign w:val="center"/>
          </w:tcPr>
          <w:p w14:paraId="439B202B" w14:textId="438137A1" w:rsidR="000729A8" w:rsidRPr="006F1649" w:rsidRDefault="000729A8" w:rsidP="006F1649">
            <w:pPr>
              <w:spacing w:after="0" w:line="240" w:lineRule="auto"/>
              <w:jc w:val="center"/>
              <w:rPr>
                <w:rFonts w:ascii="Calibri" w:eastAsia="Times New Roman" w:hAnsi="Calibri" w:cs="Calibri"/>
                <w:b/>
                <w:bCs/>
                <w:color w:val="000000"/>
                <w:sz w:val="20"/>
                <w:szCs w:val="20"/>
                <w:lang w:val="en-GB"/>
              </w:rPr>
            </w:pPr>
            <w:r w:rsidRPr="00272D5C">
              <w:rPr>
                <w:rFonts w:ascii="Calibri" w:eastAsia="Times New Roman" w:hAnsi="Calibri" w:cs="Calibri"/>
                <w:b/>
                <w:bCs/>
                <w:color w:val="000000"/>
                <w:sz w:val="20"/>
                <w:szCs w:val="20"/>
                <w:lang w:val="en-GB"/>
              </w:rPr>
              <w:t>3. Technical design for REDD+ (baseline, MRV procedures, nesting with national accounting and registr</w:t>
            </w:r>
            <w:r>
              <w:rPr>
                <w:rFonts w:ascii="Calibri" w:eastAsia="Times New Roman" w:hAnsi="Calibri" w:cs="Calibri"/>
                <w:b/>
                <w:bCs/>
                <w:color w:val="000000"/>
                <w:sz w:val="20"/>
                <w:szCs w:val="20"/>
                <w:lang w:val="en-GB"/>
              </w:rPr>
              <w:t>y)</w:t>
            </w:r>
          </w:p>
        </w:tc>
        <w:tc>
          <w:tcPr>
            <w:tcW w:w="1494" w:type="dxa"/>
            <w:tcBorders>
              <w:top w:val="single" w:sz="4" w:space="0" w:color="auto"/>
              <w:left w:val="single" w:sz="4" w:space="0" w:color="auto"/>
              <w:bottom w:val="single" w:sz="4" w:space="0" w:color="auto"/>
              <w:right w:val="single" w:sz="4" w:space="0" w:color="auto"/>
            </w:tcBorders>
            <w:vAlign w:val="center"/>
          </w:tcPr>
          <w:p w14:paraId="312DEC10" w14:textId="2B5D9A8C"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State</w:t>
            </w:r>
            <w:r w:rsidRPr="00272D5C">
              <w:rPr>
                <w:rFonts w:ascii="Calibri" w:eastAsia="Times New Roman" w:hAnsi="Calibri" w:cs="Times New Roman"/>
                <w:color w:val="000000"/>
                <w:sz w:val="16"/>
                <w:szCs w:val="16"/>
                <w:lang w:val="en-GB"/>
              </w:rPr>
              <w:t xml:space="preserve"> REDD+ System approved</w:t>
            </w:r>
          </w:p>
        </w:tc>
        <w:tc>
          <w:tcPr>
            <w:tcW w:w="1504" w:type="dxa"/>
            <w:tcBorders>
              <w:top w:val="single" w:sz="4" w:space="0" w:color="auto"/>
              <w:left w:val="single" w:sz="4" w:space="0" w:color="auto"/>
              <w:bottom w:val="single" w:sz="4" w:space="0" w:color="auto"/>
              <w:right w:val="single" w:sz="4" w:space="0" w:color="auto"/>
            </w:tcBorders>
            <w:vAlign w:val="center"/>
          </w:tcPr>
          <w:p w14:paraId="49C5DE81" w14:textId="2170D20D"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SEMA-AM</w:t>
            </w:r>
          </w:p>
        </w:tc>
        <w:tc>
          <w:tcPr>
            <w:tcW w:w="1462" w:type="dxa"/>
            <w:tcBorders>
              <w:top w:val="single" w:sz="4" w:space="0" w:color="auto"/>
              <w:left w:val="single" w:sz="4" w:space="0" w:color="auto"/>
              <w:bottom w:val="single" w:sz="4" w:space="0" w:color="auto"/>
              <w:right w:val="single" w:sz="4" w:space="0" w:color="auto"/>
            </w:tcBorders>
            <w:vAlign w:val="center"/>
          </w:tcPr>
          <w:p w14:paraId="46F5D9A6" w14:textId="5795BA8F" w:rsidR="000729A8" w:rsidRPr="00272D5C" w:rsidRDefault="000729A8" w:rsidP="00C1566A">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FAS and Idesam designed a draft version in 2013 that would assessed and updated</w:t>
            </w:r>
          </w:p>
        </w:tc>
        <w:tc>
          <w:tcPr>
            <w:tcW w:w="1024" w:type="dxa"/>
            <w:tcBorders>
              <w:top w:val="single" w:sz="4" w:space="0" w:color="auto"/>
              <w:left w:val="single" w:sz="4" w:space="0" w:color="auto"/>
              <w:bottom w:val="single" w:sz="4" w:space="0" w:color="auto"/>
              <w:right w:val="single" w:sz="4" w:space="0" w:color="auto"/>
            </w:tcBorders>
            <w:vAlign w:val="center"/>
          </w:tcPr>
          <w:p w14:paraId="60AB8686" w14:textId="15BF1408"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2013</w:t>
            </w:r>
          </w:p>
        </w:tc>
        <w:tc>
          <w:tcPr>
            <w:tcW w:w="1588" w:type="dxa"/>
            <w:tcBorders>
              <w:top w:val="single" w:sz="4" w:space="0" w:color="auto"/>
              <w:left w:val="single" w:sz="4" w:space="0" w:color="auto"/>
              <w:bottom w:val="single" w:sz="4" w:space="0" w:color="auto"/>
              <w:right w:val="single" w:sz="4" w:space="0" w:color="auto"/>
            </w:tcBorders>
            <w:vAlign w:val="center"/>
          </w:tcPr>
          <w:p w14:paraId="2F54BEFD" w14:textId="48697B44" w:rsidR="000729A8" w:rsidRPr="00272D5C" w:rsidRDefault="008D751E"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A t</w:t>
            </w:r>
            <w:r w:rsidR="00C20DED">
              <w:rPr>
                <w:rFonts w:ascii="Calibri" w:eastAsia="Times New Roman" w:hAnsi="Calibri" w:cs="Times New Roman"/>
                <w:color w:val="000000"/>
                <w:sz w:val="16"/>
                <w:szCs w:val="16"/>
                <w:lang w:val="en-GB"/>
              </w:rPr>
              <w:t>echnical report</w:t>
            </w:r>
            <w:r>
              <w:rPr>
                <w:rFonts w:ascii="Calibri" w:eastAsia="Times New Roman" w:hAnsi="Calibri" w:cs="Times New Roman"/>
                <w:color w:val="000000"/>
                <w:sz w:val="16"/>
                <w:szCs w:val="16"/>
                <w:lang w:val="en-GB"/>
              </w:rPr>
              <w:t xml:space="preserve"> including baseline, MRV and nesting approach to support the State REDD+ Plan, within 18 months</w:t>
            </w:r>
          </w:p>
        </w:tc>
        <w:tc>
          <w:tcPr>
            <w:tcW w:w="1460" w:type="dxa"/>
            <w:tcBorders>
              <w:top w:val="single" w:sz="4" w:space="0" w:color="auto"/>
              <w:left w:val="single" w:sz="4" w:space="0" w:color="auto"/>
              <w:bottom w:val="single" w:sz="4" w:space="0" w:color="auto"/>
              <w:right w:val="single" w:sz="4" w:space="0" w:color="auto"/>
            </w:tcBorders>
            <w:vAlign w:val="center"/>
          </w:tcPr>
          <w:p w14:paraId="612FB07F" w14:textId="27A15206" w:rsidR="000729A8" w:rsidRPr="00272D5C" w:rsidRDefault="000729A8" w:rsidP="0010400A">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w:t>
            </w:r>
            <w:r>
              <w:rPr>
                <w:rFonts w:ascii="Calibri" w:eastAsia="Times New Roman" w:hAnsi="Calibri" w:cs="Times New Roman"/>
                <w:color w:val="000000"/>
                <w:sz w:val="16"/>
                <w:szCs w:val="16"/>
                <w:lang w:val="en-GB"/>
              </w:rPr>
              <w:t xml:space="preserve"> Misalignment with the federal government on allocation and financing </w:t>
            </w:r>
          </w:p>
        </w:tc>
        <w:tc>
          <w:tcPr>
            <w:tcW w:w="1733" w:type="dxa"/>
            <w:tcBorders>
              <w:top w:val="single" w:sz="4" w:space="0" w:color="auto"/>
              <w:left w:val="single" w:sz="4" w:space="0" w:color="auto"/>
              <w:bottom w:val="single" w:sz="4" w:space="0" w:color="auto"/>
              <w:right w:val="single" w:sz="4" w:space="0" w:color="auto"/>
            </w:tcBorders>
            <w:vAlign w:val="center"/>
          </w:tcPr>
          <w:p w14:paraId="7D92E800" w14:textId="40FEC6B3"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xml:space="preserve">To establish basic technical parameters for implementing REDD+ within the </w:t>
            </w:r>
            <w:r>
              <w:rPr>
                <w:rFonts w:ascii="Calibri" w:eastAsia="Times New Roman" w:hAnsi="Calibri" w:cs="Times New Roman"/>
                <w:color w:val="000000"/>
                <w:sz w:val="16"/>
                <w:szCs w:val="16"/>
                <w:lang w:val="en-GB"/>
              </w:rPr>
              <w:t>State</w:t>
            </w:r>
          </w:p>
        </w:tc>
      </w:tr>
      <w:tr w:rsidR="000729A8" w:rsidRPr="00B9166A" w14:paraId="1B2FDF35" w14:textId="77777777" w:rsidTr="00C35EAD">
        <w:trPr>
          <w:trHeight w:val="619"/>
        </w:trPr>
        <w:tc>
          <w:tcPr>
            <w:tcW w:w="1630" w:type="dxa"/>
            <w:tcBorders>
              <w:top w:val="single" w:sz="4" w:space="0" w:color="auto"/>
              <w:left w:val="single" w:sz="4" w:space="0" w:color="auto"/>
              <w:bottom w:val="single" w:sz="4" w:space="0" w:color="auto"/>
              <w:right w:val="single" w:sz="4" w:space="0" w:color="auto"/>
            </w:tcBorders>
            <w:vAlign w:val="center"/>
          </w:tcPr>
          <w:p w14:paraId="6174EFDE" w14:textId="7A761982" w:rsidR="000729A8" w:rsidRPr="00272D5C" w:rsidRDefault="000729A8" w:rsidP="00E73C81">
            <w:pPr>
              <w:spacing w:after="0" w:line="240" w:lineRule="auto"/>
              <w:jc w:val="center"/>
              <w:rPr>
                <w:rFonts w:ascii="Calibri" w:eastAsia="Calibri" w:hAnsi="Calibri" w:cs="Times New Roman"/>
                <w:b/>
                <w:bCs/>
                <w:color w:val="000000"/>
                <w:sz w:val="20"/>
                <w:szCs w:val="20"/>
                <w:lang w:val="en-GB"/>
              </w:rPr>
            </w:pPr>
            <w:r>
              <w:rPr>
                <w:rFonts w:ascii="Calibri" w:eastAsia="Calibri" w:hAnsi="Calibri" w:cs="Times New Roman"/>
                <w:b/>
                <w:bCs/>
                <w:color w:val="000000"/>
                <w:sz w:val="20"/>
                <w:szCs w:val="20"/>
                <w:lang w:val="en-GB"/>
              </w:rPr>
              <w:t>Foster sustainable development in a forest-based economy in Amazonas</w:t>
            </w:r>
          </w:p>
        </w:tc>
        <w:tc>
          <w:tcPr>
            <w:tcW w:w="2109" w:type="dxa"/>
            <w:tcBorders>
              <w:top w:val="single" w:sz="4" w:space="0" w:color="auto"/>
              <w:left w:val="single" w:sz="4" w:space="0" w:color="auto"/>
              <w:bottom w:val="single" w:sz="4" w:space="0" w:color="auto"/>
              <w:right w:val="single" w:sz="4" w:space="0" w:color="auto"/>
            </w:tcBorders>
            <w:vAlign w:val="center"/>
          </w:tcPr>
          <w:p w14:paraId="03849806" w14:textId="61D91E86" w:rsidR="000729A8" w:rsidRPr="00272D5C" w:rsidRDefault="000729A8" w:rsidP="002E2055">
            <w:pPr>
              <w:spacing w:after="0" w:line="240" w:lineRule="auto"/>
              <w:jc w:val="center"/>
              <w:rPr>
                <w:rFonts w:ascii="Calibri" w:eastAsia="Calibri" w:hAnsi="Calibri" w:cs="Times New Roman"/>
                <w:b/>
                <w:bCs/>
                <w:color w:val="000000"/>
                <w:sz w:val="20"/>
                <w:szCs w:val="20"/>
                <w:lang w:val="en-GB"/>
              </w:rPr>
            </w:pPr>
            <w:r w:rsidRPr="00272D5C">
              <w:rPr>
                <w:rFonts w:ascii="Calibri" w:eastAsia="Calibri" w:hAnsi="Calibri" w:cs="Times New Roman"/>
                <w:b/>
                <w:bCs/>
                <w:color w:val="000000"/>
                <w:sz w:val="20"/>
                <w:szCs w:val="20"/>
                <w:lang w:val="en-GB"/>
              </w:rPr>
              <w:t xml:space="preserve">4. Technical and financial approaches to pilot sustainable productive systems </w:t>
            </w:r>
            <w:r>
              <w:rPr>
                <w:rFonts w:ascii="Calibri" w:eastAsia="Calibri" w:hAnsi="Calibri" w:cs="Times New Roman"/>
                <w:b/>
                <w:bCs/>
                <w:color w:val="000000"/>
                <w:sz w:val="20"/>
                <w:szCs w:val="20"/>
                <w:lang w:val="en-GB"/>
              </w:rPr>
              <w:t xml:space="preserve">(or investment plans) </w:t>
            </w:r>
            <w:r w:rsidRPr="00272D5C">
              <w:rPr>
                <w:rFonts w:ascii="Calibri" w:eastAsia="Calibri" w:hAnsi="Calibri" w:cs="Times New Roman"/>
                <w:b/>
                <w:bCs/>
                <w:color w:val="000000"/>
                <w:sz w:val="20"/>
                <w:szCs w:val="20"/>
                <w:lang w:val="en-GB"/>
              </w:rPr>
              <w:t>at Apuí and RDS Juma</w:t>
            </w:r>
          </w:p>
        </w:tc>
        <w:tc>
          <w:tcPr>
            <w:tcW w:w="1494" w:type="dxa"/>
            <w:tcBorders>
              <w:top w:val="single" w:sz="4" w:space="0" w:color="auto"/>
              <w:left w:val="single" w:sz="4" w:space="0" w:color="auto"/>
              <w:bottom w:val="single" w:sz="4" w:space="0" w:color="auto"/>
              <w:right w:val="single" w:sz="4" w:space="0" w:color="auto"/>
            </w:tcBorders>
            <w:vAlign w:val="center"/>
          </w:tcPr>
          <w:p w14:paraId="10C8C119" w14:textId="202C8854" w:rsidR="000729A8" w:rsidRPr="00272D5C" w:rsidRDefault="000729A8" w:rsidP="009636FA">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 xml:space="preserve">To develop and present </w:t>
            </w:r>
            <w:r w:rsidR="00BE3A98">
              <w:rPr>
                <w:rFonts w:ascii="Calibri" w:eastAsia="Times New Roman" w:hAnsi="Calibri" w:cs="Times New Roman"/>
                <w:color w:val="000000"/>
                <w:sz w:val="16"/>
                <w:szCs w:val="16"/>
                <w:lang w:val="en-GB"/>
              </w:rPr>
              <w:t xml:space="preserve">ongoing </w:t>
            </w:r>
            <w:r w:rsidRPr="00272D5C">
              <w:rPr>
                <w:rFonts w:ascii="Calibri" w:eastAsia="Times New Roman" w:hAnsi="Calibri" w:cs="Times New Roman"/>
                <w:color w:val="000000"/>
                <w:sz w:val="16"/>
                <w:szCs w:val="16"/>
                <w:lang w:val="en-GB"/>
              </w:rPr>
              <w:t>local arrangements (as business plans, loans systems for local produc</w:t>
            </w:r>
            <w:r>
              <w:rPr>
                <w:rFonts w:ascii="Calibri" w:eastAsia="Times New Roman" w:hAnsi="Calibri" w:cs="Times New Roman"/>
                <w:color w:val="000000"/>
                <w:sz w:val="16"/>
                <w:szCs w:val="16"/>
                <w:lang w:val="en-GB"/>
              </w:rPr>
              <w:t>ers</w:t>
            </w:r>
            <w:r w:rsidRPr="00272D5C">
              <w:rPr>
                <w:rFonts w:ascii="Calibri" w:eastAsia="Times New Roman" w:hAnsi="Calibri" w:cs="Times New Roman"/>
                <w:color w:val="000000"/>
                <w:sz w:val="16"/>
                <w:szCs w:val="16"/>
                <w:lang w:val="en-GB"/>
              </w:rPr>
              <w:t xml:space="preserve"> etc) to foster sustainable production </w:t>
            </w:r>
            <w:r>
              <w:rPr>
                <w:rFonts w:ascii="Calibri" w:eastAsia="Times New Roman" w:hAnsi="Calibri" w:cs="Times New Roman"/>
                <w:color w:val="000000"/>
                <w:sz w:val="16"/>
                <w:szCs w:val="16"/>
                <w:lang w:val="en-GB"/>
              </w:rPr>
              <w:t>in</w:t>
            </w:r>
            <w:r w:rsidRPr="00272D5C">
              <w:rPr>
                <w:rFonts w:ascii="Calibri" w:eastAsia="Times New Roman" w:hAnsi="Calibri" w:cs="Times New Roman"/>
                <w:color w:val="000000"/>
                <w:sz w:val="16"/>
                <w:szCs w:val="16"/>
                <w:lang w:val="en-GB"/>
              </w:rPr>
              <w:t xml:space="preserve"> Apu</w:t>
            </w:r>
            <w:r>
              <w:rPr>
                <w:rFonts w:ascii="Calibri" w:eastAsia="Times New Roman" w:hAnsi="Calibri" w:cs="Times New Roman"/>
                <w:color w:val="000000"/>
                <w:sz w:val="16"/>
                <w:szCs w:val="16"/>
                <w:lang w:val="en-GB"/>
              </w:rPr>
              <w:t>í</w:t>
            </w:r>
            <w:r w:rsidRPr="00272D5C">
              <w:rPr>
                <w:rFonts w:ascii="Calibri" w:eastAsia="Times New Roman" w:hAnsi="Calibri" w:cs="Times New Roman"/>
                <w:color w:val="000000"/>
                <w:sz w:val="16"/>
                <w:szCs w:val="16"/>
                <w:lang w:val="en-GB"/>
              </w:rPr>
              <w:t xml:space="preserve"> and </w:t>
            </w:r>
            <w:r>
              <w:rPr>
                <w:rFonts w:ascii="Calibri" w:eastAsia="Times New Roman" w:hAnsi="Calibri" w:cs="Times New Roman"/>
                <w:color w:val="000000"/>
                <w:sz w:val="16"/>
                <w:szCs w:val="16"/>
                <w:lang w:val="en-GB"/>
              </w:rPr>
              <w:t xml:space="preserve">at </w:t>
            </w:r>
            <w:r w:rsidRPr="00272D5C">
              <w:rPr>
                <w:rFonts w:ascii="Calibri" w:eastAsia="Times New Roman" w:hAnsi="Calibri" w:cs="Times New Roman"/>
                <w:color w:val="000000"/>
                <w:sz w:val="16"/>
                <w:szCs w:val="16"/>
                <w:lang w:val="en-GB"/>
              </w:rPr>
              <w:t>Juma</w:t>
            </w:r>
            <w:r>
              <w:rPr>
                <w:rFonts w:ascii="Calibri" w:eastAsia="Times New Roman" w:hAnsi="Calibri" w:cs="Times New Roman"/>
                <w:color w:val="000000"/>
                <w:sz w:val="16"/>
                <w:szCs w:val="16"/>
                <w:lang w:val="en-GB"/>
              </w:rPr>
              <w:t xml:space="preserve"> reserve within the LSA regulation under elaboration</w:t>
            </w:r>
          </w:p>
        </w:tc>
        <w:tc>
          <w:tcPr>
            <w:tcW w:w="1504" w:type="dxa"/>
            <w:tcBorders>
              <w:top w:val="single" w:sz="4" w:space="0" w:color="auto"/>
              <w:left w:val="single" w:sz="4" w:space="0" w:color="auto"/>
              <w:bottom w:val="single" w:sz="4" w:space="0" w:color="auto"/>
              <w:right w:val="single" w:sz="4" w:space="0" w:color="auto"/>
            </w:tcBorders>
            <w:vAlign w:val="center"/>
          </w:tcPr>
          <w:p w14:paraId="00A4A84A" w14:textId="56E043BE"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SEMA-AM</w:t>
            </w:r>
          </w:p>
        </w:tc>
        <w:tc>
          <w:tcPr>
            <w:tcW w:w="1462" w:type="dxa"/>
            <w:tcBorders>
              <w:top w:val="single" w:sz="4" w:space="0" w:color="auto"/>
              <w:left w:val="single" w:sz="4" w:space="0" w:color="auto"/>
              <w:bottom w:val="single" w:sz="4" w:space="0" w:color="auto"/>
              <w:right w:val="single" w:sz="4" w:space="0" w:color="auto"/>
            </w:tcBorders>
            <w:vAlign w:val="center"/>
          </w:tcPr>
          <w:p w14:paraId="04FE8633" w14:textId="11AAC828" w:rsidR="000729A8"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Apuí: </w:t>
            </w:r>
            <w:r w:rsidRPr="00A24338">
              <w:rPr>
                <w:rFonts w:ascii="Calibri" w:eastAsia="Times New Roman" w:hAnsi="Calibri" w:cs="Times New Roman"/>
                <w:color w:val="000000"/>
                <w:sz w:val="16"/>
                <w:szCs w:val="16"/>
                <w:lang w:val="en-US"/>
              </w:rPr>
              <w:t>Apuí Agroforestry Coffee operating with approximately 20 local producers</w:t>
            </w:r>
          </w:p>
          <w:p w14:paraId="292E279D" w14:textId="77777777" w:rsidR="000729A8" w:rsidRDefault="000729A8" w:rsidP="002E2055">
            <w:pPr>
              <w:spacing w:after="0" w:line="240" w:lineRule="auto"/>
              <w:jc w:val="center"/>
              <w:rPr>
                <w:rFonts w:ascii="Calibri" w:eastAsia="Times New Roman" w:hAnsi="Calibri" w:cs="Times New Roman"/>
                <w:color w:val="000000"/>
                <w:sz w:val="16"/>
                <w:szCs w:val="16"/>
                <w:lang w:val="en-GB"/>
              </w:rPr>
            </w:pPr>
          </w:p>
          <w:p w14:paraId="47D8C7F2" w14:textId="67D6F5C8" w:rsidR="000729A8" w:rsidRPr="00272D5C" w:rsidRDefault="000729A8" w:rsidP="002E2055">
            <w:pPr>
              <w:spacing w:after="0" w:line="240" w:lineRule="auto"/>
              <w:jc w:val="center"/>
              <w:rPr>
                <w:rFonts w:ascii="Calibri" w:eastAsia="Times New Roman" w:hAnsi="Calibri" w:cs="Calibri"/>
                <w:color w:val="000000"/>
                <w:sz w:val="16"/>
                <w:szCs w:val="16"/>
                <w:lang w:val="en-GB" w:eastAsia="pt-BR"/>
              </w:rPr>
            </w:pPr>
            <w:r>
              <w:rPr>
                <w:rFonts w:ascii="Calibri" w:eastAsia="Times New Roman" w:hAnsi="Calibri" w:cs="Times New Roman"/>
                <w:color w:val="000000"/>
                <w:sz w:val="16"/>
                <w:szCs w:val="16"/>
                <w:lang w:val="en-GB"/>
              </w:rPr>
              <w:t>Juma: BFP started with the REDD+ project and has benefited 2,000 people. The deforestation rate decreased to 12 hectares (2016). In 2008, before the project, was 74 hectares</w:t>
            </w:r>
          </w:p>
        </w:tc>
        <w:tc>
          <w:tcPr>
            <w:tcW w:w="1024" w:type="dxa"/>
            <w:tcBorders>
              <w:top w:val="single" w:sz="4" w:space="0" w:color="auto"/>
              <w:left w:val="single" w:sz="4" w:space="0" w:color="auto"/>
              <w:bottom w:val="single" w:sz="4" w:space="0" w:color="auto"/>
              <w:right w:val="single" w:sz="4" w:space="0" w:color="auto"/>
            </w:tcBorders>
            <w:vAlign w:val="center"/>
          </w:tcPr>
          <w:p w14:paraId="6D20E54D" w14:textId="74A7CBA0" w:rsidR="000729A8" w:rsidRDefault="000729A8" w:rsidP="002E2055">
            <w:pPr>
              <w:spacing w:after="0" w:line="240" w:lineRule="auto"/>
              <w:jc w:val="center"/>
              <w:rPr>
                <w:rFonts w:ascii="Calibri" w:eastAsia="Times New Roman" w:hAnsi="Calibri" w:cs="Calibri"/>
                <w:color w:val="000000"/>
                <w:sz w:val="16"/>
                <w:szCs w:val="16"/>
                <w:lang w:val="en-GB" w:eastAsia="pt-BR"/>
              </w:rPr>
            </w:pPr>
            <w:r>
              <w:rPr>
                <w:rFonts w:ascii="Calibri" w:eastAsia="Times New Roman" w:hAnsi="Calibri" w:cs="Calibri"/>
                <w:color w:val="000000"/>
                <w:sz w:val="16"/>
                <w:szCs w:val="16"/>
                <w:lang w:val="en-GB" w:eastAsia="pt-BR"/>
              </w:rPr>
              <w:t>Apuí: 201</w:t>
            </w:r>
            <w:r w:rsidRPr="00BB30AF">
              <w:rPr>
                <w:rFonts w:ascii="Calibri" w:eastAsia="Times New Roman" w:hAnsi="Calibri" w:cs="Calibri"/>
                <w:color w:val="000000"/>
                <w:sz w:val="16"/>
                <w:szCs w:val="16"/>
                <w:lang w:val="en-GB" w:eastAsia="pt-BR"/>
              </w:rPr>
              <w:t>2</w:t>
            </w:r>
          </w:p>
          <w:p w14:paraId="1BB6D0FA" w14:textId="77777777" w:rsidR="000729A8" w:rsidRDefault="000729A8" w:rsidP="002E2055">
            <w:pPr>
              <w:spacing w:after="0" w:line="240" w:lineRule="auto"/>
              <w:jc w:val="center"/>
              <w:rPr>
                <w:rFonts w:ascii="Calibri" w:eastAsia="Times New Roman" w:hAnsi="Calibri" w:cs="Calibri"/>
                <w:color w:val="000000"/>
                <w:sz w:val="16"/>
                <w:szCs w:val="16"/>
                <w:lang w:val="en-GB" w:eastAsia="pt-BR"/>
              </w:rPr>
            </w:pPr>
          </w:p>
          <w:p w14:paraId="627B5712" w14:textId="75150F6E" w:rsidR="000729A8" w:rsidRPr="00272D5C" w:rsidRDefault="000729A8" w:rsidP="002E2055">
            <w:pPr>
              <w:spacing w:after="0" w:line="240" w:lineRule="auto"/>
              <w:jc w:val="center"/>
              <w:rPr>
                <w:rFonts w:ascii="Calibri" w:eastAsia="Times New Roman" w:hAnsi="Calibri" w:cs="Calibri"/>
                <w:color w:val="000000"/>
                <w:sz w:val="16"/>
                <w:szCs w:val="16"/>
                <w:lang w:val="en-GB" w:eastAsia="pt-BR"/>
              </w:rPr>
            </w:pPr>
            <w:r>
              <w:rPr>
                <w:rFonts w:ascii="Calibri" w:eastAsia="Times New Roman" w:hAnsi="Calibri" w:cs="Calibri"/>
                <w:color w:val="000000"/>
                <w:sz w:val="16"/>
                <w:szCs w:val="16"/>
                <w:lang w:val="en-GB" w:eastAsia="pt-BR"/>
              </w:rPr>
              <w:t>Juma: 2008</w:t>
            </w:r>
          </w:p>
        </w:tc>
        <w:tc>
          <w:tcPr>
            <w:tcW w:w="1588" w:type="dxa"/>
            <w:tcBorders>
              <w:top w:val="single" w:sz="4" w:space="0" w:color="auto"/>
              <w:left w:val="single" w:sz="4" w:space="0" w:color="auto"/>
              <w:bottom w:val="single" w:sz="4" w:space="0" w:color="auto"/>
              <w:right w:val="single" w:sz="4" w:space="0" w:color="auto"/>
            </w:tcBorders>
            <w:vAlign w:val="center"/>
          </w:tcPr>
          <w:p w14:paraId="5BEE06D8" w14:textId="5FCD61F3" w:rsidR="000729A8" w:rsidRDefault="000729A8" w:rsidP="009F7DC3">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Apuí: </w:t>
            </w:r>
            <w:r>
              <w:rPr>
                <w:rFonts w:ascii="Calibri" w:eastAsia="Times New Roman" w:hAnsi="Calibri" w:cs="Times New Roman"/>
                <w:color w:val="000000"/>
                <w:sz w:val="16"/>
                <w:szCs w:val="16"/>
                <w:lang w:val="en-US"/>
              </w:rPr>
              <w:t>Development</w:t>
            </w:r>
            <w:r w:rsidRPr="00A24338">
              <w:rPr>
                <w:rFonts w:ascii="Calibri" w:eastAsia="Times New Roman" w:hAnsi="Calibri" w:cs="Times New Roman"/>
                <w:color w:val="000000"/>
                <w:sz w:val="16"/>
                <w:szCs w:val="16"/>
                <w:lang w:val="en-US"/>
              </w:rPr>
              <w:t xml:space="preserve"> of an Investment Plan to escalate the production of the Apuí Agroforestry Coffee to 100 rural producers. Structuring a Sales Plan for Apuí Coffee in strategic regions</w:t>
            </w:r>
          </w:p>
          <w:p w14:paraId="2CC8D0F9" w14:textId="77777777" w:rsidR="000729A8" w:rsidRDefault="000729A8" w:rsidP="009F7DC3">
            <w:pPr>
              <w:spacing w:after="0" w:line="240" w:lineRule="auto"/>
              <w:jc w:val="center"/>
              <w:rPr>
                <w:rFonts w:ascii="Calibri" w:eastAsia="Times New Roman" w:hAnsi="Calibri" w:cs="Times New Roman"/>
                <w:color w:val="000000"/>
                <w:sz w:val="16"/>
                <w:szCs w:val="16"/>
                <w:lang w:val="en-GB"/>
              </w:rPr>
            </w:pPr>
          </w:p>
          <w:p w14:paraId="30C82FC5" w14:textId="48C0C322" w:rsidR="000729A8" w:rsidRPr="00272D5C" w:rsidRDefault="000729A8"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Juma: keep the benefit for 2,000 people </w:t>
            </w:r>
            <w:r w:rsidR="00D936CC">
              <w:rPr>
                <w:rFonts w:ascii="Calibri" w:eastAsia="Times New Roman" w:hAnsi="Calibri" w:cs="Times New Roman"/>
                <w:color w:val="000000"/>
                <w:sz w:val="16"/>
                <w:szCs w:val="16"/>
                <w:lang w:val="en-GB"/>
              </w:rPr>
              <w:t>in the reserve,</w:t>
            </w:r>
            <w:r>
              <w:rPr>
                <w:rFonts w:ascii="Calibri" w:eastAsia="Times New Roman" w:hAnsi="Calibri" w:cs="Times New Roman"/>
                <w:color w:val="000000"/>
                <w:sz w:val="16"/>
                <w:szCs w:val="16"/>
                <w:lang w:val="en-GB"/>
              </w:rPr>
              <w:t xml:space="preserve"> within 18 months</w:t>
            </w:r>
          </w:p>
        </w:tc>
        <w:tc>
          <w:tcPr>
            <w:tcW w:w="1460" w:type="dxa"/>
            <w:tcBorders>
              <w:top w:val="single" w:sz="4" w:space="0" w:color="auto"/>
              <w:left w:val="single" w:sz="4" w:space="0" w:color="auto"/>
              <w:bottom w:val="single" w:sz="4" w:space="0" w:color="auto"/>
              <w:right w:val="single" w:sz="4" w:space="0" w:color="auto"/>
            </w:tcBorders>
            <w:vAlign w:val="center"/>
          </w:tcPr>
          <w:p w14:paraId="27C8C014" w14:textId="260AC572" w:rsidR="000729A8" w:rsidRDefault="000729A8" w:rsidP="009F7DC3">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 Market influences </w:t>
            </w:r>
            <w:r w:rsidRPr="00A24338">
              <w:rPr>
                <w:rFonts w:ascii="Calibri" w:eastAsia="Times New Roman" w:hAnsi="Calibri" w:cs="Times New Roman"/>
                <w:color w:val="000000"/>
                <w:sz w:val="16"/>
                <w:szCs w:val="16"/>
                <w:lang w:val="en-US"/>
              </w:rPr>
              <w:t>(potential incentive to practices related to livestock)</w:t>
            </w:r>
          </w:p>
          <w:p w14:paraId="7996802D" w14:textId="77777777" w:rsidR="000729A8" w:rsidRDefault="000729A8" w:rsidP="009F7DC3">
            <w:pPr>
              <w:spacing w:after="0" w:line="240" w:lineRule="auto"/>
              <w:jc w:val="center"/>
              <w:rPr>
                <w:rFonts w:ascii="Calibri" w:eastAsia="Times New Roman" w:hAnsi="Calibri" w:cs="Times New Roman"/>
                <w:color w:val="000000"/>
                <w:sz w:val="16"/>
                <w:szCs w:val="16"/>
                <w:lang w:val="en-GB"/>
              </w:rPr>
            </w:pPr>
          </w:p>
          <w:p w14:paraId="77059879" w14:textId="579B3D96" w:rsidR="000729A8" w:rsidRDefault="000729A8" w:rsidP="009F7DC3">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 xml:space="preserve">- Lack of involvement of policy-makers and decrease of surveillance </w:t>
            </w:r>
          </w:p>
          <w:p w14:paraId="0ADD776E" w14:textId="09D41225" w:rsidR="000729A8" w:rsidRPr="00272D5C" w:rsidRDefault="000729A8" w:rsidP="009F7DC3">
            <w:pPr>
              <w:spacing w:after="0" w:line="240" w:lineRule="auto"/>
              <w:jc w:val="center"/>
              <w:rPr>
                <w:rFonts w:ascii="Calibri" w:eastAsia="Times New Roman" w:hAnsi="Calibri" w:cs="Times New Roman"/>
                <w:color w:val="000000"/>
                <w:sz w:val="16"/>
                <w:szCs w:val="16"/>
                <w:lang w:val="en-GB"/>
              </w:rPr>
            </w:pPr>
          </w:p>
        </w:tc>
        <w:tc>
          <w:tcPr>
            <w:tcW w:w="1733" w:type="dxa"/>
            <w:tcBorders>
              <w:top w:val="single" w:sz="4" w:space="0" w:color="auto"/>
              <w:left w:val="single" w:sz="4" w:space="0" w:color="auto"/>
              <w:bottom w:val="single" w:sz="4" w:space="0" w:color="auto"/>
              <w:right w:val="single" w:sz="4" w:space="0" w:color="auto"/>
            </w:tcBorders>
            <w:vAlign w:val="center"/>
          </w:tcPr>
          <w:p w14:paraId="6D3B68C9" w14:textId="41309F6C" w:rsidR="000729A8" w:rsidRPr="00272D5C" w:rsidRDefault="000729A8" w:rsidP="002E2055">
            <w:pPr>
              <w:spacing w:after="0" w:line="240" w:lineRule="auto"/>
              <w:jc w:val="center"/>
              <w:rPr>
                <w:rFonts w:ascii="Calibri" w:eastAsia="Times New Roman" w:hAnsi="Calibri" w:cs="Times New Roman"/>
                <w:color w:val="5A5A5A"/>
                <w:sz w:val="16"/>
                <w:szCs w:val="16"/>
                <w:lang w:val="en-GB"/>
              </w:rPr>
            </w:pPr>
            <w:r w:rsidRPr="00272D5C">
              <w:rPr>
                <w:rFonts w:ascii="Calibri" w:eastAsia="Times New Roman" w:hAnsi="Calibri" w:cs="Times New Roman"/>
                <w:color w:val="000000"/>
                <w:sz w:val="16"/>
                <w:szCs w:val="16"/>
                <w:lang w:val="en-GB"/>
              </w:rPr>
              <w:t xml:space="preserve">To create local arrangements and financial mechanisms to allow sustainable rural production systems within Amazonas </w:t>
            </w:r>
            <w:r>
              <w:rPr>
                <w:rFonts w:ascii="Calibri" w:eastAsia="Times New Roman" w:hAnsi="Calibri" w:cs="Times New Roman"/>
                <w:color w:val="000000"/>
                <w:sz w:val="16"/>
                <w:szCs w:val="16"/>
                <w:lang w:val="en-GB"/>
              </w:rPr>
              <w:t>State</w:t>
            </w:r>
          </w:p>
        </w:tc>
      </w:tr>
      <w:tr w:rsidR="000729A8" w:rsidRPr="00B9166A" w14:paraId="74209CA3" w14:textId="77777777" w:rsidTr="00C35EAD">
        <w:trPr>
          <w:trHeight w:val="1012"/>
        </w:trPr>
        <w:tc>
          <w:tcPr>
            <w:tcW w:w="1630" w:type="dxa"/>
            <w:tcBorders>
              <w:top w:val="single" w:sz="4" w:space="0" w:color="auto"/>
              <w:left w:val="single" w:sz="4" w:space="0" w:color="auto"/>
              <w:bottom w:val="single" w:sz="4" w:space="0" w:color="auto"/>
              <w:right w:val="single" w:sz="4" w:space="0" w:color="auto"/>
            </w:tcBorders>
            <w:vAlign w:val="center"/>
          </w:tcPr>
          <w:p w14:paraId="7E159463" w14:textId="006D8463" w:rsidR="000729A8" w:rsidRPr="00272D5C" w:rsidRDefault="000729A8" w:rsidP="00E73C81">
            <w:pPr>
              <w:spacing w:after="0" w:line="240" w:lineRule="auto"/>
              <w:jc w:val="center"/>
              <w:rPr>
                <w:rFonts w:ascii="Calibri" w:eastAsia="Calibri" w:hAnsi="Calibri" w:cs="Times New Roman"/>
                <w:b/>
                <w:bCs/>
                <w:color w:val="000000"/>
                <w:sz w:val="20"/>
                <w:szCs w:val="20"/>
                <w:lang w:val="en-GB"/>
              </w:rPr>
            </w:pPr>
            <w:r>
              <w:rPr>
                <w:rFonts w:ascii="Calibri" w:eastAsia="Calibri" w:hAnsi="Calibri" w:cs="Times New Roman"/>
                <w:b/>
                <w:bCs/>
                <w:color w:val="000000"/>
                <w:sz w:val="20"/>
                <w:szCs w:val="20"/>
                <w:lang w:val="en-GB"/>
              </w:rPr>
              <w:t>Reducing emissions from deforestation and forest deforestation</w:t>
            </w:r>
          </w:p>
        </w:tc>
        <w:tc>
          <w:tcPr>
            <w:tcW w:w="2109" w:type="dxa"/>
            <w:tcBorders>
              <w:top w:val="single" w:sz="4" w:space="0" w:color="auto"/>
              <w:left w:val="single" w:sz="4" w:space="0" w:color="auto"/>
              <w:bottom w:val="single" w:sz="4" w:space="0" w:color="auto"/>
              <w:right w:val="single" w:sz="4" w:space="0" w:color="auto"/>
            </w:tcBorders>
            <w:vAlign w:val="center"/>
          </w:tcPr>
          <w:p w14:paraId="1692B538" w14:textId="5E22F4C8" w:rsidR="000729A8" w:rsidRPr="00272D5C" w:rsidRDefault="000729A8" w:rsidP="002E2055">
            <w:pPr>
              <w:spacing w:after="0" w:line="240" w:lineRule="auto"/>
              <w:jc w:val="center"/>
              <w:rPr>
                <w:rFonts w:ascii="Calibri" w:eastAsia="Times New Roman" w:hAnsi="Calibri" w:cs="Calibri"/>
                <w:b/>
                <w:bCs/>
                <w:color w:val="000000"/>
                <w:sz w:val="18"/>
                <w:szCs w:val="18"/>
                <w:lang w:val="en-GB" w:eastAsia="pt-BR"/>
              </w:rPr>
            </w:pPr>
            <w:r w:rsidRPr="00272D5C">
              <w:rPr>
                <w:rFonts w:ascii="Calibri" w:eastAsia="Calibri" w:hAnsi="Calibri" w:cs="Times New Roman"/>
                <w:b/>
                <w:bCs/>
                <w:color w:val="000000"/>
                <w:sz w:val="20"/>
                <w:szCs w:val="20"/>
                <w:lang w:val="en-GB"/>
              </w:rPr>
              <w:t>5. Fundraising for REDD+ and forest conservation in Amazonas</w:t>
            </w:r>
          </w:p>
        </w:tc>
        <w:tc>
          <w:tcPr>
            <w:tcW w:w="1494" w:type="dxa"/>
            <w:tcBorders>
              <w:top w:val="single" w:sz="4" w:space="0" w:color="auto"/>
              <w:left w:val="single" w:sz="4" w:space="0" w:color="auto"/>
              <w:bottom w:val="single" w:sz="4" w:space="0" w:color="auto"/>
              <w:right w:val="single" w:sz="4" w:space="0" w:color="auto"/>
            </w:tcBorders>
            <w:vAlign w:val="center"/>
          </w:tcPr>
          <w:p w14:paraId="153EEB54" w14:textId="3504616B"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272D5C">
              <w:rPr>
                <w:rFonts w:ascii="Calibri" w:eastAsia="Times New Roman" w:hAnsi="Calibri" w:cs="Times New Roman"/>
                <w:color w:val="000000"/>
                <w:sz w:val="16"/>
                <w:szCs w:val="16"/>
                <w:lang w:val="en-GB"/>
              </w:rPr>
              <w:t>Promote road-shows, events and participate in high-level meetings</w:t>
            </w:r>
            <w:r>
              <w:rPr>
                <w:rFonts w:ascii="Calibri" w:eastAsia="Times New Roman" w:hAnsi="Calibri" w:cs="Times New Roman"/>
                <w:color w:val="000000"/>
                <w:sz w:val="16"/>
                <w:szCs w:val="16"/>
                <w:lang w:val="en-GB"/>
              </w:rPr>
              <w:t xml:space="preserve"> after identified, mapped and assessed partners and opportunities</w:t>
            </w:r>
          </w:p>
        </w:tc>
        <w:tc>
          <w:tcPr>
            <w:tcW w:w="1504" w:type="dxa"/>
            <w:tcBorders>
              <w:top w:val="single" w:sz="4" w:space="0" w:color="auto"/>
              <w:left w:val="single" w:sz="4" w:space="0" w:color="auto"/>
              <w:bottom w:val="single" w:sz="4" w:space="0" w:color="auto"/>
              <w:right w:val="single" w:sz="4" w:space="0" w:color="auto"/>
            </w:tcBorders>
            <w:vAlign w:val="center"/>
          </w:tcPr>
          <w:p w14:paraId="29D6C205" w14:textId="5CCD3036"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FAS</w:t>
            </w:r>
          </w:p>
        </w:tc>
        <w:tc>
          <w:tcPr>
            <w:tcW w:w="1462" w:type="dxa"/>
            <w:tcBorders>
              <w:top w:val="single" w:sz="4" w:space="0" w:color="auto"/>
              <w:left w:val="single" w:sz="4" w:space="0" w:color="auto"/>
              <w:bottom w:val="single" w:sz="4" w:space="0" w:color="auto"/>
              <w:right w:val="single" w:sz="4" w:space="0" w:color="auto"/>
            </w:tcBorders>
            <w:vAlign w:val="center"/>
          </w:tcPr>
          <w:p w14:paraId="2EDDFEC0" w14:textId="064574F1" w:rsidR="000729A8" w:rsidRPr="00272D5C" w:rsidRDefault="000729A8" w:rsidP="00E73C81">
            <w:pPr>
              <w:spacing w:after="0" w:line="240" w:lineRule="auto"/>
              <w:jc w:val="center"/>
              <w:rPr>
                <w:rFonts w:ascii="Calibri" w:eastAsia="Times New Roman" w:hAnsi="Calibri" w:cs="Calibri"/>
                <w:color w:val="000000"/>
                <w:sz w:val="16"/>
                <w:szCs w:val="16"/>
                <w:lang w:val="en-GB" w:eastAsia="pt-BR"/>
              </w:rPr>
            </w:pPr>
            <w:r>
              <w:rPr>
                <w:rFonts w:ascii="Calibri" w:eastAsia="Times New Roman" w:hAnsi="Calibri" w:cs="Times New Roman"/>
                <w:color w:val="000000"/>
                <w:sz w:val="16"/>
                <w:szCs w:val="16"/>
                <w:lang w:val="en-GB"/>
              </w:rPr>
              <w:t>2</w:t>
            </w:r>
          </w:p>
        </w:tc>
        <w:tc>
          <w:tcPr>
            <w:tcW w:w="1024" w:type="dxa"/>
            <w:tcBorders>
              <w:top w:val="single" w:sz="4" w:space="0" w:color="auto"/>
              <w:left w:val="single" w:sz="4" w:space="0" w:color="auto"/>
              <w:bottom w:val="single" w:sz="4" w:space="0" w:color="auto"/>
              <w:right w:val="single" w:sz="4" w:space="0" w:color="auto"/>
            </w:tcBorders>
            <w:vAlign w:val="center"/>
          </w:tcPr>
          <w:p w14:paraId="1582E9CA" w14:textId="77777777" w:rsidR="000729A8" w:rsidRPr="00272D5C" w:rsidRDefault="000729A8" w:rsidP="002E2055">
            <w:pPr>
              <w:spacing w:after="0" w:line="240" w:lineRule="auto"/>
              <w:jc w:val="center"/>
              <w:rPr>
                <w:rFonts w:ascii="Calibri" w:eastAsia="Times New Roman" w:hAnsi="Calibri" w:cs="Calibri"/>
                <w:color w:val="000000"/>
                <w:sz w:val="16"/>
                <w:szCs w:val="16"/>
                <w:lang w:val="en-GB" w:eastAsia="pt-BR"/>
              </w:rPr>
            </w:pPr>
            <w:r w:rsidRPr="00272D5C">
              <w:rPr>
                <w:rFonts w:ascii="Calibri" w:eastAsia="Times New Roman" w:hAnsi="Calibri" w:cs="Calibri"/>
                <w:color w:val="000000"/>
                <w:sz w:val="16"/>
                <w:szCs w:val="16"/>
                <w:lang w:val="en-GB" w:eastAsia="pt-BR"/>
              </w:rPr>
              <w:t>2017</w:t>
            </w:r>
          </w:p>
        </w:tc>
        <w:tc>
          <w:tcPr>
            <w:tcW w:w="1588" w:type="dxa"/>
            <w:tcBorders>
              <w:top w:val="single" w:sz="4" w:space="0" w:color="auto"/>
              <w:left w:val="single" w:sz="4" w:space="0" w:color="auto"/>
              <w:bottom w:val="single" w:sz="4" w:space="0" w:color="auto"/>
              <w:right w:val="single" w:sz="4" w:space="0" w:color="auto"/>
            </w:tcBorders>
            <w:vAlign w:val="center"/>
          </w:tcPr>
          <w:p w14:paraId="5A4F9C49" w14:textId="31A402D1" w:rsidR="000729A8" w:rsidRPr="00272D5C" w:rsidRDefault="000729A8" w:rsidP="00E73C81">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Engage with four partners to l</w:t>
            </w:r>
            <w:r w:rsidRPr="00272D5C">
              <w:rPr>
                <w:rFonts w:ascii="Calibri" w:eastAsia="Times New Roman" w:hAnsi="Calibri" w:cs="Times New Roman"/>
                <w:color w:val="000000"/>
                <w:sz w:val="16"/>
                <w:szCs w:val="16"/>
                <w:lang w:val="en-GB"/>
              </w:rPr>
              <w:t>everage further resources for forest conservation in Amazonas</w:t>
            </w:r>
            <w:r>
              <w:rPr>
                <w:rFonts w:ascii="Calibri" w:eastAsia="Times New Roman" w:hAnsi="Calibri" w:cs="Times New Roman"/>
                <w:color w:val="000000"/>
                <w:sz w:val="16"/>
                <w:szCs w:val="16"/>
                <w:lang w:val="en-GB"/>
              </w:rPr>
              <w:t xml:space="preserve"> within 18 months</w:t>
            </w:r>
          </w:p>
        </w:tc>
        <w:tc>
          <w:tcPr>
            <w:tcW w:w="1460" w:type="dxa"/>
            <w:tcBorders>
              <w:top w:val="single" w:sz="4" w:space="0" w:color="auto"/>
              <w:left w:val="single" w:sz="4" w:space="0" w:color="auto"/>
              <w:bottom w:val="single" w:sz="4" w:space="0" w:color="auto"/>
              <w:right w:val="single" w:sz="4" w:space="0" w:color="auto"/>
            </w:tcBorders>
            <w:vAlign w:val="center"/>
          </w:tcPr>
          <w:p w14:paraId="19C3150A" w14:textId="2AB52C3E" w:rsidR="000729A8"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-2018 elections</w:t>
            </w:r>
          </w:p>
          <w:p w14:paraId="036F108E" w14:textId="622878D2" w:rsidR="000729A8" w:rsidRDefault="000729A8" w:rsidP="002E2055">
            <w:pPr>
              <w:spacing w:after="0" w:line="240" w:lineRule="auto"/>
              <w:jc w:val="center"/>
              <w:rPr>
                <w:rFonts w:ascii="Calibri" w:eastAsia="Times New Roman" w:hAnsi="Calibri" w:cs="Times New Roman"/>
                <w:color w:val="000000"/>
                <w:sz w:val="16"/>
                <w:szCs w:val="16"/>
                <w:lang w:val="en-GB"/>
              </w:rPr>
            </w:pPr>
          </w:p>
          <w:p w14:paraId="45AFF7FD" w14:textId="47267384" w:rsidR="000729A8"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-Economic crisis</w:t>
            </w:r>
          </w:p>
          <w:p w14:paraId="3B2B754F" w14:textId="2528654E"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p>
        </w:tc>
        <w:tc>
          <w:tcPr>
            <w:tcW w:w="1733" w:type="dxa"/>
            <w:tcBorders>
              <w:top w:val="single" w:sz="4" w:space="0" w:color="auto"/>
              <w:left w:val="single" w:sz="4" w:space="0" w:color="auto"/>
              <w:bottom w:val="single" w:sz="4" w:space="0" w:color="auto"/>
              <w:right w:val="single" w:sz="4" w:space="0" w:color="auto"/>
            </w:tcBorders>
            <w:vAlign w:val="center"/>
          </w:tcPr>
          <w:p w14:paraId="0D403AE8" w14:textId="51C01025" w:rsidR="000729A8" w:rsidRPr="00272D5C" w:rsidRDefault="000729A8" w:rsidP="002E2055">
            <w:pPr>
              <w:spacing w:after="0" w:line="240" w:lineRule="auto"/>
              <w:jc w:val="center"/>
              <w:rPr>
                <w:rFonts w:ascii="Calibri" w:eastAsia="Times New Roman" w:hAnsi="Calibri" w:cs="Times New Roman"/>
                <w:color w:val="5A5A5A"/>
                <w:sz w:val="16"/>
                <w:szCs w:val="16"/>
                <w:lang w:val="en-GB"/>
              </w:rPr>
            </w:pPr>
            <w:r>
              <w:rPr>
                <w:rFonts w:ascii="Calibri" w:eastAsia="Times New Roman" w:hAnsi="Calibri" w:cs="Times New Roman"/>
                <w:color w:val="000000"/>
                <w:sz w:val="16"/>
                <w:szCs w:val="16"/>
                <w:lang w:val="en-GB"/>
              </w:rPr>
              <w:t>To communicate, present</w:t>
            </w:r>
            <w:r w:rsidRPr="00272D5C">
              <w:rPr>
                <w:rFonts w:ascii="Calibri" w:eastAsia="Times New Roman" w:hAnsi="Calibri" w:cs="Times New Roman"/>
                <w:color w:val="000000"/>
                <w:sz w:val="16"/>
                <w:szCs w:val="16"/>
                <w:lang w:val="en-GB"/>
              </w:rPr>
              <w:t xml:space="preserve"> and engage key stakeholders for investing in the Amazonas REDD+ System</w:t>
            </w:r>
            <w:r>
              <w:rPr>
                <w:rFonts w:ascii="Calibri" w:eastAsia="Times New Roman" w:hAnsi="Calibri" w:cs="Times New Roman"/>
                <w:color w:val="000000"/>
                <w:sz w:val="16"/>
                <w:szCs w:val="16"/>
                <w:lang w:val="en-GB"/>
              </w:rPr>
              <w:t>, focusing in international funds and private partners</w:t>
            </w:r>
          </w:p>
        </w:tc>
      </w:tr>
      <w:tr w:rsidR="000729A8" w:rsidRPr="00B9166A" w14:paraId="697FE0FD" w14:textId="77777777" w:rsidTr="00C35EAD">
        <w:trPr>
          <w:trHeight w:val="1012"/>
        </w:trPr>
        <w:tc>
          <w:tcPr>
            <w:tcW w:w="1630" w:type="dxa"/>
            <w:tcBorders>
              <w:top w:val="single" w:sz="4" w:space="0" w:color="auto"/>
              <w:left w:val="single" w:sz="4" w:space="0" w:color="auto"/>
              <w:bottom w:val="single" w:sz="4" w:space="0" w:color="auto"/>
              <w:right w:val="single" w:sz="4" w:space="0" w:color="auto"/>
            </w:tcBorders>
            <w:vAlign w:val="center"/>
          </w:tcPr>
          <w:p w14:paraId="70AA6409" w14:textId="650A60E7" w:rsidR="000729A8" w:rsidRDefault="000729A8" w:rsidP="00E73C81">
            <w:pPr>
              <w:spacing w:after="0" w:line="240" w:lineRule="auto"/>
              <w:jc w:val="center"/>
              <w:rPr>
                <w:rFonts w:ascii="Calibri" w:eastAsia="Calibri" w:hAnsi="Calibri" w:cs="Times New Roman"/>
                <w:b/>
                <w:bCs/>
                <w:color w:val="000000"/>
                <w:sz w:val="20"/>
                <w:szCs w:val="20"/>
                <w:lang w:val="en-GB"/>
              </w:rPr>
            </w:pPr>
            <w:r>
              <w:rPr>
                <w:rFonts w:ascii="Calibri" w:eastAsia="Calibri" w:hAnsi="Calibri" w:cs="Times New Roman"/>
                <w:b/>
                <w:bCs/>
                <w:color w:val="000000"/>
                <w:sz w:val="20"/>
                <w:szCs w:val="20"/>
                <w:lang w:val="en-GB"/>
              </w:rPr>
              <w:t>Reducing emissions from deforestation and forest deforestation</w:t>
            </w:r>
          </w:p>
        </w:tc>
        <w:tc>
          <w:tcPr>
            <w:tcW w:w="2109" w:type="dxa"/>
            <w:tcBorders>
              <w:top w:val="single" w:sz="4" w:space="0" w:color="auto"/>
              <w:left w:val="single" w:sz="4" w:space="0" w:color="auto"/>
              <w:bottom w:val="single" w:sz="4" w:space="0" w:color="auto"/>
              <w:right w:val="single" w:sz="4" w:space="0" w:color="auto"/>
            </w:tcBorders>
            <w:vAlign w:val="center"/>
          </w:tcPr>
          <w:p w14:paraId="688FB49A" w14:textId="1CEAA436" w:rsidR="000729A8" w:rsidRPr="00272D5C" w:rsidRDefault="000729A8" w:rsidP="002E2055">
            <w:pPr>
              <w:spacing w:after="0" w:line="240" w:lineRule="auto"/>
              <w:jc w:val="center"/>
              <w:rPr>
                <w:rFonts w:ascii="Calibri" w:eastAsia="Calibri" w:hAnsi="Calibri" w:cs="Times New Roman"/>
                <w:b/>
                <w:bCs/>
                <w:color w:val="000000"/>
                <w:sz w:val="20"/>
                <w:szCs w:val="20"/>
                <w:lang w:val="en-GB"/>
              </w:rPr>
            </w:pPr>
            <w:r>
              <w:rPr>
                <w:rFonts w:ascii="Calibri" w:eastAsia="Calibri" w:hAnsi="Calibri" w:cs="Times New Roman"/>
                <w:b/>
                <w:bCs/>
                <w:color w:val="000000"/>
                <w:sz w:val="20"/>
                <w:szCs w:val="20"/>
                <w:lang w:val="en-GB"/>
              </w:rPr>
              <w:t>6. Independent evaluation</w:t>
            </w:r>
          </w:p>
        </w:tc>
        <w:tc>
          <w:tcPr>
            <w:tcW w:w="1494" w:type="dxa"/>
            <w:tcBorders>
              <w:top w:val="single" w:sz="4" w:space="0" w:color="auto"/>
              <w:left w:val="single" w:sz="4" w:space="0" w:color="auto"/>
              <w:bottom w:val="single" w:sz="4" w:space="0" w:color="auto"/>
              <w:right w:val="single" w:sz="4" w:space="0" w:color="auto"/>
            </w:tcBorders>
            <w:vAlign w:val="center"/>
          </w:tcPr>
          <w:p w14:paraId="6C1065DD" w14:textId="108F7191"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A00D05">
              <w:rPr>
                <w:rFonts w:ascii="Calibri" w:eastAsia="Times New Roman" w:hAnsi="Calibri" w:cs="Times New Roman"/>
                <w:color w:val="000000"/>
                <w:sz w:val="16"/>
                <w:szCs w:val="16"/>
                <w:lang w:val="en-GB"/>
              </w:rPr>
              <w:t>Convene external and independent evaluation together w project partners</w:t>
            </w:r>
          </w:p>
        </w:tc>
        <w:tc>
          <w:tcPr>
            <w:tcW w:w="1504" w:type="dxa"/>
            <w:tcBorders>
              <w:top w:val="single" w:sz="4" w:space="0" w:color="auto"/>
              <w:left w:val="single" w:sz="4" w:space="0" w:color="auto"/>
              <w:bottom w:val="single" w:sz="4" w:space="0" w:color="auto"/>
              <w:right w:val="single" w:sz="4" w:space="0" w:color="auto"/>
            </w:tcBorders>
            <w:vAlign w:val="center"/>
          </w:tcPr>
          <w:p w14:paraId="4C20BB08" w14:textId="39FD2407" w:rsidR="000729A8"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FAS</w:t>
            </w:r>
          </w:p>
        </w:tc>
        <w:tc>
          <w:tcPr>
            <w:tcW w:w="1462" w:type="dxa"/>
            <w:tcBorders>
              <w:top w:val="single" w:sz="4" w:space="0" w:color="auto"/>
              <w:left w:val="single" w:sz="4" w:space="0" w:color="auto"/>
              <w:bottom w:val="single" w:sz="4" w:space="0" w:color="auto"/>
              <w:right w:val="single" w:sz="4" w:space="0" w:color="auto"/>
            </w:tcBorders>
            <w:vAlign w:val="center"/>
          </w:tcPr>
          <w:p w14:paraId="1EB4038A" w14:textId="3449BB58"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Pr>
                <w:rFonts w:ascii="Calibri" w:eastAsia="Times New Roman" w:hAnsi="Calibri" w:cs="Times New Roman"/>
                <w:color w:val="000000"/>
                <w:sz w:val="16"/>
                <w:szCs w:val="16"/>
                <w:lang w:val="en-GB"/>
              </w:rPr>
              <w:t>0</w:t>
            </w:r>
          </w:p>
        </w:tc>
        <w:tc>
          <w:tcPr>
            <w:tcW w:w="1024" w:type="dxa"/>
            <w:tcBorders>
              <w:top w:val="single" w:sz="4" w:space="0" w:color="auto"/>
              <w:left w:val="single" w:sz="4" w:space="0" w:color="auto"/>
              <w:bottom w:val="single" w:sz="4" w:space="0" w:color="auto"/>
              <w:right w:val="single" w:sz="4" w:space="0" w:color="auto"/>
            </w:tcBorders>
            <w:vAlign w:val="center"/>
          </w:tcPr>
          <w:p w14:paraId="7AF8929B" w14:textId="452F641E" w:rsidR="000729A8" w:rsidRPr="00272D5C" w:rsidRDefault="000729A8" w:rsidP="002E2055">
            <w:pPr>
              <w:spacing w:after="0" w:line="240" w:lineRule="auto"/>
              <w:jc w:val="center"/>
              <w:rPr>
                <w:rFonts w:ascii="Calibri" w:eastAsia="Times New Roman" w:hAnsi="Calibri" w:cs="Calibri"/>
                <w:color w:val="000000"/>
                <w:sz w:val="16"/>
                <w:szCs w:val="16"/>
                <w:lang w:val="en-GB" w:eastAsia="pt-BR"/>
              </w:rPr>
            </w:pPr>
            <w:r>
              <w:rPr>
                <w:rFonts w:ascii="Calibri" w:eastAsia="Times New Roman" w:hAnsi="Calibri" w:cs="Calibri"/>
                <w:color w:val="000000"/>
                <w:sz w:val="16"/>
                <w:szCs w:val="16"/>
                <w:lang w:val="en-GB" w:eastAsia="pt-BR"/>
              </w:rPr>
              <w:t>N/A</w:t>
            </w:r>
          </w:p>
        </w:tc>
        <w:tc>
          <w:tcPr>
            <w:tcW w:w="1588" w:type="dxa"/>
            <w:tcBorders>
              <w:top w:val="single" w:sz="4" w:space="0" w:color="auto"/>
              <w:left w:val="single" w:sz="4" w:space="0" w:color="auto"/>
              <w:bottom w:val="single" w:sz="4" w:space="0" w:color="auto"/>
              <w:right w:val="single" w:sz="4" w:space="0" w:color="auto"/>
            </w:tcBorders>
            <w:vAlign w:val="center"/>
          </w:tcPr>
          <w:p w14:paraId="2D1D3D78" w14:textId="4F93C417"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A00D05">
              <w:rPr>
                <w:rFonts w:ascii="Calibri" w:eastAsia="Times New Roman" w:hAnsi="Calibri" w:cs="Times New Roman"/>
                <w:color w:val="000000"/>
                <w:sz w:val="16"/>
                <w:szCs w:val="16"/>
                <w:lang w:val="en-GB"/>
              </w:rPr>
              <w:t>Evaluation of the project's goals</w:t>
            </w:r>
            <w:r w:rsidR="00D936CC">
              <w:rPr>
                <w:rFonts w:ascii="Calibri" w:eastAsia="Times New Roman" w:hAnsi="Calibri" w:cs="Times New Roman"/>
                <w:color w:val="000000"/>
                <w:sz w:val="16"/>
                <w:szCs w:val="16"/>
                <w:lang w:val="en-GB"/>
              </w:rPr>
              <w:t>, targets</w:t>
            </w:r>
            <w:r w:rsidRPr="00A00D05">
              <w:rPr>
                <w:rFonts w:ascii="Calibri" w:eastAsia="Times New Roman" w:hAnsi="Calibri" w:cs="Times New Roman"/>
                <w:color w:val="000000"/>
                <w:sz w:val="16"/>
                <w:szCs w:val="16"/>
                <w:lang w:val="en-GB"/>
              </w:rPr>
              <w:t xml:space="preserve"> and </w:t>
            </w:r>
            <w:r>
              <w:rPr>
                <w:rFonts w:ascii="Calibri" w:eastAsia="Times New Roman" w:hAnsi="Calibri" w:cs="Times New Roman"/>
                <w:color w:val="000000"/>
                <w:sz w:val="16"/>
                <w:szCs w:val="16"/>
                <w:lang w:val="en-GB"/>
              </w:rPr>
              <w:t>processes</w:t>
            </w:r>
            <w:r w:rsidR="00D936CC">
              <w:rPr>
                <w:rFonts w:ascii="Calibri" w:eastAsia="Times New Roman" w:hAnsi="Calibri" w:cs="Times New Roman"/>
                <w:color w:val="000000"/>
                <w:sz w:val="16"/>
                <w:szCs w:val="16"/>
                <w:lang w:val="en-GB"/>
              </w:rPr>
              <w:t xml:space="preserve"> within the ToC</w:t>
            </w:r>
          </w:p>
        </w:tc>
        <w:tc>
          <w:tcPr>
            <w:tcW w:w="1460" w:type="dxa"/>
            <w:tcBorders>
              <w:top w:val="single" w:sz="4" w:space="0" w:color="auto"/>
              <w:left w:val="single" w:sz="4" w:space="0" w:color="auto"/>
              <w:bottom w:val="single" w:sz="4" w:space="0" w:color="auto"/>
              <w:right w:val="single" w:sz="4" w:space="0" w:color="auto"/>
            </w:tcBorders>
            <w:vAlign w:val="center"/>
          </w:tcPr>
          <w:p w14:paraId="55CBF37E" w14:textId="28AC5D2A" w:rsidR="000729A8" w:rsidRPr="00272D5C" w:rsidRDefault="000729A8" w:rsidP="002E2055">
            <w:pPr>
              <w:spacing w:after="0" w:line="240" w:lineRule="auto"/>
              <w:jc w:val="center"/>
              <w:rPr>
                <w:rFonts w:ascii="Calibri" w:eastAsia="Times New Roman" w:hAnsi="Calibri" w:cs="Times New Roman"/>
                <w:color w:val="000000"/>
                <w:sz w:val="16"/>
                <w:szCs w:val="16"/>
                <w:lang w:val="en-GB"/>
              </w:rPr>
            </w:pPr>
            <w:r w:rsidRPr="00A00D05">
              <w:rPr>
                <w:rFonts w:ascii="Calibri" w:eastAsia="Times New Roman" w:hAnsi="Calibri" w:cs="Times New Roman"/>
                <w:color w:val="000000"/>
                <w:sz w:val="16"/>
                <w:szCs w:val="16"/>
                <w:lang w:val="en-GB"/>
              </w:rPr>
              <w:t>Integrate partners' role and elaboration processes within evaluation rationale</w:t>
            </w:r>
          </w:p>
        </w:tc>
        <w:tc>
          <w:tcPr>
            <w:tcW w:w="1733" w:type="dxa"/>
            <w:tcBorders>
              <w:top w:val="single" w:sz="4" w:space="0" w:color="auto"/>
              <w:left w:val="single" w:sz="4" w:space="0" w:color="auto"/>
              <w:bottom w:val="single" w:sz="4" w:space="0" w:color="auto"/>
              <w:right w:val="single" w:sz="4" w:space="0" w:color="auto"/>
            </w:tcBorders>
            <w:vAlign w:val="center"/>
          </w:tcPr>
          <w:p w14:paraId="0C490CE2" w14:textId="6D4A7ADF" w:rsidR="000729A8" w:rsidRDefault="000729A8" w:rsidP="002E2055">
            <w:pPr>
              <w:spacing w:after="0" w:line="240" w:lineRule="auto"/>
              <w:jc w:val="center"/>
              <w:rPr>
                <w:rFonts w:ascii="Calibri" w:eastAsia="Times New Roman" w:hAnsi="Calibri" w:cs="Times New Roman"/>
                <w:color w:val="000000"/>
                <w:sz w:val="16"/>
                <w:szCs w:val="16"/>
                <w:lang w:val="en-GB"/>
              </w:rPr>
            </w:pPr>
            <w:r w:rsidRPr="00A00D05">
              <w:rPr>
                <w:rFonts w:ascii="Calibri" w:eastAsia="Times New Roman" w:hAnsi="Calibri" w:cs="Times New Roman"/>
                <w:color w:val="000000"/>
                <w:sz w:val="16"/>
                <w:szCs w:val="16"/>
                <w:lang w:val="en-GB"/>
              </w:rPr>
              <w:t>Project's partners will be engaged and support evaluation activities considering its independence needed</w:t>
            </w:r>
          </w:p>
        </w:tc>
      </w:tr>
    </w:tbl>
    <w:p w14:paraId="7E14321C" w14:textId="77777777" w:rsidR="00B61F69" w:rsidRPr="00272D5C" w:rsidRDefault="00B61F69" w:rsidP="007F28CF">
      <w:pPr>
        <w:jc w:val="both"/>
        <w:rPr>
          <w:lang w:val="en-GB"/>
        </w:rPr>
      </w:pPr>
    </w:p>
    <w:p w14:paraId="0BDA2603" w14:textId="77777777" w:rsidR="00B61F69" w:rsidRPr="00272D5C" w:rsidRDefault="00B61F69" w:rsidP="007F28CF">
      <w:pPr>
        <w:jc w:val="both"/>
        <w:rPr>
          <w:lang w:val="en-GB"/>
        </w:rPr>
        <w:sectPr w:rsidR="00B61F69" w:rsidRPr="00272D5C" w:rsidSect="00B61F69">
          <w:pgSz w:w="16838" w:h="11906" w:orient="landscape"/>
          <w:pgMar w:top="1701" w:right="1417" w:bottom="1701" w:left="1417" w:header="708" w:footer="708" w:gutter="0"/>
          <w:cols w:space="708"/>
          <w:docGrid w:linePitch="360"/>
        </w:sectPr>
      </w:pPr>
    </w:p>
    <w:p w14:paraId="43A0A8F7" w14:textId="7B79093B" w:rsidR="00F27420" w:rsidRPr="00272D5C" w:rsidRDefault="00F27420" w:rsidP="007F28CF">
      <w:pPr>
        <w:pStyle w:val="Normal1"/>
        <w:jc w:val="both"/>
        <w:rPr>
          <w:lang w:val="en-GB"/>
        </w:rPr>
      </w:pPr>
    </w:p>
    <w:p w14:paraId="057EDB29" w14:textId="1C111095" w:rsidR="00C10E5D" w:rsidRPr="00272D5C" w:rsidRDefault="00C10E5D" w:rsidP="007F28CF">
      <w:pPr>
        <w:pStyle w:val="Heading2"/>
        <w:jc w:val="both"/>
        <w:rPr>
          <w:lang w:val="en-GB"/>
        </w:rPr>
      </w:pPr>
      <w:bookmarkStart w:id="10" w:name="_Toc517617416"/>
      <w:r w:rsidRPr="00272D5C">
        <w:rPr>
          <w:lang w:val="en-GB"/>
        </w:rPr>
        <w:t>1.5. Description of Activities</w:t>
      </w:r>
      <w:bookmarkEnd w:id="10"/>
    </w:p>
    <w:p w14:paraId="146ABE6E" w14:textId="77777777" w:rsidR="00A43CFB" w:rsidRPr="00272D5C" w:rsidRDefault="00A43CFB" w:rsidP="007F28CF">
      <w:pPr>
        <w:jc w:val="both"/>
        <w:rPr>
          <w:lang w:val="en-GB"/>
        </w:rPr>
      </w:pPr>
    </w:p>
    <w:tbl>
      <w:tblPr>
        <w:tblStyle w:val="TabeladaLista6Colorido1"/>
        <w:tblW w:w="15204" w:type="dxa"/>
        <w:tblInd w:w="-601" w:type="dxa"/>
        <w:tblLayout w:type="fixed"/>
        <w:tblLook w:val="04A0" w:firstRow="1" w:lastRow="0" w:firstColumn="1" w:lastColumn="0" w:noHBand="0" w:noVBand="1"/>
      </w:tblPr>
      <w:tblGrid>
        <w:gridCol w:w="2269"/>
        <w:gridCol w:w="2835"/>
        <w:gridCol w:w="3260"/>
        <w:gridCol w:w="2551"/>
        <w:gridCol w:w="1418"/>
        <w:gridCol w:w="2871"/>
      </w:tblGrid>
      <w:tr w:rsidR="00A43CFB" w:rsidRPr="00B9166A" w14:paraId="61AE9BE8" w14:textId="77777777" w:rsidTr="000022D8">
        <w:trPr>
          <w:cnfStyle w:val="100000000000" w:firstRow="1" w:lastRow="0" w:firstColumn="0" w:lastColumn="0" w:oddVBand="0" w:evenVBand="0" w:oddHBand="0" w:evenHBand="0" w:firstRowFirstColumn="0" w:firstRowLastColumn="0" w:lastRowFirstColumn="0" w:lastRowLastColumn="0"/>
          <w:trHeight w:val="1015"/>
          <w:tblHeader/>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00B0F0"/>
            <w:vAlign w:val="center"/>
          </w:tcPr>
          <w:p w14:paraId="64F176E3" w14:textId="2ED867A0" w:rsidR="00A43CFB" w:rsidRPr="00080910" w:rsidRDefault="00A75EE7" w:rsidP="000022D8">
            <w:pPr>
              <w:ind w:left="0"/>
              <w:jc w:val="center"/>
              <w:rPr>
                <w:rFonts w:eastAsia="Calibri" w:cstheme="minorHAnsi"/>
                <w:lang w:val="en-GB"/>
              </w:rPr>
            </w:pPr>
            <w:r w:rsidRPr="00080910">
              <w:rPr>
                <w:rFonts w:eastAsia="Calibri" w:cstheme="minorHAnsi"/>
                <w:lang w:val="en-GB"/>
              </w:rPr>
              <w:t>Goal</w:t>
            </w:r>
          </w:p>
        </w:tc>
        <w:tc>
          <w:tcPr>
            <w:tcW w:w="2835" w:type="dxa"/>
            <w:tcBorders>
              <w:top w:val="single" w:sz="4" w:space="0" w:color="auto"/>
              <w:left w:val="single" w:sz="4" w:space="0" w:color="auto"/>
              <w:bottom w:val="single" w:sz="4" w:space="0" w:color="auto"/>
              <w:right w:val="single" w:sz="4" w:space="0" w:color="auto"/>
            </w:tcBorders>
            <w:shd w:val="clear" w:color="auto" w:fill="00B0F0"/>
            <w:vAlign w:val="center"/>
          </w:tcPr>
          <w:p w14:paraId="1E6AD6FB" w14:textId="721D7FB6" w:rsidR="00A43CFB" w:rsidRPr="00080910" w:rsidRDefault="00CE1054" w:rsidP="000022D8">
            <w:pPr>
              <w:ind w:left="150"/>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Strategy</w:t>
            </w:r>
          </w:p>
        </w:tc>
        <w:tc>
          <w:tcPr>
            <w:tcW w:w="3260" w:type="dxa"/>
            <w:tcBorders>
              <w:top w:val="single" w:sz="4" w:space="0" w:color="auto"/>
              <w:left w:val="single" w:sz="4" w:space="0" w:color="auto"/>
              <w:bottom w:val="single" w:sz="4" w:space="0" w:color="auto"/>
              <w:right w:val="single" w:sz="4" w:space="0" w:color="auto"/>
            </w:tcBorders>
            <w:shd w:val="clear" w:color="auto" w:fill="00B0F0"/>
            <w:vAlign w:val="center"/>
          </w:tcPr>
          <w:p w14:paraId="03C61FF9" w14:textId="29FF8A8F" w:rsidR="00A43CFB" w:rsidRPr="00080910" w:rsidRDefault="00CE1054" w:rsidP="000022D8">
            <w:pPr>
              <w:ind w:left="1"/>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Activities</w:t>
            </w:r>
          </w:p>
        </w:tc>
        <w:tc>
          <w:tcPr>
            <w:tcW w:w="2551" w:type="dxa"/>
            <w:tcBorders>
              <w:top w:val="single" w:sz="4" w:space="0" w:color="auto"/>
              <w:left w:val="single" w:sz="4" w:space="0" w:color="auto"/>
              <w:bottom w:val="single" w:sz="4" w:space="0" w:color="auto"/>
              <w:right w:val="single" w:sz="4" w:space="0" w:color="auto"/>
            </w:tcBorders>
            <w:shd w:val="clear" w:color="auto" w:fill="00B0F0"/>
            <w:vAlign w:val="center"/>
          </w:tcPr>
          <w:p w14:paraId="62C53D31" w14:textId="3C8E2828" w:rsidR="00A43CFB" w:rsidRPr="00080910" w:rsidRDefault="006F4843" w:rsidP="000022D8">
            <w:pPr>
              <w:ind w:left="-44"/>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GB"/>
              </w:rPr>
            </w:pPr>
            <w:r w:rsidRPr="00080910">
              <w:rPr>
                <w:rFonts w:eastAsia="Calibri" w:cstheme="minorHAnsi"/>
                <w:lang w:val="en-GB"/>
              </w:rPr>
              <w:t>Deliverables</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3C9614F" w14:textId="1BCC7A99" w:rsidR="00A43CFB" w:rsidRPr="00080910" w:rsidRDefault="006F4843" w:rsidP="000022D8">
            <w:pPr>
              <w:ind w:left="-108"/>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GB"/>
              </w:rPr>
            </w:pPr>
            <w:r w:rsidRPr="00080910">
              <w:rPr>
                <w:rFonts w:eastAsia="Calibri" w:cstheme="minorHAnsi"/>
                <w:lang w:val="en-GB"/>
              </w:rPr>
              <w:t>Timeline</w:t>
            </w:r>
          </w:p>
        </w:tc>
        <w:tc>
          <w:tcPr>
            <w:tcW w:w="2871" w:type="dxa"/>
            <w:tcBorders>
              <w:top w:val="single" w:sz="4" w:space="0" w:color="auto"/>
              <w:left w:val="single" w:sz="4" w:space="0" w:color="auto"/>
              <w:bottom w:val="single" w:sz="4" w:space="0" w:color="auto"/>
              <w:right w:val="single" w:sz="4" w:space="0" w:color="auto"/>
            </w:tcBorders>
            <w:shd w:val="clear" w:color="auto" w:fill="00B0F0"/>
            <w:vAlign w:val="center"/>
          </w:tcPr>
          <w:p w14:paraId="1FA6EBBE" w14:textId="679D61F2" w:rsidR="00A43CFB" w:rsidRPr="00080910" w:rsidRDefault="006F4843" w:rsidP="000022D8">
            <w:pPr>
              <w:ind w:left="0"/>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GB"/>
              </w:rPr>
            </w:pPr>
            <w:r w:rsidRPr="00080910">
              <w:rPr>
                <w:rFonts w:eastAsia="Calibri" w:cstheme="minorHAnsi"/>
                <w:lang w:val="en-GB"/>
              </w:rPr>
              <w:t>Expected results</w:t>
            </w:r>
            <w:r w:rsidR="00744A19" w:rsidRPr="00080910">
              <w:rPr>
                <w:rFonts w:eastAsia="Calibri" w:cstheme="minorHAnsi"/>
                <w:lang w:val="en-GB"/>
              </w:rPr>
              <w:t xml:space="preserve"> &gt; connected with the project’s</w:t>
            </w:r>
          </w:p>
        </w:tc>
      </w:tr>
      <w:tr w:rsidR="00A43CFB" w:rsidRPr="00B9166A" w14:paraId="7858265A" w14:textId="77777777" w:rsidTr="000022D8">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vAlign w:val="center"/>
          </w:tcPr>
          <w:p w14:paraId="02A002DB" w14:textId="2E8F16CC" w:rsidR="00A43CFB" w:rsidRPr="006E6942" w:rsidRDefault="00A75EE7" w:rsidP="000022D8">
            <w:pPr>
              <w:ind w:left="0"/>
              <w:rPr>
                <w:rFonts w:cstheme="minorHAnsi"/>
                <w:b w:val="0"/>
                <w:color w:val="auto"/>
                <w:lang w:val="en-GB"/>
              </w:rPr>
            </w:pPr>
            <w:r w:rsidRPr="006E6942">
              <w:rPr>
                <w:rFonts w:cstheme="minorHAnsi"/>
                <w:b w:val="0"/>
                <w:color w:val="auto"/>
                <w:lang w:val="en-GB"/>
              </w:rPr>
              <w:t>Implement</w:t>
            </w:r>
            <w:r w:rsidR="00744A19" w:rsidRPr="006E6942">
              <w:rPr>
                <w:rFonts w:cstheme="minorHAnsi"/>
                <w:b w:val="0"/>
                <w:color w:val="auto"/>
                <w:lang w:val="en-GB"/>
              </w:rPr>
              <w:t xml:space="preserve"> key regulations on REDD+ within LSA</w:t>
            </w:r>
          </w:p>
        </w:tc>
        <w:tc>
          <w:tcPr>
            <w:tcW w:w="2835" w:type="dxa"/>
            <w:tcBorders>
              <w:top w:val="single" w:sz="4" w:space="0" w:color="auto"/>
              <w:left w:val="single" w:sz="4" w:space="0" w:color="auto"/>
              <w:bottom w:val="single" w:sz="4" w:space="0" w:color="auto"/>
              <w:right w:val="single" w:sz="4" w:space="0" w:color="auto"/>
            </w:tcBorders>
            <w:vAlign w:val="center"/>
          </w:tcPr>
          <w:p w14:paraId="53ACFDA6" w14:textId="7078DA84" w:rsidR="00744A19" w:rsidRPr="002C18F7" w:rsidRDefault="00744A19" w:rsidP="000022D8">
            <w:pPr>
              <w:ind w:left="150"/>
              <w:cnfStyle w:val="000000100000" w:firstRow="0" w:lastRow="0" w:firstColumn="0" w:lastColumn="0" w:oddVBand="0" w:evenVBand="0" w:oddHBand="1" w:evenHBand="0" w:firstRowFirstColumn="0" w:firstRowLastColumn="0" w:lastRowFirstColumn="0" w:lastRowLastColumn="0"/>
              <w:rPr>
                <w:rFonts w:eastAsia="Calibri" w:cstheme="minorHAnsi"/>
              </w:rPr>
            </w:pPr>
            <w:r w:rsidRPr="006E6942">
              <w:rPr>
                <w:rFonts w:eastAsia="Calibri" w:cstheme="minorHAnsi"/>
                <w:lang w:val="en-GB"/>
              </w:rPr>
              <w:t>Hire law expert consultancy and technical team to elaborate the decree of the Amazonas REDD+ Programme</w:t>
            </w:r>
          </w:p>
          <w:p w14:paraId="685A9182" w14:textId="0A1B560F" w:rsidR="00A43CFB" w:rsidRPr="002C18F7" w:rsidRDefault="00A43CFB" w:rsidP="000022D8">
            <w:pPr>
              <w:ind w:left="15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3260" w:type="dxa"/>
            <w:tcBorders>
              <w:top w:val="single" w:sz="4" w:space="0" w:color="auto"/>
              <w:left w:val="single" w:sz="4" w:space="0" w:color="auto"/>
              <w:bottom w:val="single" w:sz="4" w:space="0" w:color="auto"/>
              <w:right w:val="single" w:sz="4" w:space="0" w:color="auto"/>
            </w:tcBorders>
            <w:vAlign w:val="center"/>
          </w:tcPr>
          <w:p w14:paraId="0F76A52C" w14:textId="70510D14" w:rsidR="00744A19" w:rsidRPr="006E6942" w:rsidRDefault="00744A19" w:rsidP="00552A8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6E6942">
              <w:rPr>
                <w:rFonts w:cstheme="minorHAnsi"/>
                <w:lang w:val="en-GB"/>
              </w:rPr>
              <w:t>Draft the decree</w:t>
            </w:r>
          </w:p>
          <w:p w14:paraId="706FA775" w14:textId="07E099A1" w:rsidR="00744A19" w:rsidRPr="006E6942" w:rsidRDefault="00744A19" w:rsidP="00552A8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6E6942">
              <w:rPr>
                <w:rFonts w:cstheme="minorHAnsi"/>
                <w:lang w:val="en-GB"/>
              </w:rPr>
              <w:t>Present and discuss the draft version in public consultations, FAMC, specific meetings and workshops</w:t>
            </w:r>
          </w:p>
          <w:p w14:paraId="253B3B51" w14:textId="4EBD3BE1" w:rsidR="00A43CFB" w:rsidRPr="006E6942" w:rsidRDefault="00744A19" w:rsidP="00552A8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6E6942">
              <w:rPr>
                <w:rFonts w:cstheme="minorHAnsi"/>
                <w:lang w:val="en-GB"/>
              </w:rPr>
              <w:t>Engage with the State House of Representatives to approve the decree</w:t>
            </w:r>
          </w:p>
        </w:tc>
        <w:tc>
          <w:tcPr>
            <w:tcW w:w="2551" w:type="dxa"/>
            <w:tcBorders>
              <w:top w:val="single" w:sz="4" w:space="0" w:color="auto"/>
              <w:left w:val="single" w:sz="4" w:space="0" w:color="auto"/>
              <w:bottom w:val="single" w:sz="4" w:space="0" w:color="auto"/>
              <w:right w:val="single" w:sz="4" w:space="0" w:color="auto"/>
            </w:tcBorders>
            <w:vAlign w:val="center"/>
          </w:tcPr>
          <w:p w14:paraId="435EB8D4" w14:textId="48676D0D" w:rsidR="00744A19" w:rsidRPr="006E6942" w:rsidRDefault="00744A19" w:rsidP="000022D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Calibri" w:cstheme="minorHAnsi"/>
                <w:lang w:val="pt-BR"/>
              </w:rPr>
            </w:pPr>
            <w:r w:rsidRPr="006E6942">
              <w:rPr>
                <w:rFonts w:eastAsia="Calibri" w:cstheme="minorHAnsi"/>
                <w:lang w:val="pt-BR"/>
              </w:rPr>
              <w:t>Decree draft versions</w:t>
            </w:r>
          </w:p>
          <w:p w14:paraId="21569A92" w14:textId="3C196C3E" w:rsidR="00A43CFB" w:rsidRPr="006E6942" w:rsidRDefault="00744A19" w:rsidP="000022D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Calibri" w:cstheme="minorHAnsi"/>
                <w:lang w:val="pt-BR"/>
              </w:rPr>
            </w:pPr>
            <w:r w:rsidRPr="006E6942">
              <w:rPr>
                <w:rFonts w:eastAsia="Calibri" w:cstheme="minorHAnsi"/>
                <w:lang w:val="pt-BR"/>
              </w:rPr>
              <w:t>Approved decree</w:t>
            </w:r>
          </w:p>
          <w:p w14:paraId="1274961A" w14:textId="5255BFC7" w:rsidR="00A43CFB" w:rsidRPr="006E6942" w:rsidRDefault="00A43CFB" w:rsidP="000022D8">
            <w:pPr>
              <w:ind w:left="-44"/>
              <w:cnfStyle w:val="000000100000" w:firstRow="0" w:lastRow="0" w:firstColumn="0" w:lastColumn="0" w:oddVBand="0" w:evenVBand="0" w:oddHBand="1" w:evenHBand="0" w:firstRowFirstColumn="0" w:firstRowLastColumn="0" w:lastRowFirstColumn="0" w:lastRowLastColumn="0"/>
              <w:rPr>
                <w:rFonts w:eastAsia="Calibri" w:cstheme="minorHAnsi"/>
                <w:lang w:val="pt-BR"/>
              </w:rPr>
            </w:pPr>
          </w:p>
        </w:tc>
        <w:tc>
          <w:tcPr>
            <w:tcW w:w="1418" w:type="dxa"/>
            <w:tcBorders>
              <w:top w:val="single" w:sz="4" w:space="0" w:color="auto"/>
              <w:left w:val="single" w:sz="4" w:space="0" w:color="auto"/>
              <w:bottom w:val="single" w:sz="4" w:space="0" w:color="auto"/>
              <w:right w:val="single" w:sz="4" w:space="0" w:color="auto"/>
            </w:tcBorders>
            <w:vAlign w:val="center"/>
          </w:tcPr>
          <w:p w14:paraId="1DAF2CBA" w14:textId="6A64204A" w:rsidR="00A43CFB" w:rsidRPr="006E6942" w:rsidRDefault="00744A19" w:rsidP="000022D8">
            <w:pPr>
              <w:ind w:left="-108"/>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6E6942">
              <w:rPr>
                <w:rFonts w:eastAsia="Calibri" w:cstheme="minorHAnsi"/>
                <w:lang w:val="en-GB"/>
              </w:rPr>
              <w:t>18 months; during this project</w:t>
            </w:r>
          </w:p>
        </w:tc>
        <w:tc>
          <w:tcPr>
            <w:tcW w:w="2871" w:type="dxa"/>
            <w:tcBorders>
              <w:top w:val="single" w:sz="4" w:space="0" w:color="auto"/>
              <w:left w:val="single" w:sz="4" w:space="0" w:color="auto"/>
              <w:bottom w:val="single" w:sz="4" w:space="0" w:color="auto"/>
              <w:right w:val="single" w:sz="4" w:space="0" w:color="auto"/>
            </w:tcBorders>
            <w:vAlign w:val="center"/>
          </w:tcPr>
          <w:p w14:paraId="6453A7C5" w14:textId="77136917" w:rsidR="00A43CFB" w:rsidRPr="006E6942" w:rsidRDefault="006366C0" w:rsidP="000022D8">
            <w:pPr>
              <w:ind w:left="0"/>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6E6942">
              <w:rPr>
                <w:rFonts w:eastAsia="Calibri" w:cstheme="minorHAnsi"/>
                <w:lang w:val="en-GB"/>
              </w:rPr>
              <w:t xml:space="preserve">1. </w:t>
            </w:r>
            <w:r w:rsidR="00724352" w:rsidRPr="006E6942">
              <w:rPr>
                <w:rFonts w:eastAsia="Calibri" w:cstheme="minorHAnsi"/>
                <w:lang w:val="en-GB"/>
              </w:rPr>
              <w:t xml:space="preserve">Approval of legal instruments for the </w:t>
            </w:r>
            <w:r w:rsidR="002214AC" w:rsidRPr="006E6942">
              <w:rPr>
                <w:rFonts w:eastAsia="Calibri" w:cstheme="minorHAnsi"/>
                <w:lang w:val="en-GB"/>
              </w:rPr>
              <w:t>State</w:t>
            </w:r>
            <w:r w:rsidR="00724352" w:rsidRPr="006E6942">
              <w:rPr>
                <w:rFonts w:eastAsia="Calibri" w:cstheme="minorHAnsi"/>
                <w:lang w:val="en-GB"/>
              </w:rPr>
              <w:t xml:space="preserve"> REDD+ Plan and the benefit sharing mechanism under the LSA</w:t>
            </w:r>
          </w:p>
        </w:tc>
      </w:tr>
      <w:tr w:rsidR="00A43CFB" w:rsidRPr="00B9166A" w14:paraId="29DF8AFC" w14:textId="77777777" w:rsidTr="000022D8">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vAlign w:val="center"/>
          </w:tcPr>
          <w:p w14:paraId="68C43936" w14:textId="694DAE8A" w:rsidR="00A43CFB" w:rsidRPr="006E6942" w:rsidRDefault="000022D8" w:rsidP="000022D8">
            <w:pPr>
              <w:ind w:left="0"/>
              <w:rPr>
                <w:rFonts w:eastAsia="Calibri" w:cstheme="minorHAnsi"/>
                <w:b w:val="0"/>
                <w:lang w:val="en-GB"/>
              </w:rPr>
            </w:pPr>
            <w:r w:rsidRPr="006E6942">
              <w:rPr>
                <w:rFonts w:eastAsia="Calibri" w:cstheme="minorHAnsi"/>
                <w:b w:val="0"/>
                <w:lang w:val="en-GB"/>
              </w:rPr>
              <w:t>Engage and involve key stakeholders on the safeguards designing</w:t>
            </w:r>
          </w:p>
        </w:tc>
        <w:tc>
          <w:tcPr>
            <w:tcW w:w="2835" w:type="dxa"/>
            <w:tcBorders>
              <w:top w:val="single" w:sz="4" w:space="0" w:color="auto"/>
              <w:left w:val="single" w:sz="4" w:space="0" w:color="auto"/>
              <w:bottom w:val="single" w:sz="4" w:space="0" w:color="auto"/>
              <w:right w:val="single" w:sz="4" w:space="0" w:color="auto"/>
            </w:tcBorders>
            <w:vAlign w:val="center"/>
          </w:tcPr>
          <w:p w14:paraId="1DE49B6E" w14:textId="7C0CC76A" w:rsidR="00A43CFB" w:rsidRDefault="006E6942" w:rsidP="006E6942">
            <w:pPr>
              <w:ind w:left="0"/>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sidRPr="006E6942">
              <w:rPr>
                <w:rFonts w:eastAsia="Calibri" w:cstheme="minorHAnsi"/>
                <w:lang w:val="en-GB"/>
              </w:rPr>
              <w:t>Organise workshops in strategic locations to discuss about the</w:t>
            </w:r>
            <w:r w:rsidR="00B93A3A">
              <w:rPr>
                <w:rFonts w:eastAsia="Calibri" w:cstheme="minorHAnsi"/>
                <w:lang w:val="en-GB"/>
              </w:rPr>
              <w:t xml:space="preserve"> State REDD+</w:t>
            </w:r>
            <w:r w:rsidRPr="006E6942">
              <w:rPr>
                <w:rFonts w:eastAsia="Calibri" w:cstheme="minorHAnsi"/>
                <w:lang w:val="en-GB"/>
              </w:rPr>
              <w:t xml:space="preserve"> </w:t>
            </w:r>
            <w:r w:rsidR="00B93A3A">
              <w:rPr>
                <w:rFonts w:eastAsia="Calibri" w:cstheme="minorHAnsi"/>
                <w:lang w:val="en-GB"/>
              </w:rPr>
              <w:t>S</w:t>
            </w:r>
            <w:r w:rsidR="00B93A3A" w:rsidRPr="006E6942">
              <w:rPr>
                <w:rFonts w:eastAsia="Calibri" w:cstheme="minorHAnsi"/>
                <w:lang w:val="en-GB"/>
              </w:rPr>
              <w:t>afeguards</w:t>
            </w:r>
          </w:p>
          <w:p w14:paraId="4519F55A" w14:textId="22EDA448" w:rsidR="00B93A3A" w:rsidRDefault="00B93A3A" w:rsidP="006E6942">
            <w:pPr>
              <w:ind w:left="0"/>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p>
          <w:p w14:paraId="11C4184E" w14:textId="4A333717" w:rsidR="00B93A3A" w:rsidRPr="002C18F7" w:rsidRDefault="00B93A3A" w:rsidP="006E6942">
            <w:pPr>
              <w:ind w:left="0"/>
              <w:cnfStyle w:val="000000000000" w:firstRow="0" w:lastRow="0" w:firstColumn="0" w:lastColumn="0" w:oddVBand="0" w:evenVBand="0" w:oddHBand="0" w:evenHBand="0" w:firstRowFirstColumn="0" w:firstRowLastColumn="0" w:lastRowFirstColumn="0" w:lastRowLastColumn="0"/>
              <w:rPr>
                <w:rFonts w:eastAsia="Calibri" w:cstheme="minorHAnsi"/>
              </w:rPr>
            </w:pPr>
            <w:r w:rsidRPr="000D6547">
              <w:rPr>
                <w:rFonts w:eastAsia="Calibri" w:cstheme="minorHAnsi"/>
              </w:rPr>
              <w:t>Ensure the participation of traditional and indigenous</w:t>
            </w:r>
            <w:r>
              <w:rPr>
                <w:rFonts w:eastAsia="Calibri" w:cstheme="minorHAnsi"/>
              </w:rPr>
              <w:t xml:space="preserve"> communities and gender balance</w:t>
            </w:r>
          </w:p>
          <w:p w14:paraId="2CD0E952" w14:textId="716D6C95" w:rsidR="00AD5179" w:rsidRPr="002C18F7" w:rsidRDefault="00AD5179" w:rsidP="000022D8">
            <w:pPr>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p w14:paraId="4AD3C9D2" w14:textId="5DABC5A7" w:rsidR="00AD5179" w:rsidRPr="006E6942" w:rsidRDefault="006E6942" w:rsidP="000022D8">
            <w:pPr>
              <w:ind w:left="0"/>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lang w:val="en-GB"/>
              </w:rPr>
              <w:t>Strengthen qualified fora for discussion such as FAMC</w:t>
            </w:r>
          </w:p>
        </w:tc>
        <w:tc>
          <w:tcPr>
            <w:tcW w:w="3260" w:type="dxa"/>
            <w:tcBorders>
              <w:top w:val="single" w:sz="4" w:space="0" w:color="auto"/>
              <w:left w:val="single" w:sz="4" w:space="0" w:color="auto"/>
              <w:bottom w:val="single" w:sz="4" w:space="0" w:color="auto"/>
              <w:right w:val="single" w:sz="4" w:space="0" w:color="auto"/>
            </w:tcBorders>
            <w:vAlign w:val="center"/>
          </w:tcPr>
          <w:p w14:paraId="0CA395BA" w14:textId="4B218FD9" w:rsidR="006E6942" w:rsidRDefault="00617E43" w:rsidP="006E694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lang w:val="en-GB"/>
              </w:rPr>
            </w:pPr>
            <w:r w:rsidRPr="00617E43">
              <w:rPr>
                <w:rFonts w:cstheme="minorHAnsi"/>
                <w:lang w:val="en-GB"/>
              </w:rPr>
              <w:t>Design the strategy and the methodology of public consultations and workshops</w:t>
            </w:r>
          </w:p>
          <w:p w14:paraId="61984827" w14:textId="010E3273" w:rsidR="00617E43" w:rsidRDefault="00617E43" w:rsidP="006E694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Draft a preliminary version for discussion based on others’ experiences and references</w:t>
            </w:r>
          </w:p>
          <w:p w14:paraId="18B20C4B" w14:textId="058F1FF4" w:rsidR="00617E43" w:rsidRDefault="00617E43" w:rsidP="006E694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Organise workshops</w:t>
            </w:r>
          </w:p>
          <w:p w14:paraId="5EC99919" w14:textId="536CB060" w:rsidR="00617E43" w:rsidRDefault="00617E43" w:rsidP="006E694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Revisit versions and update them with new inputs from public consultations</w:t>
            </w:r>
          </w:p>
          <w:p w14:paraId="5EE32F03" w14:textId="0383321E" w:rsidR="00A43CFB" w:rsidRDefault="00617E43" w:rsidP="00617E4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Consolidate a version to be presented in official fora</w:t>
            </w:r>
          </w:p>
          <w:p w14:paraId="4C8F5DD5" w14:textId="34F0C991" w:rsidR="00A43CFB" w:rsidRPr="00617E43" w:rsidRDefault="00617E43" w:rsidP="002A4EC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Include reviewed within the decree to be approved</w:t>
            </w:r>
          </w:p>
        </w:tc>
        <w:tc>
          <w:tcPr>
            <w:tcW w:w="2551" w:type="dxa"/>
            <w:tcBorders>
              <w:top w:val="single" w:sz="4" w:space="0" w:color="auto"/>
              <w:left w:val="single" w:sz="4" w:space="0" w:color="auto"/>
              <w:bottom w:val="single" w:sz="4" w:space="0" w:color="auto"/>
              <w:right w:val="single" w:sz="4" w:space="0" w:color="auto"/>
            </w:tcBorders>
            <w:vAlign w:val="center"/>
          </w:tcPr>
          <w:p w14:paraId="1C706A1A" w14:textId="7BFED24F" w:rsidR="002A4EC1" w:rsidRPr="002A4EC1" w:rsidRDefault="002A4EC1" w:rsidP="002A4EC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Number of workshops, meetings, public consultations done</w:t>
            </w:r>
          </w:p>
          <w:p w14:paraId="469C4CFD" w14:textId="0FA6DAD5" w:rsidR="00A43CFB" w:rsidRDefault="00A43CFB" w:rsidP="000022D8">
            <w:pPr>
              <w:ind w:left="-44"/>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p>
          <w:p w14:paraId="2FBAC687" w14:textId="016BA187" w:rsidR="002A4EC1" w:rsidRDefault="002A4EC1" w:rsidP="002A4EC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Report on the workshops, meetings and public consultations done</w:t>
            </w:r>
          </w:p>
          <w:p w14:paraId="72B36D9D" w14:textId="77777777" w:rsidR="002A4EC1" w:rsidRPr="002A4EC1" w:rsidRDefault="002A4EC1" w:rsidP="002A4EC1">
            <w:pPr>
              <w:pStyle w:val="ListParagraph"/>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p>
          <w:p w14:paraId="0F25DD85" w14:textId="3AF719E6" w:rsidR="002A4EC1" w:rsidRDefault="002A4EC1" w:rsidP="002A4EC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 xml:space="preserve">List of </w:t>
            </w:r>
            <w:r w:rsidR="006C6C12">
              <w:rPr>
                <w:rFonts w:eastAsia="Calibri" w:cstheme="minorHAnsi"/>
                <w:lang w:val="en-GB"/>
              </w:rPr>
              <w:t>parameters</w:t>
            </w:r>
            <w:r>
              <w:rPr>
                <w:rFonts w:eastAsia="Calibri" w:cstheme="minorHAnsi"/>
                <w:lang w:val="en-GB"/>
              </w:rPr>
              <w:t xml:space="preserve"> and criteria defined</w:t>
            </w:r>
          </w:p>
          <w:p w14:paraId="1EC718DE" w14:textId="77777777" w:rsidR="006C6C12" w:rsidRPr="006C6C12" w:rsidRDefault="006C6C12" w:rsidP="006C6C12">
            <w:pPr>
              <w:pStyle w:val="ListParagraph"/>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p>
          <w:p w14:paraId="2932D149" w14:textId="415343B4" w:rsidR="00804B24" w:rsidRPr="00F07088" w:rsidRDefault="006C6C12" w:rsidP="00F0708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Amazonas safeguard</w:t>
            </w:r>
            <w:r w:rsidR="002C7683">
              <w:rPr>
                <w:rFonts w:eastAsia="Calibri" w:cstheme="minorHAnsi"/>
                <w:lang w:val="en-GB"/>
              </w:rPr>
              <w:t xml:space="preserve"> protocol document</w:t>
            </w:r>
          </w:p>
        </w:tc>
        <w:tc>
          <w:tcPr>
            <w:tcW w:w="1418" w:type="dxa"/>
            <w:tcBorders>
              <w:top w:val="single" w:sz="4" w:space="0" w:color="auto"/>
              <w:left w:val="single" w:sz="4" w:space="0" w:color="auto"/>
              <w:bottom w:val="single" w:sz="4" w:space="0" w:color="auto"/>
              <w:right w:val="single" w:sz="4" w:space="0" w:color="auto"/>
            </w:tcBorders>
            <w:vAlign w:val="center"/>
          </w:tcPr>
          <w:p w14:paraId="1D9395DE" w14:textId="1E296337" w:rsidR="00A43CFB" w:rsidRPr="006E6942" w:rsidRDefault="002C7683" w:rsidP="000022D8">
            <w:pPr>
              <w:ind w:left="-108"/>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sidRPr="006E6942">
              <w:rPr>
                <w:rFonts w:eastAsia="Calibri" w:cstheme="minorHAnsi"/>
                <w:lang w:val="en-GB"/>
              </w:rPr>
              <w:t>18 months; during this project</w:t>
            </w:r>
          </w:p>
        </w:tc>
        <w:tc>
          <w:tcPr>
            <w:tcW w:w="2871" w:type="dxa"/>
            <w:tcBorders>
              <w:top w:val="single" w:sz="4" w:space="0" w:color="auto"/>
              <w:left w:val="single" w:sz="4" w:space="0" w:color="auto"/>
              <w:bottom w:val="single" w:sz="4" w:space="0" w:color="auto"/>
              <w:right w:val="single" w:sz="4" w:space="0" w:color="auto"/>
            </w:tcBorders>
            <w:vAlign w:val="center"/>
          </w:tcPr>
          <w:p w14:paraId="41E92FE7" w14:textId="114B3641" w:rsidR="00A43CFB" w:rsidRPr="006E6942" w:rsidRDefault="00724352" w:rsidP="00E73C81">
            <w:pPr>
              <w:ind w:left="34"/>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sidRPr="006E6942">
              <w:rPr>
                <w:rFonts w:eastAsia="Calibri" w:cstheme="minorHAnsi"/>
                <w:lang w:val="en-GB"/>
              </w:rPr>
              <w:t>2. Public consultations (including local communities</w:t>
            </w:r>
            <w:r w:rsidR="00B93A3A">
              <w:rPr>
                <w:rFonts w:eastAsia="Calibri" w:cstheme="minorHAnsi"/>
                <w:lang w:val="en-GB"/>
              </w:rPr>
              <w:t>, indigenous groups insuring gender balance</w:t>
            </w:r>
            <w:r w:rsidRPr="006E6942">
              <w:rPr>
                <w:rFonts w:eastAsia="Calibri" w:cstheme="minorHAnsi"/>
                <w:lang w:val="en-GB"/>
              </w:rPr>
              <w:t xml:space="preserve">) and safeguards workshops within the </w:t>
            </w:r>
            <w:r w:rsidR="002214AC" w:rsidRPr="006E6942">
              <w:rPr>
                <w:rFonts w:eastAsia="Calibri" w:cstheme="minorHAnsi"/>
                <w:lang w:val="en-GB"/>
              </w:rPr>
              <w:t>State</w:t>
            </w:r>
          </w:p>
        </w:tc>
      </w:tr>
      <w:tr w:rsidR="00724352" w:rsidRPr="00B9166A" w14:paraId="73FD6015" w14:textId="77777777" w:rsidTr="0000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vAlign w:val="center"/>
          </w:tcPr>
          <w:p w14:paraId="2578AD19" w14:textId="10FC3672" w:rsidR="00724352" w:rsidRPr="00F07088" w:rsidRDefault="00F07088" w:rsidP="000022D8">
            <w:pPr>
              <w:ind w:left="0"/>
              <w:rPr>
                <w:rFonts w:cstheme="minorHAnsi"/>
                <w:b w:val="0"/>
                <w:lang w:val="en-GB"/>
              </w:rPr>
            </w:pPr>
            <w:r>
              <w:rPr>
                <w:rFonts w:cstheme="minorHAnsi"/>
                <w:b w:val="0"/>
                <w:lang w:val="en-GB"/>
              </w:rPr>
              <w:lastRenderedPageBreak/>
              <w:t>Integrate State-level allocation strategy within the National accountability for REDD+</w:t>
            </w:r>
          </w:p>
        </w:tc>
        <w:tc>
          <w:tcPr>
            <w:tcW w:w="2835" w:type="dxa"/>
            <w:tcBorders>
              <w:top w:val="single" w:sz="4" w:space="0" w:color="auto"/>
              <w:left w:val="single" w:sz="4" w:space="0" w:color="auto"/>
              <w:bottom w:val="single" w:sz="4" w:space="0" w:color="auto"/>
              <w:right w:val="single" w:sz="4" w:space="0" w:color="auto"/>
            </w:tcBorders>
            <w:vAlign w:val="center"/>
          </w:tcPr>
          <w:p w14:paraId="21954E08" w14:textId="23231D31" w:rsidR="00724352" w:rsidRPr="002C18F7" w:rsidRDefault="00F07088" w:rsidP="00F07088">
            <w:pPr>
              <w:ind w:left="15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en-GB"/>
              </w:rPr>
              <w:t>Elaborate the State REDD+ Plan</w:t>
            </w:r>
            <w:r w:rsidR="00B93A3A">
              <w:rPr>
                <w:rFonts w:cstheme="minorHAnsi"/>
                <w:lang w:val="en-GB"/>
              </w:rPr>
              <w:t xml:space="preserve"> aligned with national accounting and MRV systems</w:t>
            </w:r>
          </w:p>
        </w:tc>
        <w:tc>
          <w:tcPr>
            <w:tcW w:w="3260" w:type="dxa"/>
            <w:tcBorders>
              <w:top w:val="single" w:sz="4" w:space="0" w:color="auto"/>
              <w:left w:val="single" w:sz="4" w:space="0" w:color="auto"/>
              <w:bottom w:val="single" w:sz="4" w:space="0" w:color="auto"/>
              <w:right w:val="single" w:sz="4" w:space="0" w:color="auto"/>
            </w:tcBorders>
            <w:vAlign w:val="center"/>
          </w:tcPr>
          <w:p w14:paraId="393B29F6" w14:textId="2C5B7ED9" w:rsidR="00F07088" w:rsidRDefault="00F07088" w:rsidP="00F0708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Define technical assumptions and parameters (e.g., reference level, criteria &amp; balance of allocation)</w:t>
            </w:r>
          </w:p>
          <w:p w14:paraId="4D1E2079" w14:textId="6CAD093D" w:rsidR="00F07088" w:rsidRDefault="00F07088" w:rsidP="00F0708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Design MRV system integrated with ones already in place (PPCDAM, INPE</w:t>
            </w:r>
            <w:r w:rsidR="00B93A3A">
              <w:rPr>
                <w:rFonts w:cstheme="minorHAnsi"/>
                <w:lang w:val="en-GB"/>
              </w:rPr>
              <w:t>, CONAREDD+</w:t>
            </w:r>
            <w:r>
              <w:rPr>
                <w:rFonts w:cstheme="minorHAnsi"/>
                <w:lang w:val="en-GB"/>
              </w:rPr>
              <w:t xml:space="preserve"> etc)</w:t>
            </w:r>
          </w:p>
          <w:p w14:paraId="77DF5A5A" w14:textId="1B5D5796" w:rsidR="00724352" w:rsidRPr="00F07088" w:rsidRDefault="00F07088" w:rsidP="00F0708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Update and improve the REDD+ registry system</w:t>
            </w:r>
          </w:p>
        </w:tc>
        <w:tc>
          <w:tcPr>
            <w:tcW w:w="2551" w:type="dxa"/>
            <w:tcBorders>
              <w:top w:val="single" w:sz="4" w:space="0" w:color="auto"/>
              <w:left w:val="single" w:sz="4" w:space="0" w:color="auto"/>
              <w:bottom w:val="single" w:sz="4" w:space="0" w:color="auto"/>
              <w:right w:val="single" w:sz="4" w:space="0" w:color="auto"/>
            </w:tcBorders>
            <w:vAlign w:val="center"/>
          </w:tcPr>
          <w:p w14:paraId="4E9A198B" w14:textId="76C43587" w:rsidR="00724352" w:rsidRPr="00F07088" w:rsidRDefault="00F07088" w:rsidP="00F0708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eastAsia="Calibri" w:cstheme="minorHAnsi"/>
                <w:lang w:val="pt-BR"/>
              </w:rPr>
            </w:pPr>
            <w:r>
              <w:rPr>
                <w:rFonts w:eastAsia="Calibri" w:cstheme="minorHAnsi"/>
                <w:lang w:val="pt-BR"/>
              </w:rPr>
              <w:t>State REDD+ Plan</w:t>
            </w:r>
          </w:p>
        </w:tc>
        <w:tc>
          <w:tcPr>
            <w:tcW w:w="1418" w:type="dxa"/>
            <w:tcBorders>
              <w:top w:val="single" w:sz="4" w:space="0" w:color="auto"/>
              <w:left w:val="single" w:sz="4" w:space="0" w:color="auto"/>
              <w:bottom w:val="single" w:sz="4" w:space="0" w:color="auto"/>
              <w:right w:val="single" w:sz="4" w:space="0" w:color="auto"/>
            </w:tcBorders>
            <w:vAlign w:val="center"/>
          </w:tcPr>
          <w:p w14:paraId="08D2C43D" w14:textId="692B9A9C" w:rsidR="00724352" w:rsidRPr="006E6942" w:rsidRDefault="00F07088" w:rsidP="000022D8">
            <w:pPr>
              <w:ind w:left="-108"/>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6E6942">
              <w:rPr>
                <w:rFonts w:eastAsia="Calibri" w:cstheme="minorHAnsi"/>
                <w:lang w:val="en-GB"/>
              </w:rPr>
              <w:t>18 months; during this project</w:t>
            </w:r>
          </w:p>
        </w:tc>
        <w:tc>
          <w:tcPr>
            <w:tcW w:w="2871" w:type="dxa"/>
            <w:tcBorders>
              <w:top w:val="single" w:sz="4" w:space="0" w:color="auto"/>
              <w:left w:val="single" w:sz="4" w:space="0" w:color="auto"/>
              <w:bottom w:val="single" w:sz="4" w:space="0" w:color="auto"/>
              <w:right w:val="single" w:sz="4" w:space="0" w:color="auto"/>
            </w:tcBorders>
            <w:vAlign w:val="center"/>
          </w:tcPr>
          <w:p w14:paraId="18BF0A5D" w14:textId="0D6D2220" w:rsidR="00724352" w:rsidRPr="006E6942" w:rsidRDefault="00724352" w:rsidP="00E73C81">
            <w:pPr>
              <w:ind w:left="34"/>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6E6942">
              <w:rPr>
                <w:rFonts w:cstheme="minorHAnsi"/>
                <w:lang w:val="en-GB"/>
              </w:rPr>
              <w:t xml:space="preserve">3. Technical design for REDD+ (baseline, MRV procedures, </w:t>
            </w:r>
            <w:r w:rsidR="00B93A3A">
              <w:rPr>
                <w:rFonts w:cstheme="minorHAnsi"/>
                <w:lang w:val="en-GB"/>
              </w:rPr>
              <w:t>aligned</w:t>
            </w:r>
            <w:r w:rsidR="00B93A3A" w:rsidRPr="006E6942">
              <w:rPr>
                <w:rFonts w:cstheme="minorHAnsi"/>
                <w:lang w:val="en-GB"/>
              </w:rPr>
              <w:t xml:space="preserve"> </w:t>
            </w:r>
            <w:r w:rsidRPr="006E6942">
              <w:rPr>
                <w:rFonts w:cstheme="minorHAnsi"/>
                <w:lang w:val="en-GB"/>
              </w:rPr>
              <w:t>with national accounting and registry)</w:t>
            </w:r>
          </w:p>
        </w:tc>
      </w:tr>
      <w:tr w:rsidR="00724352" w:rsidRPr="00B9166A" w14:paraId="3BC2D522" w14:textId="77777777" w:rsidTr="000022D8">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vAlign w:val="center"/>
          </w:tcPr>
          <w:p w14:paraId="5A825B5F" w14:textId="2ACD88F0" w:rsidR="00724352" w:rsidRPr="00F07088" w:rsidRDefault="00F07088" w:rsidP="00F07088">
            <w:pPr>
              <w:ind w:left="0"/>
              <w:rPr>
                <w:rFonts w:cstheme="minorHAnsi"/>
                <w:b w:val="0"/>
                <w:lang w:val="en-GB"/>
              </w:rPr>
            </w:pPr>
            <w:r>
              <w:rPr>
                <w:rFonts w:cstheme="minorHAnsi"/>
                <w:b w:val="0"/>
                <w:lang w:val="en-GB"/>
              </w:rPr>
              <w:t>Design productive arrangements interacting with LSA</w:t>
            </w:r>
          </w:p>
        </w:tc>
        <w:tc>
          <w:tcPr>
            <w:tcW w:w="2835" w:type="dxa"/>
            <w:tcBorders>
              <w:top w:val="single" w:sz="4" w:space="0" w:color="auto"/>
              <w:left w:val="single" w:sz="4" w:space="0" w:color="auto"/>
              <w:bottom w:val="single" w:sz="4" w:space="0" w:color="auto"/>
              <w:right w:val="single" w:sz="4" w:space="0" w:color="auto"/>
            </w:tcBorders>
            <w:vAlign w:val="center"/>
          </w:tcPr>
          <w:p w14:paraId="57B95EA7" w14:textId="0DA7F1E0" w:rsidR="00F07088" w:rsidRDefault="00307DEC" w:rsidP="000022D8">
            <w:pPr>
              <w:ind w:left="150"/>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A</w:t>
            </w:r>
            <w:r w:rsidR="00F07088">
              <w:rPr>
                <w:rFonts w:cstheme="minorHAnsi"/>
                <w:lang w:val="en-GB"/>
              </w:rPr>
              <w:t xml:space="preserve">ssess potential </w:t>
            </w:r>
            <w:r w:rsidR="008710F3">
              <w:rPr>
                <w:rFonts w:cstheme="minorHAnsi"/>
                <w:lang w:val="en-GB"/>
              </w:rPr>
              <w:t xml:space="preserve">ongoing </w:t>
            </w:r>
            <w:r w:rsidR="00F07088">
              <w:rPr>
                <w:rFonts w:cstheme="minorHAnsi"/>
                <w:lang w:val="en-GB"/>
              </w:rPr>
              <w:t xml:space="preserve">projects </w:t>
            </w:r>
            <w:r w:rsidR="008710F3">
              <w:rPr>
                <w:rFonts w:cstheme="minorHAnsi"/>
                <w:lang w:val="en-GB"/>
              </w:rPr>
              <w:t xml:space="preserve">and </w:t>
            </w:r>
            <w:r w:rsidR="00F07088">
              <w:rPr>
                <w:rFonts w:cstheme="minorHAnsi"/>
                <w:lang w:val="en-GB"/>
              </w:rPr>
              <w:t xml:space="preserve">new </w:t>
            </w:r>
            <w:r w:rsidR="008710F3">
              <w:rPr>
                <w:rFonts w:cstheme="minorHAnsi"/>
                <w:lang w:val="en-GB"/>
              </w:rPr>
              <w:t>opportunities</w:t>
            </w:r>
            <w:r w:rsidR="00F05557">
              <w:rPr>
                <w:rStyle w:val="FootnoteReference"/>
                <w:rFonts w:cstheme="minorHAnsi"/>
                <w:lang w:val="en-GB"/>
              </w:rPr>
              <w:footnoteReference w:id="18"/>
            </w:r>
          </w:p>
          <w:p w14:paraId="3F9A8E7F" w14:textId="21CE361B" w:rsidR="00F07088" w:rsidRDefault="00F07088" w:rsidP="000022D8">
            <w:pPr>
              <w:ind w:left="150"/>
              <w:cnfStyle w:val="000000000000" w:firstRow="0" w:lastRow="0" w:firstColumn="0" w:lastColumn="0" w:oddVBand="0" w:evenVBand="0" w:oddHBand="0" w:evenHBand="0" w:firstRowFirstColumn="0" w:firstRowLastColumn="0" w:lastRowFirstColumn="0" w:lastRowLastColumn="0"/>
              <w:rPr>
                <w:rFonts w:cstheme="minorHAnsi"/>
                <w:lang w:val="en-GB"/>
              </w:rPr>
            </w:pPr>
          </w:p>
          <w:p w14:paraId="7EFE80A6" w14:textId="3C32E65E" w:rsidR="00F07088" w:rsidRPr="002C18F7" w:rsidRDefault="00F07088" w:rsidP="00F07088">
            <w:pPr>
              <w:ind w:left="15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GB"/>
              </w:rPr>
              <w:t>Design strategy to implement (and test) LSA</w:t>
            </w:r>
          </w:p>
          <w:p w14:paraId="55F8372F" w14:textId="2A2B1B25" w:rsidR="00724352" w:rsidRPr="002C18F7" w:rsidRDefault="00724352" w:rsidP="000022D8">
            <w:pPr>
              <w:ind w:left="150"/>
              <w:cnfStyle w:val="000000000000" w:firstRow="0" w:lastRow="0" w:firstColumn="0" w:lastColumn="0" w:oddVBand="0" w:evenVBand="0" w:oddHBand="0" w:evenHBand="0" w:firstRowFirstColumn="0" w:firstRowLastColumn="0" w:lastRowFirstColumn="0" w:lastRowLastColumn="0"/>
              <w:rPr>
                <w:rFonts w:cstheme="minorHAnsi"/>
              </w:rPr>
            </w:pPr>
          </w:p>
        </w:tc>
        <w:tc>
          <w:tcPr>
            <w:tcW w:w="3260" w:type="dxa"/>
            <w:tcBorders>
              <w:top w:val="single" w:sz="4" w:space="0" w:color="auto"/>
              <w:left w:val="single" w:sz="4" w:space="0" w:color="auto"/>
              <w:bottom w:val="single" w:sz="4" w:space="0" w:color="auto"/>
              <w:right w:val="single" w:sz="4" w:space="0" w:color="auto"/>
            </w:tcBorders>
            <w:vAlign w:val="center"/>
          </w:tcPr>
          <w:p w14:paraId="31B7E706" w14:textId="7EF6C9AE" w:rsidR="00F07088" w:rsidRDefault="00307DEC" w:rsidP="00F0708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A</w:t>
            </w:r>
            <w:r w:rsidR="00F07088">
              <w:rPr>
                <w:rFonts w:cstheme="minorHAnsi"/>
                <w:lang w:val="en-GB"/>
              </w:rPr>
              <w:t xml:space="preserve">ssess two </w:t>
            </w:r>
            <w:r w:rsidR="00F05557">
              <w:rPr>
                <w:rFonts w:cstheme="minorHAnsi"/>
                <w:lang w:val="en-GB"/>
              </w:rPr>
              <w:t xml:space="preserve">ongoing </w:t>
            </w:r>
            <w:r w:rsidR="00F07088">
              <w:rPr>
                <w:rFonts w:cstheme="minorHAnsi"/>
                <w:lang w:val="en-GB"/>
              </w:rPr>
              <w:t>projects encompassing different variables (geography, social and economic aspects etc.)</w:t>
            </w:r>
          </w:p>
          <w:p w14:paraId="2E69E097" w14:textId="2AD92F94" w:rsidR="00804B24" w:rsidRPr="002C18F7" w:rsidRDefault="00F07088" w:rsidP="00F0708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GB"/>
              </w:rPr>
              <w:t>Design and define a business plan for each area considering LSA and its related regulations</w:t>
            </w:r>
          </w:p>
        </w:tc>
        <w:tc>
          <w:tcPr>
            <w:tcW w:w="2551" w:type="dxa"/>
            <w:tcBorders>
              <w:top w:val="single" w:sz="4" w:space="0" w:color="auto"/>
              <w:left w:val="single" w:sz="4" w:space="0" w:color="auto"/>
              <w:bottom w:val="single" w:sz="4" w:space="0" w:color="auto"/>
              <w:right w:val="single" w:sz="4" w:space="0" w:color="auto"/>
            </w:tcBorders>
            <w:vAlign w:val="center"/>
          </w:tcPr>
          <w:p w14:paraId="5B8E84D6" w14:textId="18CB1A3C" w:rsidR="00F07088" w:rsidRDefault="00F07088" w:rsidP="00F0708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Report on tested arrangements with lessons learnt for scaling up</w:t>
            </w:r>
            <w:r w:rsidR="00BE3A98">
              <w:rPr>
                <w:rFonts w:eastAsia="Calibri" w:cstheme="minorHAnsi"/>
                <w:lang w:val="en-GB"/>
              </w:rPr>
              <w:t xml:space="preserve"> in new project opportunities</w:t>
            </w:r>
          </w:p>
          <w:p w14:paraId="2ED9C484" w14:textId="2BE5764D" w:rsidR="00724352" w:rsidRPr="002C18F7" w:rsidRDefault="00F07088" w:rsidP="00F0708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lang w:val="en-GB"/>
              </w:rPr>
              <w:t>Business plans to support fundraising</w:t>
            </w:r>
            <w:r w:rsidR="00BE3A98">
              <w:rPr>
                <w:rFonts w:eastAsia="Calibri" w:cstheme="minorHAnsi"/>
                <w:lang w:val="en-GB"/>
              </w:rPr>
              <w:t xml:space="preserve"> within LSA scheme</w:t>
            </w:r>
          </w:p>
        </w:tc>
        <w:tc>
          <w:tcPr>
            <w:tcW w:w="1418" w:type="dxa"/>
            <w:tcBorders>
              <w:top w:val="single" w:sz="4" w:space="0" w:color="auto"/>
              <w:left w:val="single" w:sz="4" w:space="0" w:color="auto"/>
              <w:bottom w:val="single" w:sz="4" w:space="0" w:color="auto"/>
              <w:right w:val="single" w:sz="4" w:space="0" w:color="auto"/>
            </w:tcBorders>
            <w:vAlign w:val="center"/>
          </w:tcPr>
          <w:p w14:paraId="7354D69D" w14:textId="4AA0D95D" w:rsidR="00724352" w:rsidRPr="006E6942" w:rsidRDefault="00F07088" w:rsidP="000022D8">
            <w:pPr>
              <w:ind w:left="-108"/>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sidRPr="006E6942">
              <w:rPr>
                <w:rFonts w:eastAsia="Calibri" w:cstheme="minorHAnsi"/>
                <w:lang w:val="en-GB"/>
              </w:rPr>
              <w:t>18 months; during this project</w:t>
            </w:r>
          </w:p>
        </w:tc>
        <w:tc>
          <w:tcPr>
            <w:tcW w:w="2871" w:type="dxa"/>
            <w:tcBorders>
              <w:top w:val="single" w:sz="4" w:space="0" w:color="auto"/>
              <w:left w:val="single" w:sz="4" w:space="0" w:color="auto"/>
              <w:bottom w:val="single" w:sz="4" w:space="0" w:color="auto"/>
              <w:right w:val="single" w:sz="4" w:space="0" w:color="auto"/>
            </w:tcBorders>
            <w:vAlign w:val="center"/>
          </w:tcPr>
          <w:p w14:paraId="18BA3D00" w14:textId="70DD1884" w:rsidR="00724352" w:rsidRPr="006E6942" w:rsidRDefault="00724352" w:rsidP="00F07088">
            <w:pPr>
              <w:ind w:left="34"/>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sidRPr="006E6942">
              <w:rPr>
                <w:rFonts w:eastAsia="Calibri" w:cstheme="minorHAnsi"/>
                <w:lang w:val="en-GB"/>
              </w:rPr>
              <w:t>4. Technical and financial approaches to pilot sustainable productive systems at Apuí and RDS Juma</w:t>
            </w:r>
            <w:r w:rsidR="00BE3A98">
              <w:rPr>
                <w:rFonts w:eastAsia="Calibri" w:cstheme="minorHAnsi"/>
                <w:lang w:val="en-GB"/>
              </w:rPr>
              <w:t xml:space="preserve"> within LSA</w:t>
            </w:r>
          </w:p>
        </w:tc>
      </w:tr>
      <w:tr w:rsidR="00724352" w:rsidRPr="00B9166A" w14:paraId="67DC1E67" w14:textId="77777777" w:rsidTr="0000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vAlign w:val="center"/>
          </w:tcPr>
          <w:p w14:paraId="6DF5B6F2" w14:textId="79C39F02" w:rsidR="00724352" w:rsidRPr="00F07088" w:rsidRDefault="00F07088" w:rsidP="00F07088">
            <w:pPr>
              <w:ind w:left="0"/>
              <w:rPr>
                <w:rFonts w:cstheme="minorHAnsi"/>
                <w:b w:val="0"/>
                <w:lang w:val="en-GB"/>
              </w:rPr>
            </w:pPr>
            <w:r>
              <w:rPr>
                <w:rFonts w:cstheme="minorHAnsi"/>
                <w:b w:val="0"/>
                <w:lang w:val="en-GB"/>
              </w:rPr>
              <w:t>Fundraise additional resources for REDD+ and forest conservation</w:t>
            </w:r>
          </w:p>
        </w:tc>
        <w:tc>
          <w:tcPr>
            <w:tcW w:w="2835" w:type="dxa"/>
            <w:tcBorders>
              <w:top w:val="single" w:sz="4" w:space="0" w:color="auto"/>
              <w:left w:val="single" w:sz="4" w:space="0" w:color="auto"/>
              <w:bottom w:val="single" w:sz="4" w:space="0" w:color="auto"/>
              <w:right w:val="single" w:sz="4" w:space="0" w:color="auto"/>
            </w:tcBorders>
            <w:vAlign w:val="center"/>
          </w:tcPr>
          <w:p w14:paraId="3777C985" w14:textId="47BACC6B" w:rsidR="00F07088" w:rsidRPr="00F07088" w:rsidRDefault="00F07088" w:rsidP="000022D8">
            <w:pPr>
              <w:ind w:left="150"/>
              <w:cnfStyle w:val="000000100000" w:firstRow="0" w:lastRow="0" w:firstColumn="0" w:lastColumn="0" w:oddVBand="0" w:evenVBand="0" w:oddHBand="1" w:evenHBand="0" w:firstRowFirstColumn="0" w:firstRowLastColumn="0" w:lastRowFirstColumn="0" w:lastRowLastColumn="0"/>
              <w:rPr>
                <w:rFonts w:cstheme="minorHAnsi"/>
                <w:lang w:val="en-GB"/>
              </w:rPr>
            </w:pPr>
            <w:r w:rsidRPr="00F07088">
              <w:rPr>
                <w:rFonts w:cstheme="minorHAnsi"/>
                <w:lang w:val="en-GB"/>
              </w:rPr>
              <w:t>Map and approach potential funders and dono</w:t>
            </w:r>
            <w:r w:rsidR="00234E9A">
              <w:rPr>
                <w:rFonts w:cstheme="minorHAnsi"/>
                <w:lang w:val="en-GB"/>
              </w:rPr>
              <w:t>r</w:t>
            </w:r>
            <w:r w:rsidRPr="00F07088">
              <w:rPr>
                <w:rFonts w:cstheme="minorHAnsi"/>
                <w:lang w:val="en-GB"/>
              </w:rPr>
              <w:t>s</w:t>
            </w:r>
          </w:p>
          <w:p w14:paraId="74D869FC" w14:textId="178723EF" w:rsidR="00F07088" w:rsidRDefault="00F07088" w:rsidP="000022D8">
            <w:pPr>
              <w:ind w:left="150"/>
              <w:cnfStyle w:val="000000100000" w:firstRow="0" w:lastRow="0" w:firstColumn="0" w:lastColumn="0" w:oddVBand="0" w:evenVBand="0" w:oddHBand="1" w:evenHBand="0" w:firstRowFirstColumn="0" w:firstRowLastColumn="0" w:lastRowFirstColumn="0" w:lastRowLastColumn="0"/>
              <w:rPr>
                <w:rFonts w:cstheme="minorHAnsi"/>
                <w:lang w:val="en-GB"/>
              </w:rPr>
            </w:pPr>
          </w:p>
          <w:p w14:paraId="0678651E" w14:textId="36B1F18F" w:rsidR="00724352" w:rsidRPr="00F07088" w:rsidRDefault="00F07088" w:rsidP="00F07088">
            <w:pPr>
              <w:ind w:left="150"/>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Organise events, workshops and liaison meetings for fundraising</w:t>
            </w:r>
          </w:p>
        </w:tc>
        <w:tc>
          <w:tcPr>
            <w:tcW w:w="3260" w:type="dxa"/>
            <w:tcBorders>
              <w:top w:val="single" w:sz="4" w:space="0" w:color="auto"/>
              <w:left w:val="single" w:sz="4" w:space="0" w:color="auto"/>
              <w:bottom w:val="single" w:sz="4" w:space="0" w:color="auto"/>
              <w:right w:val="single" w:sz="4" w:space="0" w:color="auto"/>
            </w:tcBorders>
            <w:vAlign w:val="center"/>
          </w:tcPr>
          <w:p w14:paraId="476BC9A8" w14:textId="0833D907" w:rsidR="00234E9A" w:rsidRPr="00234E9A" w:rsidRDefault="00234E9A" w:rsidP="00234E9A">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234E9A">
              <w:rPr>
                <w:rFonts w:cstheme="minorHAnsi"/>
                <w:lang w:val="en-GB"/>
              </w:rPr>
              <w:t>Identify major stakeholders (supporters, funders, donors) for REDD+ and forest conservation</w:t>
            </w:r>
            <w:r w:rsidR="002D3E2F">
              <w:rPr>
                <w:rFonts w:cstheme="minorHAnsi"/>
                <w:lang w:val="en-GB"/>
              </w:rPr>
              <w:t>, considering prior efforts from project’s partners</w:t>
            </w:r>
          </w:p>
          <w:p w14:paraId="112BE20E" w14:textId="251019DF" w:rsidR="00234E9A" w:rsidRDefault="00247F77" w:rsidP="00234E9A">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Design strategy to approach each one – seeking for </w:t>
            </w:r>
            <w:r>
              <w:rPr>
                <w:rFonts w:cstheme="minorHAnsi"/>
                <w:lang w:val="en-GB"/>
              </w:rPr>
              <w:lastRenderedPageBreak/>
              <w:t>opportunities and connections</w:t>
            </w:r>
          </w:p>
          <w:p w14:paraId="75BD5594" w14:textId="5D8B9B26" w:rsidR="00247F77" w:rsidRDefault="00247F77" w:rsidP="00234E9A">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Organise specific events for donors and funders</w:t>
            </w:r>
          </w:p>
          <w:p w14:paraId="53CBE579" w14:textId="4FA9CD07" w:rsidR="00803123" w:rsidRPr="00437D51" w:rsidRDefault="00247F77" w:rsidP="00437D5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Attend to events, seminars and conferences to engage with potential supporters</w:t>
            </w:r>
          </w:p>
        </w:tc>
        <w:tc>
          <w:tcPr>
            <w:tcW w:w="2551" w:type="dxa"/>
            <w:tcBorders>
              <w:top w:val="single" w:sz="4" w:space="0" w:color="auto"/>
              <w:left w:val="single" w:sz="4" w:space="0" w:color="auto"/>
              <w:bottom w:val="single" w:sz="4" w:space="0" w:color="auto"/>
              <w:right w:val="single" w:sz="4" w:space="0" w:color="auto"/>
            </w:tcBorders>
            <w:vAlign w:val="center"/>
          </w:tcPr>
          <w:p w14:paraId="256E498A" w14:textId="1F9E5FEF" w:rsidR="00247F77" w:rsidRDefault="00247F77" w:rsidP="00247F77">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Pr>
                <w:rFonts w:eastAsia="Calibri" w:cstheme="minorHAnsi"/>
                <w:lang w:val="en-GB"/>
              </w:rPr>
              <w:lastRenderedPageBreak/>
              <w:t>Report on the fundraising strategy</w:t>
            </w:r>
          </w:p>
          <w:p w14:paraId="19D325A6" w14:textId="34CF201C" w:rsidR="00247F77" w:rsidRDefault="00247F77" w:rsidP="00247F77">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Pr>
                <w:rFonts w:eastAsia="Calibri" w:cstheme="minorHAnsi"/>
                <w:lang w:val="en-GB"/>
              </w:rPr>
              <w:t>Minute of events, seminars, conferences and meetings</w:t>
            </w:r>
          </w:p>
          <w:p w14:paraId="502F27ED" w14:textId="6971E6E8" w:rsidR="00724352" w:rsidRPr="002C18F7" w:rsidRDefault="00247F77" w:rsidP="00247F77">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lang w:val="en-GB"/>
              </w:rPr>
              <w:t>Approach five (5) potential supporters (donors, funders, investors etc.)</w:t>
            </w:r>
          </w:p>
        </w:tc>
        <w:tc>
          <w:tcPr>
            <w:tcW w:w="1418" w:type="dxa"/>
            <w:tcBorders>
              <w:top w:val="single" w:sz="4" w:space="0" w:color="auto"/>
              <w:left w:val="single" w:sz="4" w:space="0" w:color="auto"/>
              <w:bottom w:val="single" w:sz="4" w:space="0" w:color="auto"/>
              <w:right w:val="single" w:sz="4" w:space="0" w:color="auto"/>
            </w:tcBorders>
            <w:vAlign w:val="center"/>
          </w:tcPr>
          <w:p w14:paraId="3C1B8830" w14:textId="2B439604" w:rsidR="00724352" w:rsidRPr="006E6942" w:rsidRDefault="00247F77" w:rsidP="000022D8">
            <w:pPr>
              <w:ind w:left="-108"/>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6E6942">
              <w:rPr>
                <w:rFonts w:eastAsia="Calibri" w:cstheme="minorHAnsi"/>
                <w:lang w:val="en-GB"/>
              </w:rPr>
              <w:t>18 months; during this project</w:t>
            </w:r>
          </w:p>
        </w:tc>
        <w:tc>
          <w:tcPr>
            <w:tcW w:w="2871" w:type="dxa"/>
            <w:tcBorders>
              <w:top w:val="single" w:sz="4" w:space="0" w:color="auto"/>
              <w:left w:val="single" w:sz="4" w:space="0" w:color="auto"/>
              <w:bottom w:val="single" w:sz="4" w:space="0" w:color="auto"/>
              <w:right w:val="single" w:sz="4" w:space="0" w:color="auto"/>
            </w:tcBorders>
            <w:vAlign w:val="center"/>
          </w:tcPr>
          <w:p w14:paraId="07447228" w14:textId="4FC33701" w:rsidR="00724352" w:rsidRPr="006E6942" w:rsidRDefault="00724352" w:rsidP="00247F77">
            <w:pPr>
              <w:ind w:left="34"/>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6E6942">
              <w:rPr>
                <w:rFonts w:eastAsia="Calibri" w:cstheme="minorHAnsi"/>
                <w:lang w:val="en-GB"/>
              </w:rPr>
              <w:t>5. Fundraising for REDD+ and forest conservation in Amazonas</w:t>
            </w:r>
          </w:p>
        </w:tc>
      </w:tr>
      <w:tr w:rsidR="00D36D49" w:rsidRPr="007B13B0" w14:paraId="3AE888A4" w14:textId="77777777" w:rsidTr="000022D8">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vAlign w:val="center"/>
          </w:tcPr>
          <w:p w14:paraId="46F54542" w14:textId="77777777" w:rsidR="00D36D49" w:rsidRDefault="00D36D49" w:rsidP="00F07088">
            <w:pPr>
              <w:rPr>
                <w:rFonts w:cstheme="minorHAnsi"/>
                <w:b w:val="0"/>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4A6ECAB2" w14:textId="18A678AE" w:rsidR="00D36D49" w:rsidRPr="00F07088" w:rsidRDefault="00300D93" w:rsidP="000022D8">
            <w:pPr>
              <w:ind w:left="150"/>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Assess project’s processes and goals with project’s partners</w:t>
            </w:r>
          </w:p>
        </w:tc>
        <w:tc>
          <w:tcPr>
            <w:tcW w:w="3260" w:type="dxa"/>
            <w:tcBorders>
              <w:top w:val="single" w:sz="4" w:space="0" w:color="auto"/>
              <w:left w:val="single" w:sz="4" w:space="0" w:color="auto"/>
              <w:bottom w:val="single" w:sz="4" w:space="0" w:color="auto"/>
              <w:right w:val="single" w:sz="4" w:space="0" w:color="auto"/>
            </w:tcBorders>
            <w:vAlign w:val="center"/>
          </w:tcPr>
          <w:p w14:paraId="1762E0B7" w14:textId="1E34FD3C" w:rsidR="00D36D49" w:rsidRPr="00234E9A" w:rsidRDefault="00D36D49" w:rsidP="00D36D4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ascii="Calibri" w:eastAsia="Times New Roman" w:hAnsi="Calibri" w:cs="Calibri"/>
                <w:color w:val="000000"/>
                <w:lang w:val="en-GB" w:eastAsia="pt-BR"/>
              </w:rPr>
              <w:t>Evaluate and assess project’s goals and processes</w:t>
            </w:r>
          </w:p>
        </w:tc>
        <w:tc>
          <w:tcPr>
            <w:tcW w:w="2551" w:type="dxa"/>
            <w:tcBorders>
              <w:top w:val="single" w:sz="4" w:space="0" w:color="auto"/>
              <w:left w:val="single" w:sz="4" w:space="0" w:color="auto"/>
              <w:bottom w:val="single" w:sz="4" w:space="0" w:color="auto"/>
              <w:right w:val="single" w:sz="4" w:space="0" w:color="auto"/>
            </w:tcBorders>
            <w:vAlign w:val="center"/>
          </w:tcPr>
          <w:p w14:paraId="47537BFC" w14:textId="3367FCF3" w:rsidR="00D36D49" w:rsidRDefault="00300D93" w:rsidP="00D36D4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Report on project’s evaluation</w:t>
            </w:r>
          </w:p>
        </w:tc>
        <w:tc>
          <w:tcPr>
            <w:tcW w:w="1418" w:type="dxa"/>
            <w:tcBorders>
              <w:top w:val="single" w:sz="4" w:space="0" w:color="auto"/>
              <w:left w:val="single" w:sz="4" w:space="0" w:color="auto"/>
              <w:bottom w:val="single" w:sz="4" w:space="0" w:color="auto"/>
              <w:right w:val="single" w:sz="4" w:space="0" w:color="auto"/>
            </w:tcBorders>
            <w:vAlign w:val="center"/>
          </w:tcPr>
          <w:p w14:paraId="68C85287" w14:textId="36C03F25" w:rsidR="00D36D49" w:rsidRPr="006E6942" w:rsidRDefault="00300D93" w:rsidP="000022D8">
            <w:pPr>
              <w:ind w:left="-108"/>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3 months</w:t>
            </w:r>
          </w:p>
        </w:tc>
        <w:tc>
          <w:tcPr>
            <w:tcW w:w="2871" w:type="dxa"/>
            <w:tcBorders>
              <w:top w:val="single" w:sz="4" w:space="0" w:color="auto"/>
              <w:left w:val="single" w:sz="4" w:space="0" w:color="auto"/>
              <w:bottom w:val="single" w:sz="4" w:space="0" w:color="auto"/>
              <w:right w:val="single" w:sz="4" w:space="0" w:color="auto"/>
            </w:tcBorders>
            <w:vAlign w:val="center"/>
          </w:tcPr>
          <w:p w14:paraId="6812F908" w14:textId="5E357080" w:rsidR="00D36D49" w:rsidRPr="006E6942" w:rsidRDefault="00300D93" w:rsidP="00247F77">
            <w:pPr>
              <w:ind w:left="34"/>
              <w:cnfStyle w:val="000000000000" w:firstRow="0" w:lastRow="0" w:firstColumn="0" w:lastColumn="0" w:oddVBand="0" w:evenVBand="0" w:oddHBand="0" w:evenHBand="0" w:firstRowFirstColumn="0" w:firstRowLastColumn="0" w:lastRowFirstColumn="0" w:lastRowLastColumn="0"/>
              <w:rPr>
                <w:rFonts w:eastAsia="Calibri" w:cstheme="minorHAnsi"/>
                <w:lang w:val="en-GB"/>
              </w:rPr>
            </w:pPr>
            <w:r>
              <w:rPr>
                <w:rFonts w:eastAsia="Calibri" w:cstheme="minorHAnsi"/>
                <w:lang w:val="en-GB"/>
              </w:rPr>
              <w:t>6. Independent evaluation</w:t>
            </w:r>
          </w:p>
        </w:tc>
      </w:tr>
    </w:tbl>
    <w:p w14:paraId="3D3C4858" w14:textId="2E69A73F" w:rsidR="00557AA4" w:rsidRPr="00272D5C" w:rsidRDefault="00557AA4" w:rsidP="007F28CF">
      <w:pPr>
        <w:pStyle w:val="Normal1"/>
        <w:jc w:val="both"/>
        <w:rPr>
          <w:sz w:val="21"/>
          <w:szCs w:val="21"/>
          <w:lang w:val="en-GB"/>
        </w:rPr>
      </w:pPr>
      <w:r w:rsidRPr="00272D5C">
        <w:rPr>
          <w:sz w:val="21"/>
          <w:szCs w:val="21"/>
          <w:lang w:val="en-GB"/>
        </w:rPr>
        <w:t xml:space="preserve"> </w:t>
      </w:r>
    </w:p>
    <w:p w14:paraId="63678C52" w14:textId="5E5EA30E" w:rsidR="00E47542" w:rsidRDefault="00E47542" w:rsidP="007F28CF">
      <w:pPr>
        <w:pStyle w:val="Heading2"/>
        <w:jc w:val="both"/>
        <w:rPr>
          <w:lang w:val="en-GB"/>
        </w:rPr>
      </w:pPr>
      <w:bookmarkStart w:id="11" w:name="_Toc517617417"/>
      <w:r w:rsidRPr="00272D5C">
        <w:rPr>
          <w:lang w:val="en-GB"/>
        </w:rPr>
        <w:t>1.6. Implementation plan and Timeframe</w:t>
      </w:r>
      <w:bookmarkEnd w:id="11"/>
    </w:p>
    <w:tbl>
      <w:tblPr>
        <w:tblW w:w="1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4458"/>
        <w:gridCol w:w="2700"/>
        <w:gridCol w:w="379"/>
        <w:gridCol w:w="379"/>
        <w:gridCol w:w="379"/>
        <w:gridCol w:w="379"/>
        <w:gridCol w:w="379"/>
        <w:gridCol w:w="379"/>
      </w:tblGrid>
      <w:tr w:rsidR="00F02A36" w:rsidRPr="00300D93" w14:paraId="2C9AB57E" w14:textId="77777777" w:rsidTr="000C49CE">
        <w:trPr>
          <w:trHeight w:val="20"/>
          <w:jc w:val="center"/>
        </w:trPr>
        <w:tc>
          <w:tcPr>
            <w:tcW w:w="4962" w:type="dxa"/>
            <w:shd w:val="clear" w:color="auto" w:fill="auto"/>
            <w:noWrap/>
            <w:vAlign w:val="bottom"/>
            <w:hideMark/>
          </w:tcPr>
          <w:p w14:paraId="11A7D7C1" w14:textId="77777777" w:rsidR="00F02A36" w:rsidRPr="00300D93" w:rsidRDefault="00F02A36" w:rsidP="00F02A36">
            <w:pPr>
              <w:spacing w:after="0" w:line="240" w:lineRule="auto"/>
              <w:rPr>
                <w:rFonts w:ascii="Times New Roman" w:eastAsia="Times New Roman" w:hAnsi="Times New Roman" w:cs="Times New Roman"/>
                <w:sz w:val="24"/>
                <w:szCs w:val="24"/>
                <w:lang w:val="en-GB" w:eastAsia="pt-BR"/>
              </w:rPr>
            </w:pPr>
          </w:p>
        </w:tc>
        <w:tc>
          <w:tcPr>
            <w:tcW w:w="4458" w:type="dxa"/>
            <w:shd w:val="clear" w:color="auto" w:fill="auto"/>
            <w:noWrap/>
            <w:vAlign w:val="bottom"/>
            <w:hideMark/>
          </w:tcPr>
          <w:p w14:paraId="6F0CC560" w14:textId="77777777" w:rsidR="00F02A36" w:rsidRPr="00300D93" w:rsidRDefault="00F02A36" w:rsidP="00F02A36">
            <w:pPr>
              <w:spacing w:after="0" w:line="240" w:lineRule="auto"/>
              <w:rPr>
                <w:rFonts w:ascii="Times New Roman" w:eastAsia="Times New Roman" w:hAnsi="Times New Roman" w:cs="Times New Roman"/>
                <w:sz w:val="20"/>
                <w:szCs w:val="20"/>
                <w:lang w:val="en-GB" w:eastAsia="pt-BR"/>
              </w:rPr>
            </w:pPr>
          </w:p>
        </w:tc>
        <w:tc>
          <w:tcPr>
            <w:tcW w:w="2700" w:type="dxa"/>
            <w:shd w:val="clear" w:color="auto" w:fill="auto"/>
            <w:noWrap/>
            <w:vAlign w:val="bottom"/>
            <w:hideMark/>
          </w:tcPr>
          <w:p w14:paraId="57FCF1E7" w14:textId="77777777" w:rsidR="00F02A36" w:rsidRPr="00300D93" w:rsidRDefault="00F02A36" w:rsidP="00F02A36">
            <w:pPr>
              <w:spacing w:after="0" w:line="240" w:lineRule="auto"/>
              <w:rPr>
                <w:rFonts w:ascii="Times New Roman" w:eastAsia="Times New Roman" w:hAnsi="Times New Roman" w:cs="Times New Roman"/>
                <w:sz w:val="20"/>
                <w:szCs w:val="20"/>
                <w:lang w:val="en-GB" w:eastAsia="pt-BR"/>
              </w:rPr>
            </w:pPr>
          </w:p>
        </w:tc>
        <w:tc>
          <w:tcPr>
            <w:tcW w:w="2274" w:type="dxa"/>
            <w:gridSpan w:val="6"/>
            <w:shd w:val="clear" w:color="auto" w:fill="00B0F0"/>
            <w:vAlign w:val="center"/>
            <w:hideMark/>
          </w:tcPr>
          <w:p w14:paraId="1DD918D7" w14:textId="77777777" w:rsidR="00F02A36" w:rsidRPr="00300D93" w:rsidRDefault="00F02A36" w:rsidP="00F02A36">
            <w:pPr>
              <w:spacing w:after="0" w:line="240" w:lineRule="auto"/>
              <w:jc w:val="center"/>
              <w:rPr>
                <w:rFonts w:ascii="Calibri" w:eastAsia="Times New Roman" w:hAnsi="Calibri" w:cs="Calibri"/>
                <w:b/>
                <w:bCs/>
                <w:color w:val="000000"/>
                <w:sz w:val="20"/>
                <w:szCs w:val="20"/>
                <w:lang w:val="en-GB" w:eastAsia="pt-BR"/>
              </w:rPr>
            </w:pPr>
            <w:r w:rsidRPr="00300D93">
              <w:rPr>
                <w:rFonts w:ascii="Calibri" w:eastAsia="Times New Roman" w:hAnsi="Calibri" w:cs="Calibri"/>
                <w:b/>
                <w:bCs/>
                <w:color w:val="000000"/>
                <w:sz w:val="20"/>
                <w:szCs w:val="20"/>
                <w:lang w:val="en-GB" w:eastAsia="pt-BR"/>
              </w:rPr>
              <w:t>Implementation schedule</w:t>
            </w:r>
          </w:p>
        </w:tc>
      </w:tr>
      <w:tr w:rsidR="00F02A36" w:rsidRPr="00F02A36" w14:paraId="28D68A72" w14:textId="77777777" w:rsidTr="000C49CE">
        <w:trPr>
          <w:trHeight w:val="20"/>
          <w:jc w:val="center"/>
        </w:trPr>
        <w:tc>
          <w:tcPr>
            <w:tcW w:w="4962" w:type="dxa"/>
            <w:shd w:val="clear" w:color="auto" w:fill="00B0F0"/>
            <w:vAlign w:val="center"/>
            <w:hideMark/>
          </w:tcPr>
          <w:p w14:paraId="46315DE4" w14:textId="77777777" w:rsidR="00F02A36" w:rsidRPr="00300D93" w:rsidRDefault="00F02A36" w:rsidP="00F02A36">
            <w:pPr>
              <w:spacing w:after="0" w:line="240" w:lineRule="auto"/>
              <w:jc w:val="center"/>
              <w:rPr>
                <w:rFonts w:ascii="Calibri" w:eastAsia="Times New Roman" w:hAnsi="Calibri" w:cs="Calibri"/>
                <w:b/>
                <w:bCs/>
                <w:color w:val="000000"/>
                <w:sz w:val="20"/>
                <w:szCs w:val="20"/>
                <w:lang w:val="en-GB" w:eastAsia="pt-BR"/>
              </w:rPr>
            </w:pPr>
            <w:r w:rsidRPr="00F02A36">
              <w:rPr>
                <w:rFonts w:ascii="Calibri" w:eastAsia="Times New Roman" w:hAnsi="Calibri" w:cs="Calibri"/>
                <w:b/>
                <w:bCs/>
                <w:color w:val="000000"/>
                <w:sz w:val="20"/>
                <w:szCs w:val="20"/>
                <w:lang w:val="en-GB" w:eastAsia="pt-BR"/>
              </w:rPr>
              <w:t>Expected results</w:t>
            </w:r>
          </w:p>
        </w:tc>
        <w:tc>
          <w:tcPr>
            <w:tcW w:w="4458" w:type="dxa"/>
            <w:shd w:val="clear" w:color="auto" w:fill="00B0F0"/>
            <w:vAlign w:val="center"/>
            <w:hideMark/>
          </w:tcPr>
          <w:p w14:paraId="6EEBD9BA" w14:textId="77777777" w:rsidR="00F02A36" w:rsidRPr="00300D93" w:rsidRDefault="00F02A36" w:rsidP="00F02A36">
            <w:pPr>
              <w:spacing w:after="0" w:line="240" w:lineRule="auto"/>
              <w:jc w:val="center"/>
              <w:rPr>
                <w:rFonts w:ascii="Calibri" w:eastAsia="Times New Roman" w:hAnsi="Calibri" w:cs="Calibri"/>
                <w:b/>
                <w:bCs/>
                <w:color w:val="000000"/>
                <w:sz w:val="20"/>
                <w:szCs w:val="20"/>
                <w:lang w:val="en-GB" w:eastAsia="pt-BR"/>
              </w:rPr>
            </w:pPr>
            <w:r w:rsidRPr="00F02A36">
              <w:rPr>
                <w:rFonts w:ascii="Calibri" w:eastAsia="Times New Roman" w:hAnsi="Calibri" w:cs="Calibri"/>
                <w:b/>
                <w:bCs/>
                <w:color w:val="000000"/>
                <w:sz w:val="20"/>
                <w:szCs w:val="20"/>
                <w:lang w:val="en-GB" w:eastAsia="pt-BR"/>
              </w:rPr>
              <w:t>Planned Activities</w:t>
            </w:r>
          </w:p>
        </w:tc>
        <w:tc>
          <w:tcPr>
            <w:tcW w:w="2700" w:type="dxa"/>
            <w:shd w:val="clear" w:color="auto" w:fill="00B0F0"/>
            <w:vAlign w:val="center"/>
            <w:hideMark/>
          </w:tcPr>
          <w:p w14:paraId="690CB5F8"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val="en-GB" w:eastAsia="pt-BR"/>
              </w:rPr>
              <w:t>Responsible (Govt or partners)</w:t>
            </w:r>
          </w:p>
        </w:tc>
        <w:tc>
          <w:tcPr>
            <w:tcW w:w="379" w:type="dxa"/>
            <w:shd w:val="clear" w:color="auto" w:fill="00B0F0"/>
            <w:vAlign w:val="center"/>
            <w:hideMark/>
          </w:tcPr>
          <w:p w14:paraId="27ADDF9C"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eastAsia="pt-BR"/>
              </w:rPr>
              <w:t>Q1</w:t>
            </w:r>
          </w:p>
        </w:tc>
        <w:tc>
          <w:tcPr>
            <w:tcW w:w="379" w:type="dxa"/>
            <w:shd w:val="clear" w:color="auto" w:fill="00B0F0"/>
            <w:vAlign w:val="center"/>
            <w:hideMark/>
          </w:tcPr>
          <w:p w14:paraId="54682875"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eastAsia="pt-BR"/>
              </w:rPr>
              <w:t>Q2</w:t>
            </w:r>
          </w:p>
        </w:tc>
        <w:tc>
          <w:tcPr>
            <w:tcW w:w="379" w:type="dxa"/>
            <w:shd w:val="clear" w:color="auto" w:fill="00B0F0"/>
            <w:vAlign w:val="center"/>
            <w:hideMark/>
          </w:tcPr>
          <w:p w14:paraId="3AE4E09A"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eastAsia="pt-BR"/>
              </w:rPr>
              <w:t>Q3</w:t>
            </w:r>
          </w:p>
        </w:tc>
        <w:tc>
          <w:tcPr>
            <w:tcW w:w="379" w:type="dxa"/>
            <w:shd w:val="clear" w:color="auto" w:fill="00B0F0"/>
            <w:vAlign w:val="center"/>
            <w:hideMark/>
          </w:tcPr>
          <w:p w14:paraId="79895473"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eastAsia="pt-BR"/>
              </w:rPr>
              <w:t>Q4</w:t>
            </w:r>
          </w:p>
        </w:tc>
        <w:tc>
          <w:tcPr>
            <w:tcW w:w="379" w:type="dxa"/>
            <w:shd w:val="clear" w:color="auto" w:fill="00B0F0"/>
            <w:vAlign w:val="center"/>
            <w:hideMark/>
          </w:tcPr>
          <w:p w14:paraId="2479BE2F"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eastAsia="pt-BR"/>
              </w:rPr>
              <w:t>Q5</w:t>
            </w:r>
          </w:p>
        </w:tc>
        <w:tc>
          <w:tcPr>
            <w:tcW w:w="379" w:type="dxa"/>
            <w:shd w:val="clear" w:color="auto" w:fill="00B0F0"/>
            <w:vAlign w:val="center"/>
            <w:hideMark/>
          </w:tcPr>
          <w:p w14:paraId="6D81D508" w14:textId="77777777" w:rsidR="00F02A36" w:rsidRPr="00F02A36" w:rsidRDefault="00F02A36" w:rsidP="00F02A36">
            <w:pPr>
              <w:spacing w:after="0" w:line="240" w:lineRule="auto"/>
              <w:jc w:val="center"/>
              <w:rPr>
                <w:rFonts w:ascii="Calibri" w:eastAsia="Times New Roman" w:hAnsi="Calibri" w:cs="Calibri"/>
                <w:b/>
                <w:bCs/>
                <w:color w:val="000000"/>
                <w:sz w:val="20"/>
                <w:szCs w:val="20"/>
                <w:lang w:eastAsia="pt-BR"/>
              </w:rPr>
            </w:pPr>
            <w:r w:rsidRPr="00F02A36">
              <w:rPr>
                <w:rFonts w:ascii="Calibri" w:eastAsia="Times New Roman" w:hAnsi="Calibri" w:cs="Calibri"/>
                <w:b/>
                <w:bCs/>
                <w:color w:val="000000"/>
                <w:sz w:val="20"/>
                <w:szCs w:val="20"/>
                <w:lang w:eastAsia="pt-BR"/>
              </w:rPr>
              <w:t>Q6</w:t>
            </w:r>
          </w:p>
        </w:tc>
      </w:tr>
      <w:tr w:rsidR="00F02A36" w:rsidRPr="00F02A36" w14:paraId="46B45D7B" w14:textId="77777777" w:rsidTr="000C49CE">
        <w:trPr>
          <w:trHeight w:val="20"/>
          <w:jc w:val="center"/>
        </w:trPr>
        <w:tc>
          <w:tcPr>
            <w:tcW w:w="4962" w:type="dxa"/>
            <w:vMerge w:val="restart"/>
            <w:shd w:val="clear" w:color="auto" w:fill="auto"/>
            <w:vAlign w:val="center"/>
            <w:hideMark/>
          </w:tcPr>
          <w:p w14:paraId="4989F8AD"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1. Approval of legal instruments for the State REDD+ Plan and the benefit sharing mechanism under the LSA</w:t>
            </w:r>
          </w:p>
        </w:tc>
        <w:tc>
          <w:tcPr>
            <w:tcW w:w="4458" w:type="dxa"/>
            <w:shd w:val="clear" w:color="auto" w:fill="auto"/>
            <w:vAlign w:val="center"/>
            <w:hideMark/>
          </w:tcPr>
          <w:p w14:paraId="4D15E6B4"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i.       Draft the decree</w:t>
            </w:r>
          </w:p>
        </w:tc>
        <w:tc>
          <w:tcPr>
            <w:tcW w:w="2700" w:type="dxa"/>
            <w:shd w:val="clear" w:color="auto" w:fill="auto"/>
            <w:vAlign w:val="center"/>
            <w:hideMark/>
          </w:tcPr>
          <w:p w14:paraId="5C4069C5"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2E26975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19899AB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F01F0D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188254EF"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5B0117F5"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5401089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7EEA6B66" w14:textId="77777777" w:rsidTr="000C49CE">
        <w:trPr>
          <w:trHeight w:val="20"/>
          <w:jc w:val="center"/>
        </w:trPr>
        <w:tc>
          <w:tcPr>
            <w:tcW w:w="4962" w:type="dxa"/>
            <w:vMerge/>
            <w:vAlign w:val="center"/>
            <w:hideMark/>
          </w:tcPr>
          <w:p w14:paraId="1073077C"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27F2E4AF"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       Present and discuss the draft version in public consultations, FAMC, specific meetings and workshops</w:t>
            </w:r>
          </w:p>
        </w:tc>
        <w:tc>
          <w:tcPr>
            <w:tcW w:w="2700" w:type="dxa"/>
            <w:shd w:val="clear" w:color="auto" w:fill="auto"/>
            <w:vAlign w:val="center"/>
            <w:hideMark/>
          </w:tcPr>
          <w:p w14:paraId="2C3BCFBD"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Govt</w:t>
            </w:r>
          </w:p>
        </w:tc>
        <w:tc>
          <w:tcPr>
            <w:tcW w:w="379" w:type="dxa"/>
            <w:shd w:val="clear" w:color="auto" w:fill="auto"/>
            <w:noWrap/>
            <w:vAlign w:val="bottom"/>
            <w:hideMark/>
          </w:tcPr>
          <w:p w14:paraId="0D9D480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65E1CBA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224E909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B0E09A3"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249473B4"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6E2790C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0C810803" w14:textId="77777777" w:rsidTr="000C49CE">
        <w:trPr>
          <w:trHeight w:val="20"/>
          <w:jc w:val="center"/>
        </w:trPr>
        <w:tc>
          <w:tcPr>
            <w:tcW w:w="4962" w:type="dxa"/>
            <w:vMerge/>
            <w:vAlign w:val="center"/>
            <w:hideMark/>
          </w:tcPr>
          <w:p w14:paraId="022715FB"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3082DD48"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iii.       Engage with the State House of Representatives to approve the decree</w:t>
            </w:r>
          </w:p>
        </w:tc>
        <w:tc>
          <w:tcPr>
            <w:tcW w:w="2700" w:type="dxa"/>
            <w:shd w:val="clear" w:color="auto" w:fill="auto"/>
            <w:vAlign w:val="center"/>
            <w:hideMark/>
          </w:tcPr>
          <w:p w14:paraId="276FD53F"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Govt</w:t>
            </w:r>
          </w:p>
        </w:tc>
        <w:tc>
          <w:tcPr>
            <w:tcW w:w="379" w:type="dxa"/>
            <w:shd w:val="clear" w:color="auto" w:fill="auto"/>
            <w:noWrap/>
            <w:vAlign w:val="bottom"/>
            <w:hideMark/>
          </w:tcPr>
          <w:p w14:paraId="0854A45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32303D0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7FA2C0B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21C8E22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2990E1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4BE885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31738911" w14:textId="77777777" w:rsidTr="000C49CE">
        <w:trPr>
          <w:trHeight w:val="20"/>
          <w:jc w:val="center"/>
        </w:trPr>
        <w:tc>
          <w:tcPr>
            <w:tcW w:w="4962" w:type="dxa"/>
            <w:vMerge w:val="restart"/>
            <w:shd w:val="clear" w:color="auto" w:fill="auto"/>
            <w:vAlign w:val="center"/>
            <w:hideMark/>
          </w:tcPr>
          <w:p w14:paraId="4D1D1A7B" w14:textId="2EC2D62E" w:rsidR="00F02A36" w:rsidRPr="00F02A36" w:rsidRDefault="00F02A36" w:rsidP="00E73C81">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2. Public consultations (including local communities</w:t>
            </w:r>
            <w:r w:rsidR="00B93A3A">
              <w:rPr>
                <w:rFonts w:ascii="Calibri" w:eastAsia="Times New Roman" w:hAnsi="Calibri" w:cs="Calibri"/>
                <w:color w:val="000000"/>
                <w:sz w:val="20"/>
                <w:szCs w:val="20"/>
                <w:lang w:val="en-GB" w:eastAsia="pt-BR"/>
              </w:rPr>
              <w:t>, indigenous groups, insuring gender balance</w:t>
            </w:r>
            <w:r w:rsidRPr="00F02A36">
              <w:rPr>
                <w:rFonts w:ascii="Calibri" w:eastAsia="Times New Roman" w:hAnsi="Calibri" w:cs="Calibri"/>
                <w:color w:val="000000"/>
                <w:sz w:val="20"/>
                <w:szCs w:val="20"/>
                <w:lang w:val="en-GB" w:eastAsia="pt-BR"/>
              </w:rPr>
              <w:t>) and safeguards workshops</w:t>
            </w:r>
          </w:p>
        </w:tc>
        <w:tc>
          <w:tcPr>
            <w:tcW w:w="4458" w:type="dxa"/>
            <w:shd w:val="clear" w:color="auto" w:fill="auto"/>
            <w:vAlign w:val="center"/>
            <w:hideMark/>
          </w:tcPr>
          <w:p w14:paraId="708DADC8" w14:textId="16C5128E"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 xml:space="preserve">i.       </w:t>
            </w:r>
            <w:r w:rsidR="00B93A3A" w:rsidRPr="000D6547">
              <w:rPr>
                <w:rFonts w:ascii="Calibri" w:eastAsia="Times New Roman" w:hAnsi="Calibri" w:cs="Calibri"/>
                <w:color w:val="000000"/>
                <w:sz w:val="20"/>
                <w:szCs w:val="20"/>
                <w:lang w:val="en-US" w:eastAsia="pt-BR"/>
              </w:rPr>
              <w:t>Design the strategy and the methodology of publ</w:t>
            </w:r>
            <w:r w:rsidR="00B93A3A">
              <w:rPr>
                <w:rFonts w:ascii="Calibri" w:eastAsia="Times New Roman" w:hAnsi="Calibri" w:cs="Calibri"/>
                <w:color w:val="000000"/>
                <w:sz w:val="20"/>
                <w:szCs w:val="20"/>
                <w:lang w:val="en-US" w:eastAsia="pt-BR"/>
              </w:rPr>
              <w:t xml:space="preserve">ic consultations and workshops as to ensure </w:t>
            </w:r>
            <w:r w:rsidR="00B93A3A" w:rsidRPr="000D6547">
              <w:rPr>
                <w:rFonts w:ascii="Calibri" w:eastAsia="Times New Roman" w:hAnsi="Calibri" w:cs="Calibri"/>
                <w:color w:val="000000"/>
                <w:sz w:val="20"/>
                <w:szCs w:val="20"/>
                <w:lang w:val="en-US" w:eastAsia="pt-BR"/>
              </w:rPr>
              <w:t xml:space="preserve">the participation of traditional and indigenous communities and gender </w:t>
            </w:r>
            <w:r w:rsidR="00B93A3A">
              <w:rPr>
                <w:rFonts w:ascii="Calibri" w:eastAsia="Times New Roman" w:hAnsi="Calibri" w:cs="Calibri"/>
                <w:color w:val="000000"/>
                <w:sz w:val="20"/>
                <w:szCs w:val="20"/>
                <w:lang w:val="en-US" w:eastAsia="pt-BR"/>
              </w:rPr>
              <w:t>balance</w:t>
            </w:r>
          </w:p>
        </w:tc>
        <w:tc>
          <w:tcPr>
            <w:tcW w:w="2700" w:type="dxa"/>
            <w:shd w:val="clear" w:color="auto" w:fill="auto"/>
            <w:vAlign w:val="center"/>
            <w:hideMark/>
          </w:tcPr>
          <w:p w14:paraId="0650CE57"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000000" w:fill="A9D08E"/>
            <w:noWrap/>
            <w:vAlign w:val="bottom"/>
            <w:hideMark/>
          </w:tcPr>
          <w:p w14:paraId="65089CA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166F4DC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47067B5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5EB79CF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450D8513"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32B6FF7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19C03CBB" w14:textId="77777777" w:rsidTr="000C49CE">
        <w:trPr>
          <w:trHeight w:val="20"/>
          <w:jc w:val="center"/>
        </w:trPr>
        <w:tc>
          <w:tcPr>
            <w:tcW w:w="4962" w:type="dxa"/>
            <w:vMerge/>
            <w:vAlign w:val="center"/>
            <w:hideMark/>
          </w:tcPr>
          <w:p w14:paraId="385E2F49"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1048E2C2"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       Draft a preliminary version for discussion based on others’ experiences and references</w:t>
            </w:r>
          </w:p>
        </w:tc>
        <w:tc>
          <w:tcPr>
            <w:tcW w:w="2700" w:type="dxa"/>
            <w:shd w:val="clear" w:color="auto" w:fill="auto"/>
            <w:vAlign w:val="center"/>
            <w:hideMark/>
          </w:tcPr>
          <w:p w14:paraId="572FDAC8"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000000" w:fill="A9D08E"/>
            <w:noWrap/>
            <w:vAlign w:val="bottom"/>
            <w:hideMark/>
          </w:tcPr>
          <w:p w14:paraId="61E90E3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4D3FCFF"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139D9D6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20AB447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656D715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32A25C6B"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534E30F5" w14:textId="77777777" w:rsidTr="000C49CE">
        <w:trPr>
          <w:trHeight w:val="20"/>
          <w:jc w:val="center"/>
        </w:trPr>
        <w:tc>
          <w:tcPr>
            <w:tcW w:w="4962" w:type="dxa"/>
            <w:vMerge/>
            <w:vAlign w:val="center"/>
            <w:hideMark/>
          </w:tcPr>
          <w:p w14:paraId="7EE68CD3"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6DB57203"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iii.       Organise workshops</w:t>
            </w:r>
          </w:p>
        </w:tc>
        <w:tc>
          <w:tcPr>
            <w:tcW w:w="2700" w:type="dxa"/>
            <w:shd w:val="clear" w:color="auto" w:fill="auto"/>
            <w:vAlign w:val="center"/>
            <w:hideMark/>
          </w:tcPr>
          <w:p w14:paraId="64E3C490"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10F8C2A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2510BB7"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6A3B2D0A"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7B3BD65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19B7FAF"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57E249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17322F03" w14:textId="77777777" w:rsidTr="000C49CE">
        <w:trPr>
          <w:trHeight w:val="20"/>
          <w:jc w:val="center"/>
        </w:trPr>
        <w:tc>
          <w:tcPr>
            <w:tcW w:w="4962" w:type="dxa"/>
            <w:vMerge/>
            <w:vAlign w:val="center"/>
            <w:hideMark/>
          </w:tcPr>
          <w:p w14:paraId="79B9161F"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4C928B69"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iv.       Revisit versions and update them with new inputs from public consultations</w:t>
            </w:r>
          </w:p>
        </w:tc>
        <w:tc>
          <w:tcPr>
            <w:tcW w:w="2700" w:type="dxa"/>
            <w:shd w:val="clear" w:color="auto" w:fill="auto"/>
            <w:vAlign w:val="center"/>
            <w:hideMark/>
          </w:tcPr>
          <w:p w14:paraId="2CFB2791"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3A29B92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6DB0A79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2D1B36CF"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81277F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790431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046AFB2A"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2C102DCA" w14:textId="77777777" w:rsidTr="000C49CE">
        <w:trPr>
          <w:trHeight w:val="20"/>
          <w:jc w:val="center"/>
        </w:trPr>
        <w:tc>
          <w:tcPr>
            <w:tcW w:w="4962" w:type="dxa"/>
            <w:vMerge/>
            <w:vAlign w:val="center"/>
            <w:hideMark/>
          </w:tcPr>
          <w:p w14:paraId="7B4234C4"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35EF49A0"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v.       Consolidate a version to be presented in official fora</w:t>
            </w:r>
          </w:p>
        </w:tc>
        <w:tc>
          <w:tcPr>
            <w:tcW w:w="2700" w:type="dxa"/>
            <w:shd w:val="clear" w:color="auto" w:fill="auto"/>
            <w:vAlign w:val="center"/>
            <w:hideMark/>
          </w:tcPr>
          <w:p w14:paraId="37E853DF"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66E6563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2D85A13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7A87A2A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40771C4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483F01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449F3DB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025A1765" w14:textId="77777777" w:rsidTr="000C49CE">
        <w:trPr>
          <w:trHeight w:val="20"/>
          <w:jc w:val="center"/>
        </w:trPr>
        <w:tc>
          <w:tcPr>
            <w:tcW w:w="4962" w:type="dxa"/>
            <w:vMerge/>
            <w:vAlign w:val="center"/>
            <w:hideMark/>
          </w:tcPr>
          <w:p w14:paraId="03B965B8"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7A7FF452"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vi.       Include reviewed within the decree to be approved</w:t>
            </w:r>
          </w:p>
        </w:tc>
        <w:tc>
          <w:tcPr>
            <w:tcW w:w="2700" w:type="dxa"/>
            <w:shd w:val="clear" w:color="auto" w:fill="auto"/>
            <w:vAlign w:val="center"/>
            <w:hideMark/>
          </w:tcPr>
          <w:p w14:paraId="19CCDBA3"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Govt</w:t>
            </w:r>
          </w:p>
        </w:tc>
        <w:tc>
          <w:tcPr>
            <w:tcW w:w="379" w:type="dxa"/>
            <w:shd w:val="clear" w:color="auto" w:fill="auto"/>
            <w:noWrap/>
            <w:vAlign w:val="bottom"/>
            <w:hideMark/>
          </w:tcPr>
          <w:p w14:paraId="6312BAC7"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609457D5"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35FA63AA"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61CE501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42E277D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051B460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1880496E" w14:textId="77777777" w:rsidTr="000C49CE">
        <w:trPr>
          <w:trHeight w:val="20"/>
          <w:jc w:val="center"/>
        </w:trPr>
        <w:tc>
          <w:tcPr>
            <w:tcW w:w="4962" w:type="dxa"/>
            <w:vMerge w:val="restart"/>
            <w:shd w:val="clear" w:color="auto" w:fill="auto"/>
            <w:vAlign w:val="center"/>
            <w:hideMark/>
          </w:tcPr>
          <w:p w14:paraId="55402E8B"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3. Technical design for REDD+ (baseline, MRV procedures, nesting with national accounting and registry)</w:t>
            </w:r>
          </w:p>
        </w:tc>
        <w:tc>
          <w:tcPr>
            <w:tcW w:w="4458" w:type="dxa"/>
            <w:shd w:val="clear" w:color="auto" w:fill="auto"/>
            <w:vAlign w:val="center"/>
            <w:hideMark/>
          </w:tcPr>
          <w:p w14:paraId="1A4674D3"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       Define technical assumptions and parameters (e.g., reference level, criteria &amp; balance of allocation)</w:t>
            </w:r>
          </w:p>
        </w:tc>
        <w:tc>
          <w:tcPr>
            <w:tcW w:w="2700" w:type="dxa"/>
            <w:shd w:val="clear" w:color="auto" w:fill="auto"/>
            <w:vAlign w:val="center"/>
            <w:hideMark/>
          </w:tcPr>
          <w:p w14:paraId="1BFC8378"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414C4AA4"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26D84A53"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52A8165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156DC653"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2F5E12E7"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707FCF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39F48BE6" w14:textId="77777777" w:rsidTr="000C49CE">
        <w:trPr>
          <w:trHeight w:val="20"/>
          <w:jc w:val="center"/>
        </w:trPr>
        <w:tc>
          <w:tcPr>
            <w:tcW w:w="4962" w:type="dxa"/>
            <w:vMerge/>
            <w:vAlign w:val="center"/>
            <w:hideMark/>
          </w:tcPr>
          <w:p w14:paraId="0C8DAF32"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3286C76A"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       Design MRV system integrated with ones already in place (PPCDAM, INPE etc)</w:t>
            </w:r>
          </w:p>
        </w:tc>
        <w:tc>
          <w:tcPr>
            <w:tcW w:w="2700" w:type="dxa"/>
            <w:shd w:val="clear" w:color="auto" w:fill="auto"/>
            <w:vAlign w:val="center"/>
            <w:hideMark/>
          </w:tcPr>
          <w:p w14:paraId="779CF476"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5B5B539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59A2CA74"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553DB4FB"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B54F027"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48DE26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123297C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4C443830" w14:textId="77777777" w:rsidTr="000C49CE">
        <w:trPr>
          <w:trHeight w:val="20"/>
          <w:jc w:val="center"/>
        </w:trPr>
        <w:tc>
          <w:tcPr>
            <w:tcW w:w="4962" w:type="dxa"/>
            <w:vMerge/>
            <w:vAlign w:val="center"/>
            <w:hideMark/>
          </w:tcPr>
          <w:p w14:paraId="75A7C6A6"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407CD52D"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iii.       Update and improve the REDD+ registry system</w:t>
            </w:r>
          </w:p>
        </w:tc>
        <w:tc>
          <w:tcPr>
            <w:tcW w:w="2700" w:type="dxa"/>
            <w:shd w:val="clear" w:color="auto" w:fill="auto"/>
            <w:vAlign w:val="center"/>
            <w:hideMark/>
          </w:tcPr>
          <w:p w14:paraId="100AF764"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0FC17B37"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0CA0B63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C7A14A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277DE0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B8DA0B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535A5A3A"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57C0E6FF" w14:textId="77777777" w:rsidTr="000C49CE">
        <w:trPr>
          <w:trHeight w:val="20"/>
          <w:jc w:val="center"/>
        </w:trPr>
        <w:tc>
          <w:tcPr>
            <w:tcW w:w="4962" w:type="dxa"/>
            <w:vMerge w:val="restart"/>
            <w:shd w:val="clear" w:color="auto" w:fill="auto"/>
            <w:vAlign w:val="center"/>
            <w:hideMark/>
          </w:tcPr>
          <w:p w14:paraId="702C7076"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4. Technical and financial approaches to pilot sustainable productive systems at Apuí and RDS Juma</w:t>
            </w:r>
          </w:p>
        </w:tc>
        <w:tc>
          <w:tcPr>
            <w:tcW w:w="4458" w:type="dxa"/>
            <w:shd w:val="clear" w:color="auto" w:fill="auto"/>
            <w:vAlign w:val="center"/>
            <w:hideMark/>
          </w:tcPr>
          <w:p w14:paraId="73E355B3" w14:textId="5CA417F6" w:rsidR="00F02A36" w:rsidRPr="00F02A36" w:rsidRDefault="00F02A36" w:rsidP="00307DEC">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 xml:space="preserve">i.       </w:t>
            </w:r>
            <w:r w:rsidR="00307DEC">
              <w:rPr>
                <w:rFonts w:ascii="Calibri" w:eastAsia="Times New Roman" w:hAnsi="Calibri" w:cs="Calibri"/>
                <w:color w:val="000000"/>
                <w:sz w:val="20"/>
                <w:szCs w:val="20"/>
                <w:lang w:val="en-GB" w:eastAsia="pt-BR"/>
              </w:rPr>
              <w:t>A</w:t>
            </w:r>
            <w:r w:rsidRPr="00F02A36">
              <w:rPr>
                <w:rFonts w:ascii="Calibri" w:eastAsia="Times New Roman" w:hAnsi="Calibri" w:cs="Calibri"/>
                <w:color w:val="000000"/>
                <w:sz w:val="20"/>
                <w:szCs w:val="20"/>
                <w:lang w:val="en-GB" w:eastAsia="pt-BR"/>
              </w:rPr>
              <w:t xml:space="preserve">ssess two </w:t>
            </w:r>
            <w:r w:rsidR="00307DEC">
              <w:rPr>
                <w:rFonts w:ascii="Calibri" w:eastAsia="Times New Roman" w:hAnsi="Calibri" w:cs="Calibri"/>
                <w:color w:val="000000"/>
                <w:sz w:val="20"/>
                <w:szCs w:val="20"/>
                <w:lang w:val="en-GB" w:eastAsia="pt-BR"/>
              </w:rPr>
              <w:t xml:space="preserve">ongoing </w:t>
            </w:r>
            <w:r w:rsidRPr="00F02A36">
              <w:rPr>
                <w:rFonts w:ascii="Calibri" w:eastAsia="Times New Roman" w:hAnsi="Calibri" w:cs="Calibri"/>
                <w:color w:val="000000"/>
                <w:sz w:val="20"/>
                <w:szCs w:val="20"/>
                <w:lang w:val="en-GB" w:eastAsia="pt-BR"/>
              </w:rPr>
              <w:t>projects encompassing different variables (geography, social and economic aspects etc.)</w:t>
            </w:r>
            <w:r w:rsidR="00087648">
              <w:rPr>
                <w:rFonts w:ascii="Calibri" w:eastAsia="Times New Roman" w:hAnsi="Calibri" w:cs="Calibri"/>
                <w:color w:val="000000"/>
                <w:sz w:val="20"/>
                <w:szCs w:val="20"/>
                <w:lang w:val="en-GB" w:eastAsia="pt-BR"/>
              </w:rPr>
              <w:t xml:space="preserve"> </w:t>
            </w:r>
            <w:r w:rsidR="00087648" w:rsidRPr="00087648">
              <w:rPr>
                <w:rFonts w:ascii="Calibri" w:eastAsia="Times New Roman" w:hAnsi="Calibri" w:cs="Calibri"/>
                <w:color w:val="000000"/>
                <w:sz w:val="20"/>
                <w:szCs w:val="20"/>
                <w:lang w:val="en-GB" w:eastAsia="pt-BR"/>
              </w:rPr>
              <w:t>within the LSA regulation under elaboration</w:t>
            </w:r>
          </w:p>
        </w:tc>
        <w:tc>
          <w:tcPr>
            <w:tcW w:w="2700" w:type="dxa"/>
            <w:shd w:val="clear" w:color="auto" w:fill="auto"/>
            <w:vAlign w:val="center"/>
            <w:hideMark/>
          </w:tcPr>
          <w:p w14:paraId="735BB786"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000000" w:fill="A9D08E"/>
            <w:noWrap/>
            <w:vAlign w:val="bottom"/>
            <w:hideMark/>
          </w:tcPr>
          <w:p w14:paraId="209C877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006B15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BCDEB7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75CDEE3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7837CB14"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F76B315"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664123AD" w14:textId="77777777" w:rsidTr="000C49CE">
        <w:trPr>
          <w:trHeight w:val="20"/>
          <w:jc w:val="center"/>
        </w:trPr>
        <w:tc>
          <w:tcPr>
            <w:tcW w:w="4962" w:type="dxa"/>
            <w:vMerge/>
            <w:vAlign w:val="center"/>
            <w:hideMark/>
          </w:tcPr>
          <w:p w14:paraId="1E6AB196"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7E2B7F03" w14:textId="4B1166B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 xml:space="preserve">ii.       Design and define a business plan </w:t>
            </w:r>
            <w:r w:rsidR="00B93A3A">
              <w:rPr>
                <w:rFonts w:ascii="Calibri" w:eastAsia="Times New Roman" w:hAnsi="Calibri" w:cs="Calibri"/>
                <w:color w:val="000000"/>
                <w:sz w:val="20"/>
                <w:szCs w:val="20"/>
                <w:lang w:val="en-GB" w:eastAsia="pt-BR"/>
              </w:rPr>
              <w:t xml:space="preserve">(or investment plan) </w:t>
            </w:r>
            <w:r w:rsidRPr="00F02A36">
              <w:rPr>
                <w:rFonts w:ascii="Calibri" w:eastAsia="Times New Roman" w:hAnsi="Calibri" w:cs="Calibri"/>
                <w:color w:val="000000"/>
                <w:sz w:val="20"/>
                <w:szCs w:val="20"/>
                <w:lang w:val="en-GB" w:eastAsia="pt-BR"/>
              </w:rPr>
              <w:t>for each area considering LSA and its related regulations</w:t>
            </w:r>
            <w:r w:rsidR="00EF66E3">
              <w:rPr>
                <w:rFonts w:ascii="Calibri" w:eastAsia="Times New Roman" w:hAnsi="Calibri" w:cs="Calibri"/>
                <w:color w:val="000000"/>
                <w:sz w:val="20"/>
                <w:szCs w:val="20"/>
                <w:lang w:val="en-GB" w:eastAsia="pt-BR"/>
              </w:rPr>
              <w:t xml:space="preserve"> as a proof of concept</w:t>
            </w:r>
          </w:p>
        </w:tc>
        <w:tc>
          <w:tcPr>
            <w:tcW w:w="2700" w:type="dxa"/>
            <w:shd w:val="clear" w:color="auto" w:fill="auto"/>
            <w:vAlign w:val="center"/>
            <w:hideMark/>
          </w:tcPr>
          <w:p w14:paraId="65B486C8"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59A387B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71994D64"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213AE91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6C0D099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B36F2A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1608AF7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755557B5" w14:textId="77777777" w:rsidTr="000C49CE">
        <w:trPr>
          <w:trHeight w:val="20"/>
          <w:jc w:val="center"/>
        </w:trPr>
        <w:tc>
          <w:tcPr>
            <w:tcW w:w="4962" w:type="dxa"/>
            <w:vMerge w:val="restart"/>
            <w:shd w:val="clear" w:color="auto" w:fill="auto"/>
            <w:vAlign w:val="center"/>
            <w:hideMark/>
          </w:tcPr>
          <w:p w14:paraId="6C0298CF" w14:textId="77777777" w:rsidR="00F02A36" w:rsidRPr="00F02A36" w:rsidRDefault="00F02A36" w:rsidP="00F02A36">
            <w:pPr>
              <w:spacing w:after="0" w:line="240" w:lineRule="auto"/>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5. Fundraising for REDD+ and forest conservation in Amazonas</w:t>
            </w:r>
          </w:p>
        </w:tc>
        <w:tc>
          <w:tcPr>
            <w:tcW w:w="4458" w:type="dxa"/>
            <w:shd w:val="clear" w:color="auto" w:fill="auto"/>
            <w:vAlign w:val="center"/>
            <w:hideMark/>
          </w:tcPr>
          <w:p w14:paraId="3AAD2BCB" w14:textId="0B322412" w:rsidR="00F02A36" w:rsidRPr="00F02A36" w:rsidRDefault="00F02A36" w:rsidP="00F02A36">
            <w:pPr>
              <w:spacing w:after="0" w:line="240" w:lineRule="auto"/>
              <w:ind w:firstLineChars="100" w:firstLine="200"/>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       Identify major stakeholders (supporters, funders, donors) for REDD+ and forest conservation</w:t>
            </w:r>
            <w:r w:rsidR="00DD2374" w:rsidRPr="00DD2374">
              <w:rPr>
                <w:rFonts w:ascii="Calibri" w:eastAsia="Times New Roman" w:hAnsi="Calibri" w:cs="Calibri"/>
                <w:color w:val="000000"/>
                <w:sz w:val="20"/>
                <w:szCs w:val="20"/>
                <w:lang w:val="en-GB" w:eastAsia="pt-BR"/>
              </w:rPr>
              <w:t>, considering prior efforts from project’s partners</w:t>
            </w:r>
          </w:p>
        </w:tc>
        <w:tc>
          <w:tcPr>
            <w:tcW w:w="2700" w:type="dxa"/>
            <w:shd w:val="clear" w:color="auto" w:fill="auto"/>
            <w:vAlign w:val="center"/>
            <w:hideMark/>
          </w:tcPr>
          <w:p w14:paraId="2075E87C"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000000" w:fill="A9D08E"/>
            <w:noWrap/>
            <w:vAlign w:val="bottom"/>
            <w:hideMark/>
          </w:tcPr>
          <w:p w14:paraId="66649970"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C5F46F6"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2E322D13"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55F8065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2718530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6B3542E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26EFCA45" w14:textId="77777777" w:rsidTr="000C49CE">
        <w:trPr>
          <w:trHeight w:val="20"/>
          <w:jc w:val="center"/>
        </w:trPr>
        <w:tc>
          <w:tcPr>
            <w:tcW w:w="4962" w:type="dxa"/>
            <w:vMerge/>
            <w:vAlign w:val="center"/>
            <w:hideMark/>
          </w:tcPr>
          <w:p w14:paraId="6612C43F"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78FF8AB6" w14:textId="77777777" w:rsidR="00F02A36" w:rsidRPr="00F02A36" w:rsidRDefault="00F02A36" w:rsidP="00F02A36">
            <w:pPr>
              <w:spacing w:after="0" w:line="240" w:lineRule="auto"/>
              <w:ind w:firstLineChars="100" w:firstLine="200"/>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       Design strategy to approach each one – seeking for opportunities and connections</w:t>
            </w:r>
          </w:p>
        </w:tc>
        <w:tc>
          <w:tcPr>
            <w:tcW w:w="2700" w:type="dxa"/>
            <w:shd w:val="clear" w:color="auto" w:fill="auto"/>
            <w:vAlign w:val="center"/>
            <w:hideMark/>
          </w:tcPr>
          <w:p w14:paraId="7E79628C"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11C68D9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0931E57F"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5A3DE93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1429BA8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1FE5A01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73A698B"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6F0760BC" w14:textId="77777777" w:rsidTr="000C49CE">
        <w:trPr>
          <w:trHeight w:val="20"/>
          <w:jc w:val="center"/>
        </w:trPr>
        <w:tc>
          <w:tcPr>
            <w:tcW w:w="4962" w:type="dxa"/>
            <w:vMerge/>
            <w:vAlign w:val="center"/>
            <w:hideMark/>
          </w:tcPr>
          <w:p w14:paraId="582F8B90"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3309ECA1" w14:textId="77777777" w:rsidR="00F02A36" w:rsidRPr="00F02A36" w:rsidRDefault="00F02A36" w:rsidP="00F02A36">
            <w:pPr>
              <w:spacing w:after="0" w:line="240" w:lineRule="auto"/>
              <w:ind w:firstLineChars="100" w:firstLine="200"/>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iii.       Organise specific events for donors and funders</w:t>
            </w:r>
          </w:p>
        </w:tc>
        <w:tc>
          <w:tcPr>
            <w:tcW w:w="2700" w:type="dxa"/>
            <w:shd w:val="clear" w:color="auto" w:fill="auto"/>
            <w:vAlign w:val="center"/>
            <w:hideMark/>
          </w:tcPr>
          <w:p w14:paraId="1EC7A3BF"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6BE1A642"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4AB423F1"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7BD3B907"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046E31A4"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auto" w:fill="auto"/>
            <w:noWrap/>
            <w:vAlign w:val="bottom"/>
            <w:hideMark/>
          </w:tcPr>
          <w:p w14:paraId="127309D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624E4058"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F02A36" w:rsidRPr="00F02A36" w14:paraId="78FB517C" w14:textId="77777777" w:rsidTr="000C49CE">
        <w:trPr>
          <w:trHeight w:val="20"/>
          <w:jc w:val="center"/>
        </w:trPr>
        <w:tc>
          <w:tcPr>
            <w:tcW w:w="4962" w:type="dxa"/>
            <w:vMerge/>
            <w:vAlign w:val="center"/>
            <w:hideMark/>
          </w:tcPr>
          <w:p w14:paraId="0916F44D"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p>
        </w:tc>
        <w:tc>
          <w:tcPr>
            <w:tcW w:w="4458" w:type="dxa"/>
            <w:shd w:val="clear" w:color="auto" w:fill="auto"/>
            <w:vAlign w:val="center"/>
            <w:hideMark/>
          </w:tcPr>
          <w:p w14:paraId="50A6E5F2" w14:textId="77777777" w:rsidR="00F02A36" w:rsidRPr="00F02A36" w:rsidRDefault="00F02A36" w:rsidP="00F02A36">
            <w:pPr>
              <w:spacing w:after="0" w:line="240" w:lineRule="auto"/>
              <w:ind w:firstLineChars="100" w:firstLine="200"/>
              <w:rPr>
                <w:rFonts w:ascii="Calibri" w:eastAsia="Times New Roman" w:hAnsi="Calibri" w:cs="Calibri"/>
                <w:color w:val="000000"/>
                <w:sz w:val="20"/>
                <w:szCs w:val="20"/>
                <w:lang w:val="en-GB" w:eastAsia="pt-BR"/>
              </w:rPr>
            </w:pPr>
            <w:r w:rsidRPr="00F02A36">
              <w:rPr>
                <w:rFonts w:ascii="Calibri" w:eastAsia="Times New Roman" w:hAnsi="Calibri" w:cs="Calibri"/>
                <w:color w:val="000000"/>
                <w:sz w:val="20"/>
                <w:szCs w:val="20"/>
                <w:lang w:val="en-GB" w:eastAsia="pt-BR"/>
              </w:rPr>
              <w:t>iv.       Attend to events, seminars and conferences to engage with potential supporters</w:t>
            </w:r>
          </w:p>
        </w:tc>
        <w:tc>
          <w:tcPr>
            <w:tcW w:w="2700" w:type="dxa"/>
            <w:shd w:val="clear" w:color="auto" w:fill="auto"/>
            <w:vAlign w:val="center"/>
            <w:hideMark/>
          </w:tcPr>
          <w:p w14:paraId="2DD042B1" w14:textId="77777777" w:rsidR="00F02A36" w:rsidRPr="00F02A36" w:rsidRDefault="00F02A36" w:rsidP="00F02A36">
            <w:pPr>
              <w:spacing w:after="0" w:line="240" w:lineRule="auto"/>
              <w:rPr>
                <w:rFonts w:ascii="Calibri" w:eastAsia="Times New Roman" w:hAnsi="Calibri" w:cs="Calibri"/>
                <w:color w:val="000000"/>
                <w:sz w:val="20"/>
                <w:szCs w:val="20"/>
                <w:lang w:eastAsia="pt-BR"/>
              </w:rPr>
            </w:pPr>
            <w:r w:rsidRPr="00F02A36">
              <w:rPr>
                <w:rFonts w:ascii="Calibri" w:eastAsia="Times New Roman" w:hAnsi="Calibri" w:cs="Calibri"/>
                <w:color w:val="000000"/>
                <w:sz w:val="20"/>
                <w:szCs w:val="20"/>
                <w:lang w:eastAsia="pt-BR"/>
              </w:rPr>
              <w:t>Partners</w:t>
            </w:r>
          </w:p>
        </w:tc>
        <w:tc>
          <w:tcPr>
            <w:tcW w:w="379" w:type="dxa"/>
            <w:shd w:val="clear" w:color="auto" w:fill="auto"/>
            <w:noWrap/>
            <w:vAlign w:val="bottom"/>
            <w:hideMark/>
          </w:tcPr>
          <w:p w14:paraId="299B489C"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53D4703"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5ADA1CB9"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7C8CCEDA"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40E885BE"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c>
          <w:tcPr>
            <w:tcW w:w="379" w:type="dxa"/>
            <w:shd w:val="clear" w:color="000000" w:fill="A9D08E"/>
            <w:noWrap/>
            <w:vAlign w:val="bottom"/>
            <w:hideMark/>
          </w:tcPr>
          <w:p w14:paraId="335FB04D" w14:textId="77777777" w:rsidR="00F02A36" w:rsidRPr="00F02A36" w:rsidRDefault="00F02A36" w:rsidP="00F02A36">
            <w:pPr>
              <w:spacing w:after="0" w:line="240" w:lineRule="auto"/>
              <w:rPr>
                <w:rFonts w:ascii="Calibri" w:eastAsia="Times New Roman" w:hAnsi="Calibri" w:cs="Calibri"/>
                <w:color w:val="000000"/>
                <w:sz w:val="24"/>
                <w:szCs w:val="24"/>
                <w:lang w:eastAsia="pt-BR"/>
              </w:rPr>
            </w:pPr>
            <w:r w:rsidRPr="00F02A36">
              <w:rPr>
                <w:rFonts w:ascii="Calibri" w:eastAsia="Times New Roman" w:hAnsi="Calibri" w:cs="Calibri"/>
                <w:color w:val="000000"/>
                <w:sz w:val="24"/>
                <w:szCs w:val="24"/>
                <w:lang w:eastAsia="pt-BR"/>
              </w:rPr>
              <w:t> </w:t>
            </w:r>
          </w:p>
        </w:tc>
      </w:tr>
      <w:tr w:rsidR="00437D51" w:rsidRPr="00437D51" w14:paraId="2B4DCD1F" w14:textId="77777777" w:rsidTr="000C49CE">
        <w:trPr>
          <w:trHeight w:val="20"/>
          <w:jc w:val="center"/>
        </w:trPr>
        <w:tc>
          <w:tcPr>
            <w:tcW w:w="4962" w:type="dxa"/>
            <w:vAlign w:val="center"/>
          </w:tcPr>
          <w:p w14:paraId="6107EE11" w14:textId="1448088A" w:rsidR="00437D51" w:rsidRPr="00437D51" w:rsidRDefault="00437D51" w:rsidP="00F02A36">
            <w:pPr>
              <w:spacing w:after="0" w:line="240" w:lineRule="auto"/>
              <w:rPr>
                <w:rFonts w:ascii="Calibri" w:eastAsia="Times New Roman" w:hAnsi="Calibri" w:cs="Calibri"/>
                <w:color w:val="000000"/>
                <w:sz w:val="20"/>
                <w:szCs w:val="20"/>
                <w:lang w:val="en-GB" w:eastAsia="pt-BR"/>
              </w:rPr>
            </w:pPr>
            <w:r w:rsidRPr="00437D51">
              <w:rPr>
                <w:rFonts w:ascii="Calibri" w:eastAsia="Times New Roman" w:hAnsi="Calibri" w:cs="Calibri"/>
                <w:color w:val="000000"/>
                <w:sz w:val="20"/>
                <w:szCs w:val="20"/>
                <w:lang w:val="en-GB" w:eastAsia="pt-BR"/>
              </w:rPr>
              <w:t xml:space="preserve">6. </w:t>
            </w:r>
            <w:r>
              <w:rPr>
                <w:rFonts w:ascii="Calibri" w:eastAsia="Times New Roman" w:hAnsi="Calibri" w:cs="Calibri"/>
                <w:color w:val="000000"/>
                <w:sz w:val="20"/>
                <w:szCs w:val="20"/>
                <w:lang w:val="en-GB" w:eastAsia="pt-BR"/>
              </w:rPr>
              <w:t>Independent evaluation</w:t>
            </w:r>
          </w:p>
        </w:tc>
        <w:tc>
          <w:tcPr>
            <w:tcW w:w="4458" w:type="dxa"/>
            <w:shd w:val="clear" w:color="auto" w:fill="auto"/>
            <w:vAlign w:val="center"/>
          </w:tcPr>
          <w:p w14:paraId="0844DCC5" w14:textId="1BFEF7E2" w:rsidR="00437D51" w:rsidRPr="00F02A36" w:rsidRDefault="00437D51" w:rsidP="00F02A36">
            <w:pPr>
              <w:spacing w:after="0" w:line="240" w:lineRule="auto"/>
              <w:ind w:firstLineChars="100" w:firstLine="200"/>
              <w:rPr>
                <w:rFonts w:ascii="Calibri" w:eastAsia="Times New Roman" w:hAnsi="Calibri" w:cs="Calibri"/>
                <w:color w:val="000000"/>
                <w:sz w:val="20"/>
                <w:szCs w:val="20"/>
                <w:lang w:val="en-GB" w:eastAsia="pt-BR"/>
              </w:rPr>
            </w:pPr>
            <w:r>
              <w:rPr>
                <w:rFonts w:ascii="Calibri" w:eastAsia="Times New Roman" w:hAnsi="Calibri" w:cs="Calibri"/>
                <w:color w:val="000000"/>
                <w:sz w:val="20"/>
                <w:szCs w:val="20"/>
                <w:lang w:val="en-GB" w:eastAsia="pt-BR"/>
              </w:rPr>
              <w:t xml:space="preserve">i. evaluate and assess project’s goals and </w:t>
            </w:r>
            <w:r w:rsidR="00D36D49">
              <w:rPr>
                <w:rFonts w:ascii="Calibri" w:eastAsia="Times New Roman" w:hAnsi="Calibri" w:cs="Calibri"/>
                <w:color w:val="000000"/>
                <w:sz w:val="20"/>
                <w:szCs w:val="20"/>
                <w:lang w:val="en-GB" w:eastAsia="pt-BR"/>
              </w:rPr>
              <w:t>processes</w:t>
            </w:r>
          </w:p>
        </w:tc>
        <w:tc>
          <w:tcPr>
            <w:tcW w:w="2700" w:type="dxa"/>
            <w:shd w:val="clear" w:color="auto" w:fill="auto"/>
            <w:vAlign w:val="center"/>
          </w:tcPr>
          <w:p w14:paraId="54D615D5" w14:textId="1CDA4393" w:rsidR="00437D51" w:rsidRPr="00437D51" w:rsidRDefault="00437D51" w:rsidP="00F02A36">
            <w:pPr>
              <w:spacing w:after="0" w:line="240" w:lineRule="auto"/>
              <w:rPr>
                <w:rFonts w:ascii="Calibri" w:eastAsia="Times New Roman" w:hAnsi="Calibri" w:cs="Calibri"/>
                <w:color w:val="000000"/>
                <w:sz w:val="20"/>
                <w:szCs w:val="20"/>
                <w:lang w:val="en-GB" w:eastAsia="pt-BR"/>
              </w:rPr>
            </w:pPr>
            <w:r>
              <w:rPr>
                <w:rFonts w:ascii="Calibri" w:eastAsia="Times New Roman" w:hAnsi="Calibri" w:cs="Calibri"/>
                <w:color w:val="000000"/>
                <w:sz w:val="20"/>
                <w:szCs w:val="20"/>
                <w:lang w:val="en-GB" w:eastAsia="pt-BR"/>
              </w:rPr>
              <w:t>Partners</w:t>
            </w:r>
          </w:p>
        </w:tc>
        <w:tc>
          <w:tcPr>
            <w:tcW w:w="379" w:type="dxa"/>
            <w:shd w:val="clear" w:color="auto" w:fill="auto"/>
            <w:noWrap/>
            <w:vAlign w:val="bottom"/>
          </w:tcPr>
          <w:p w14:paraId="341062EC" w14:textId="77777777" w:rsidR="00437D51" w:rsidRPr="00437D51" w:rsidRDefault="00437D51" w:rsidP="00F02A36">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73AFC9B4" w14:textId="77777777" w:rsidR="00437D51" w:rsidRPr="00437D51" w:rsidRDefault="00437D51" w:rsidP="00F02A36">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39D9F3A7" w14:textId="77777777" w:rsidR="00437D51" w:rsidRPr="00437D51" w:rsidRDefault="00437D51" w:rsidP="00F02A36">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796531D8" w14:textId="77777777" w:rsidR="00437D51" w:rsidRPr="00437D51" w:rsidRDefault="00437D51" w:rsidP="00F02A36">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3A36260D" w14:textId="77777777" w:rsidR="00437D51" w:rsidRPr="00437D51" w:rsidRDefault="00437D51" w:rsidP="00F02A36">
            <w:pPr>
              <w:spacing w:after="0" w:line="240" w:lineRule="auto"/>
              <w:rPr>
                <w:rFonts w:ascii="Calibri" w:eastAsia="Times New Roman" w:hAnsi="Calibri" w:cs="Calibri"/>
                <w:color w:val="000000"/>
                <w:sz w:val="24"/>
                <w:szCs w:val="24"/>
                <w:lang w:val="en-GB" w:eastAsia="pt-BR"/>
              </w:rPr>
            </w:pPr>
          </w:p>
        </w:tc>
        <w:tc>
          <w:tcPr>
            <w:tcW w:w="379" w:type="dxa"/>
            <w:shd w:val="clear" w:color="000000" w:fill="A9D08E"/>
            <w:noWrap/>
            <w:vAlign w:val="bottom"/>
          </w:tcPr>
          <w:p w14:paraId="4A5EA0DB" w14:textId="77777777" w:rsidR="00437D51" w:rsidRPr="00437D51" w:rsidRDefault="00437D51" w:rsidP="00F02A36">
            <w:pPr>
              <w:spacing w:after="0" w:line="240" w:lineRule="auto"/>
              <w:rPr>
                <w:rFonts w:ascii="Calibri" w:eastAsia="Times New Roman" w:hAnsi="Calibri" w:cs="Calibri"/>
                <w:color w:val="000000"/>
                <w:sz w:val="24"/>
                <w:szCs w:val="24"/>
                <w:lang w:val="en-GB" w:eastAsia="pt-BR"/>
              </w:rPr>
            </w:pPr>
          </w:p>
        </w:tc>
      </w:tr>
      <w:tr w:rsidR="00525129" w:rsidRPr="00525129" w14:paraId="694FE404" w14:textId="77777777" w:rsidTr="000C49CE">
        <w:trPr>
          <w:trHeight w:val="20"/>
          <w:jc w:val="center"/>
        </w:trPr>
        <w:tc>
          <w:tcPr>
            <w:tcW w:w="4962" w:type="dxa"/>
            <w:vAlign w:val="center"/>
          </w:tcPr>
          <w:p w14:paraId="1B1135AA" w14:textId="5AF6C3A3" w:rsidR="00525129" w:rsidRPr="00437D51" w:rsidRDefault="00525129" w:rsidP="00525129">
            <w:pPr>
              <w:spacing w:after="0" w:line="240" w:lineRule="auto"/>
              <w:rPr>
                <w:rFonts w:ascii="Calibri" w:eastAsia="Times New Roman" w:hAnsi="Calibri" w:cs="Calibri"/>
                <w:color w:val="000000"/>
                <w:sz w:val="20"/>
                <w:szCs w:val="20"/>
                <w:lang w:val="en-GB" w:eastAsia="pt-BR"/>
              </w:rPr>
            </w:pPr>
            <w:r>
              <w:rPr>
                <w:rFonts w:ascii="Calibri" w:eastAsia="Times New Roman" w:hAnsi="Calibri" w:cs="Calibri"/>
                <w:color w:val="000000"/>
                <w:sz w:val="20"/>
                <w:szCs w:val="20"/>
                <w:lang w:val="en-GB" w:eastAsia="pt-BR"/>
              </w:rPr>
              <w:t>7. Gender inclusion assessment</w:t>
            </w:r>
          </w:p>
        </w:tc>
        <w:tc>
          <w:tcPr>
            <w:tcW w:w="4458" w:type="dxa"/>
            <w:shd w:val="clear" w:color="auto" w:fill="auto"/>
            <w:vAlign w:val="center"/>
          </w:tcPr>
          <w:p w14:paraId="7E446D42" w14:textId="63057368" w:rsidR="00525129" w:rsidRDefault="00525129" w:rsidP="000C49CE">
            <w:pPr>
              <w:spacing w:after="0" w:line="240" w:lineRule="auto"/>
              <w:rPr>
                <w:rFonts w:ascii="Calibri" w:eastAsia="Times New Roman" w:hAnsi="Calibri" w:cs="Calibri"/>
                <w:color w:val="000000"/>
                <w:sz w:val="20"/>
                <w:szCs w:val="20"/>
                <w:lang w:val="en-GB" w:eastAsia="pt-BR"/>
              </w:rPr>
            </w:pPr>
            <w:r w:rsidRPr="00525129">
              <w:rPr>
                <w:rFonts w:ascii="Calibri" w:eastAsia="Times New Roman" w:hAnsi="Calibri" w:cs="Calibri"/>
                <w:color w:val="000000"/>
                <w:sz w:val="20"/>
                <w:szCs w:val="20"/>
                <w:lang w:val="en-GB" w:eastAsia="pt-BR"/>
              </w:rPr>
              <w:t>i. develop a plan of action to include gender balance strategy within the project’s activities</w:t>
            </w:r>
          </w:p>
        </w:tc>
        <w:tc>
          <w:tcPr>
            <w:tcW w:w="2700" w:type="dxa"/>
            <w:shd w:val="clear" w:color="auto" w:fill="auto"/>
            <w:vAlign w:val="center"/>
          </w:tcPr>
          <w:p w14:paraId="22206727" w14:textId="3612AA7E" w:rsidR="00525129" w:rsidRDefault="00525129" w:rsidP="00525129">
            <w:pPr>
              <w:spacing w:after="0" w:line="240" w:lineRule="auto"/>
              <w:rPr>
                <w:rFonts w:ascii="Calibri" w:eastAsia="Times New Roman" w:hAnsi="Calibri" w:cs="Calibri"/>
                <w:color w:val="000000"/>
                <w:sz w:val="20"/>
                <w:szCs w:val="20"/>
                <w:lang w:val="en-GB" w:eastAsia="pt-BR"/>
              </w:rPr>
            </w:pPr>
            <w:r>
              <w:rPr>
                <w:rFonts w:ascii="Calibri" w:eastAsia="Times New Roman" w:hAnsi="Calibri" w:cs="Calibri"/>
                <w:color w:val="000000"/>
                <w:sz w:val="20"/>
                <w:szCs w:val="20"/>
                <w:lang w:val="en-GB" w:eastAsia="pt-BR"/>
              </w:rPr>
              <w:t>Partners</w:t>
            </w:r>
          </w:p>
        </w:tc>
        <w:tc>
          <w:tcPr>
            <w:tcW w:w="379" w:type="dxa"/>
            <w:shd w:val="clear" w:color="auto" w:fill="92D050"/>
            <w:noWrap/>
            <w:vAlign w:val="bottom"/>
          </w:tcPr>
          <w:p w14:paraId="5022057B" w14:textId="77777777" w:rsidR="00525129" w:rsidRPr="00437D51" w:rsidRDefault="00525129" w:rsidP="00525129">
            <w:pPr>
              <w:spacing w:after="0" w:line="240" w:lineRule="auto"/>
              <w:rPr>
                <w:rFonts w:ascii="Calibri" w:eastAsia="Times New Roman" w:hAnsi="Calibri" w:cs="Calibri"/>
                <w:color w:val="000000"/>
                <w:sz w:val="24"/>
                <w:szCs w:val="24"/>
                <w:lang w:val="en-GB" w:eastAsia="pt-BR"/>
              </w:rPr>
            </w:pPr>
          </w:p>
        </w:tc>
        <w:tc>
          <w:tcPr>
            <w:tcW w:w="379" w:type="dxa"/>
            <w:shd w:val="clear" w:color="auto" w:fill="92D050"/>
            <w:noWrap/>
            <w:vAlign w:val="bottom"/>
          </w:tcPr>
          <w:p w14:paraId="44391002" w14:textId="77777777" w:rsidR="00525129" w:rsidRPr="00437D51" w:rsidRDefault="00525129" w:rsidP="00525129">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5C27EBC6" w14:textId="77777777" w:rsidR="00525129" w:rsidRPr="00437D51" w:rsidRDefault="00525129" w:rsidP="00525129">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028CFCFA" w14:textId="77777777" w:rsidR="00525129" w:rsidRPr="00437D51" w:rsidRDefault="00525129" w:rsidP="00525129">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75D1A177" w14:textId="77777777" w:rsidR="00525129" w:rsidRPr="00437D51" w:rsidRDefault="00525129" w:rsidP="00525129">
            <w:pPr>
              <w:spacing w:after="0" w:line="240" w:lineRule="auto"/>
              <w:rPr>
                <w:rFonts w:ascii="Calibri" w:eastAsia="Times New Roman" w:hAnsi="Calibri" w:cs="Calibri"/>
                <w:color w:val="000000"/>
                <w:sz w:val="24"/>
                <w:szCs w:val="24"/>
                <w:lang w:val="en-GB" w:eastAsia="pt-BR"/>
              </w:rPr>
            </w:pPr>
          </w:p>
        </w:tc>
        <w:tc>
          <w:tcPr>
            <w:tcW w:w="379" w:type="dxa"/>
            <w:shd w:val="clear" w:color="auto" w:fill="auto"/>
            <w:noWrap/>
            <w:vAlign w:val="bottom"/>
          </w:tcPr>
          <w:p w14:paraId="062C373D" w14:textId="77777777" w:rsidR="00525129" w:rsidRPr="00437D51" w:rsidRDefault="00525129" w:rsidP="00525129">
            <w:pPr>
              <w:spacing w:after="0" w:line="240" w:lineRule="auto"/>
              <w:rPr>
                <w:rFonts w:ascii="Calibri" w:eastAsia="Times New Roman" w:hAnsi="Calibri" w:cs="Calibri"/>
                <w:color w:val="000000"/>
                <w:sz w:val="24"/>
                <w:szCs w:val="24"/>
                <w:lang w:val="en-GB" w:eastAsia="pt-BR"/>
              </w:rPr>
            </w:pPr>
          </w:p>
        </w:tc>
      </w:tr>
    </w:tbl>
    <w:p w14:paraId="26EA06EE" w14:textId="7F972E6C" w:rsidR="00F02A36" w:rsidRDefault="00F02A36" w:rsidP="00F02A36">
      <w:pPr>
        <w:rPr>
          <w:lang w:val="en-GB"/>
        </w:rPr>
      </w:pPr>
    </w:p>
    <w:p w14:paraId="65DCD6F9" w14:textId="77777777" w:rsidR="00F02A36" w:rsidRDefault="00F02A36" w:rsidP="00F02A36">
      <w:pPr>
        <w:rPr>
          <w:lang w:val="en-GB"/>
        </w:rPr>
        <w:sectPr w:rsidR="00F02A36" w:rsidSect="00F02A36">
          <w:pgSz w:w="16838" w:h="11906" w:orient="landscape"/>
          <w:pgMar w:top="1701" w:right="1417" w:bottom="1701" w:left="1417" w:header="708" w:footer="708" w:gutter="0"/>
          <w:cols w:space="708"/>
          <w:docGrid w:linePitch="360"/>
        </w:sectPr>
      </w:pPr>
    </w:p>
    <w:p w14:paraId="6FA23A42" w14:textId="6991364E" w:rsidR="00F02A36" w:rsidRPr="00F02A36" w:rsidRDefault="00F02A36" w:rsidP="00F02A36">
      <w:pPr>
        <w:rPr>
          <w:lang w:val="en-GB"/>
        </w:rPr>
      </w:pPr>
    </w:p>
    <w:p w14:paraId="0612D06C" w14:textId="499E9283" w:rsidR="00A7751C" w:rsidRDefault="005C0FDD" w:rsidP="007F28CF">
      <w:pPr>
        <w:pStyle w:val="Heading2"/>
        <w:jc w:val="both"/>
        <w:rPr>
          <w:lang w:val="en-GB"/>
        </w:rPr>
      </w:pPr>
      <w:bookmarkStart w:id="12" w:name="_Toc517617418"/>
      <w:r w:rsidRPr="00272D5C">
        <w:rPr>
          <w:lang w:val="en-GB"/>
        </w:rPr>
        <w:t>1.7.</w:t>
      </w:r>
      <w:r w:rsidR="00C10E5D" w:rsidRPr="00272D5C">
        <w:rPr>
          <w:lang w:val="en-GB"/>
        </w:rPr>
        <w:t>Cross-Cutting Themes</w:t>
      </w:r>
      <w:bookmarkEnd w:id="12"/>
    </w:p>
    <w:p w14:paraId="249BA37B" w14:textId="77777777" w:rsidR="00DA6DE5" w:rsidRDefault="00DA6DE5" w:rsidP="00FE3802">
      <w:pPr>
        <w:pStyle w:val="Normal1"/>
        <w:jc w:val="both"/>
        <w:rPr>
          <w:lang w:val="en-GB"/>
        </w:rPr>
      </w:pPr>
      <w:r>
        <w:rPr>
          <w:lang w:val="en-GB"/>
        </w:rPr>
        <w:t>Amazonas has a different set and dynamics of deforestation drivers from the rest of the Brazilian Amazon. With very low absolute deforestation rate, due to its logistics framework, Amazonas has been successful to keep the forests up: 96% of its forests are still protected and conserved.</w:t>
      </w:r>
    </w:p>
    <w:p w14:paraId="2B964ED5" w14:textId="77777777" w:rsidR="00DA6DE5" w:rsidRDefault="00DA6DE5" w:rsidP="00FE3802">
      <w:pPr>
        <w:pStyle w:val="Normal1"/>
        <w:jc w:val="both"/>
        <w:rPr>
          <w:lang w:val="en-GB"/>
        </w:rPr>
      </w:pPr>
      <w:r>
        <w:rPr>
          <w:lang w:val="en-GB"/>
        </w:rPr>
        <w:t>Partially this is due to a set of strategies, investments, and policies at several levels: municipal, State, national and regional.</w:t>
      </w:r>
    </w:p>
    <w:p w14:paraId="3AE7D254" w14:textId="77777777" w:rsidR="00AC2AAC" w:rsidRDefault="00DA6DE5" w:rsidP="00FE3802">
      <w:pPr>
        <w:pStyle w:val="Normal1"/>
        <w:jc w:val="both"/>
        <w:rPr>
          <w:lang w:val="en-GB"/>
        </w:rPr>
      </w:pPr>
      <w:r>
        <w:rPr>
          <w:lang w:val="en-GB"/>
        </w:rPr>
        <w:t>It is also worth to mention that Amazonas</w:t>
      </w:r>
      <w:r w:rsidR="000D05B8">
        <w:rPr>
          <w:lang w:val="en-GB"/>
        </w:rPr>
        <w:t xml:space="preserve"> leads the climate agenda globally by its policy and arrangement innovations on policies (</w:t>
      </w:r>
      <w:r w:rsidR="00C76F23">
        <w:rPr>
          <w:lang w:val="en-GB"/>
        </w:rPr>
        <w:t xml:space="preserve">e.g., </w:t>
      </w:r>
      <w:r w:rsidR="000D05B8">
        <w:rPr>
          <w:lang w:val="en-GB"/>
        </w:rPr>
        <w:t>the climate change policy in 2007, the PES scheme in 2007, FAS partnership in 2008 and LSA in 2015).</w:t>
      </w:r>
    </w:p>
    <w:p w14:paraId="4338D538" w14:textId="255571FE" w:rsidR="00AC2AAC" w:rsidRDefault="00AC2AAC" w:rsidP="00FE3802">
      <w:pPr>
        <w:pStyle w:val="Normal1"/>
        <w:jc w:val="both"/>
        <w:rPr>
          <w:lang w:val="en-GB"/>
        </w:rPr>
      </w:pPr>
      <w:r>
        <w:rPr>
          <w:lang w:val="en-GB"/>
        </w:rPr>
        <w:t>In regards of integration with broader policy and incentive framework, Amazonas has set a series of regulations to support forest conservation and green economy. And such policies are deeply related and integrated within the forest-based economy strategy aimed at this proposal.</w:t>
      </w:r>
    </w:p>
    <w:p w14:paraId="5A02EC2C" w14:textId="58040C03" w:rsidR="001B7ADB" w:rsidRDefault="001B7ADB" w:rsidP="00FE3802">
      <w:pPr>
        <w:pStyle w:val="Normal1"/>
        <w:jc w:val="both"/>
        <w:rPr>
          <w:lang w:val="en-GB"/>
        </w:rPr>
      </w:pPr>
      <w:r>
        <w:rPr>
          <w:lang w:val="en-GB"/>
        </w:rPr>
        <w:t xml:space="preserve">In the State level, SEMA-AM has been gathering and agglutinating key Secretaries (e.g., Rural Production and Treasury) to </w:t>
      </w:r>
      <w:r w:rsidR="008C0D05">
        <w:rPr>
          <w:lang w:val="en-GB"/>
        </w:rPr>
        <w:t>promote integrated sustainable development within a forest-based economy.</w:t>
      </w:r>
      <w:r w:rsidR="00824206">
        <w:rPr>
          <w:lang w:val="en-GB"/>
        </w:rPr>
        <w:t xml:space="preserve"> In addition to that, a municipal-level engagement will be crucial to decentralised environmental management through direct investments and capacity building. Such empowerment of local-level public organisations is </w:t>
      </w:r>
      <w:r w:rsidR="00CE0F51">
        <w:rPr>
          <w:lang w:val="en-GB"/>
        </w:rPr>
        <w:t>important to set a positive agenda up in local level through sustainable networks</w:t>
      </w:r>
      <w:r w:rsidR="00445416">
        <w:rPr>
          <w:lang w:val="en-GB"/>
        </w:rPr>
        <w:t xml:space="preserve"> amongst municipalities and State Secretaries.</w:t>
      </w:r>
    </w:p>
    <w:p w14:paraId="32975344" w14:textId="6B1CE8BA" w:rsidR="0054267D" w:rsidRDefault="00AC2AAC" w:rsidP="00FE3802">
      <w:pPr>
        <w:pStyle w:val="Normal1"/>
        <w:jc w:val="both"/>
        <w:rPr>
          <w:lang w:val="en-GB"/>
        </w:rPr>
      </w:pPr>
      <w:r>
        <w:rPr>
          <w:lang w:val="en-GB"/>
        </w:rPr>
        <w:t>One key policy to mention is the Brazilian NDC and how Amazonas is contributing for achieving this target. It is well known the different perspectives from the Amazon State and the Federal Government when REDD+ financing is under discussion.</w:t>
      </w:r>
      <w:r w:rsidR="00DA6DE5">
        <w:rPr>
          <w:lang w:val="en-GB"/>
        </w:rPr>
        <w:t xml:space="preserve"> </w:t>
      </w:r>
      <w:r w:rsidR="007975AA">
        <w:rPr>
          <w:lang w:val="en-GB"/>
        </w:rPr>
        <w:t>Unfortunately,</w:t>
      </w:r>
      <w:r>
        <w:rPr>
          <w:lang w:val="en-GB"/>
        </w:rPr>
        <w:t xml:space="preserve"> this has been disturbing the true and fruitful engagement of private sector within the forest-based sustainable economy. Nevertheless, this misalignment will be overcome. Such support from GCF and UNDP to all Brazilian Amazonian States will enhance the advocacy (and the ‘green lobby’). This will be carried out during an important moment of political shift. In addition, the 80%-deforestation reduction target, within the NDC, depends severely on the Amazonian State to be aligned and strong to implement projects and activities.</w:t>
      </w:r>
    </w:p>
    <w:p w14:paraId="4F1908E7" w14:textId="363AEC23" w:rsidR="007975AA" w:rsidRDefault="007975AA" w:rsidP="00FE3802">
      <w:pPr>
        <w:pStyle w:val="Normal1"/>
        <w:jc w:val="both"/>
        <w:rPr>
          <w:lang w:val="en-GB"/>
        </w:rPr>
      </w:pPr>
      <w:r>
        <w:rPr>
          <w:lang w:val="en-GB"/>
        </w:rPr>
        <w:t>In a global level, Amazonas is highly engagement in forest conservation, to name a few: one of the founders of GCF and member of the New York Declaration on Forests. Moreover, Amazonas has been playing an important role within the Aichi Targets and the UN Global Goals.</w:t>
      </w:r>
    </w:p>
    <w:p w14:paraId="0D81D010" w14:textId="2E924E33" w:rsidR="00652005" w:rsidRDefault="00652005" w:rsidP="00FE3802">
      <w:pPr>
        <w:pStyle w:val="Normal1"/>
        <w:jc w:val="both"/>
        <w:rPr>
          <w:lang w:val="en-GB"/>
        </w:rPr>
      </w:pPr>
      <w:r>
        <w:rPr>
          <w:lang w:val="en-GB"/>
        </w:rPr>
        <w:t xml:space="preserve">All these achievements come from great partnerships. Within this proposal, SEMA-AM carried out an inclusive approach to put together major NGO working in the State. </w:t>
      </w:r>
      <w:r w:rsidR="00D40756">
        <w:rPr>
          <w:lang w:val="en-GB"/>
        </w:rPr>
        <w:t xml:space="preserve">This proposal was built through several meetings and collaborative working of more than ten people from seven institutions. This consortium is represented by support letters issued by partners NGO attached to this proposal. </w:t>
      </w:r>
      <w:r>
        <w:rPr>
          <w:lang w:val="en-GB"/>
        </w:rPr>
        <w:t>Each partner will have a specific (and integrated) role within the proposal always aiming at leveraging resources and opportunities and seeking for effectiveness.</w:t>
      </w:r>
      <w:r w:rsidR="00D40756">
        <w:rPr>
          <w:lang w:val="en-GB"/>
        </w:rPr>
        <w:t xml:space="preserve"> Two examples are: CI-Brazil</w:t>
      </w:r>
      <w:r w:rsidR="00D40756" w:rsidRPr="00272D5C">
        <w:rPr>
          <w:lang w:val="en-GB"/>
        </w:rPr>
        <w:t xml:space="preserve"> is accredited to the GEF since 2013 and to the Green Climate Fund since 2015</w:t>
      </w:r>
      <w:r w:rsidR="00D40756">
        <w:rPr>
          <w:lang w:val="en-GB"/>
        </w:rPr>
        <w:t xml:space="preserve">, and </w:t>
      </w:r>
      <w:r w:rsidR="00D40756" w:rsidRPr="00272D5C">
        <w:rPr>
          <w:lang w:val="en-GB"/>
        </w:rPr>
        <w:t>FAS is the largest private beneficiary of the Amazon Fund</w:t>
      </w:r>
      <w:r w:rsidR="00D40756">
        <w:rPr>
          <w:lang w:val="en-GB"/>
        </w:rPr>
        <w:t xml:space="preserve"> and has been able to channel private resources to REDD+</w:t>
      </w:r>
      <w:r w:rsidR="00D40756" w:rsidRPr="00272D5C">
        <w:rPr>
          <w:lang w:val="en-GB"/>
        </w:rPr>
        <w:t>.</w:t>
      </w:r>
    </w:p>
    <w:p w14:paraId="3DCED17B" w14:textId="073B1D7E" w:rsidR="00D40756" w:rsidRDefault="00D40756" w:rsidP="00FE3802">
      <w:pPr>
        <w:pStyle w:val="Normal1"/>
        <w:jc w:val="both"/>
        <w:rPr>
          <w:lang w:val="en-GB"/>
        </w:rPr>
      </w:pPr>
      <w:r>
        <w:rPr>
          <w:lang w:val="en-GB"/>
        </w:rPr>
        <w:lastRenderedPageBreak/>
        <w:t xml:space="preserve">Such commitment and engagement strategy will be applied throughout the project. One crucial issue is to engage properly with national and local stakeholders. Each group has its different timing, language and needs that shall be </w:t>
      </w:r>
      <w:r w:rsidR="00011883">
        <w:rPr>
          <w:lang w:val="en-GB"/>
        </w:rPr>
        <w:t xml:space="preserve">assessed and then </w:t>
      </w:r>
      <w:r>
        <w:rPr>
          <w:lang w:val="en-GB"/>
        </w:rPr>
        <w:t>addressed.</w:t>
      </w:r>
      <w:r w:rsidR="00011883">
        <w:rPr>
          <w:lang w:val="en-GB"/>
        </w:rPr>
        <w:t xml:space="preserve"> Project’s partners already mapped key stakeholders to be engaged and to works towards enabling more funds for REDD+ in Amazonas. Thus, the private sector is a key element for its notorious responsibility (and public pressure) on issues on deforestation and biodiversity. Moreover, future national regulations have been moving private sector towards sustainable investment and forest-based economy incentives.</w:t>
      </w:r>
    </w:p>
    <w:p w14:paraId="01E70F91" w14:textId="30A0FDEB" w:rsidR="00245833" w:rsidRDefault="00245833" w:rsidP="00FE3802">
      <w:pPr>
        <w:pStyle w:val="Normal1"/>
        <w:jc w:val="both"/>
        <w:rPr>
          <w:lang w:val="en-GB"/>
        </w:rPr>
      </w:pPr>
      <w:r>
        <w:rPr>
          <w:lang w:val="en-GB"/>
        </w:rPr>
        <w:t>In order to make these achievements, there must be a proper engagement and commitment between the project’s partners and local communities. Therefore</w:t>
      </w:r>
      <w:r w:rsidR="00D05BF9">
        <w:rPr>
          <w:lang w:val="en-GB"/>
        </w:rPr>
        <w:t>,</w:t>
      </w:r>
      <w:r>
        <w:rPr>
          <w:lang w:val="en-GB"/>
        </w:rPr>
        <w:t xml:space="preserve"> it is important</w:t>
      </w:r>
      <w:r w:rsidR="006F4A12">
        <w:rPr>
          <w:lang w:val="en-GB"/>
        </w:rPr>
        <w:t xml:space="preserve"> to apply FPIC approach to communicate and disseminate better project’s demands, needs and deliverables. This has been done since the proposal planning. As aforementioned, FAS presented this proposal’s concept, in 2016, to </w:t>
      </w:r>
      <w:r w:rsidR="006F4A12" w:rsidRPr="00272D5C">
        <w:rPr>
          <w:lang w:val="en-GB"/>
        </w:rPr>
        <w:t>60 riverine local leaders representing over 40 thousand people from the 16 protected areas</w:t>
      </w:r>
      <w:r w:rsidR="006F4A12">
        <w:rPr>
          <w:lang w:val="en-GB"/>
        </w:rPr>
        <w:t xml:space="preserve">. At that time, all leaders signed a supported letter to the project. </w:t>
      </w:r>
      <w:r w:rsidR="001E746C">
        <w:rPr>
          <w:lang w:val="en-GB"/>
        </w:rPr>
        <w:t>Therefore,</w:t>
      </w:r>
      <w:r w:rsidR="006F4A12">
        <w:rPr>
          <w:lang w:val="en-GB"/>
        </w:rPr>
        <w:t xml:space="preserve"> the proposal designs a very inclusive, participatory, bottom-up rationale to include all vulnerable groups – mainly youngsters and women – within the decision-making processes.</w:t>
      </w:r>
    </w:p>
    <w:p w14:paraId="6C24DE02" w14:textId="4BB61BD9" w:rsidR="001E746C" w:rsidRDefault="001E746C" w:rsidP="00FE3802">
      <w:pPr>
        <w:pStyle w:val="Normal1"/>
        <w:jc w:val="both"/>
        <w:rPr>
          <w:lang w:val="en-GB"/>
        </w:rPr>
      </w:pPr>
      <w:r>
        <w:rPr>
          <w:lang w:val="en-GB"/>
        </w:rPr>
        <w:t>Gender inclusion, not just providing voice but also proper listening and voting within decision processes, is necessary for this proposal. It is important to mention that this will be carried out by applied the UN-REDD Guidance Note on Gender Sensitive REDD+</w:t>
      </w:r>
      <w:r>
        <w:rPr>
          <w:rStyle w:val="FootnoteReference"/>
          <w:lang w:val="en-GB"/>
        </w:rPr>
        <w:footnoteReference w:id="19"/>
      </w:r>
      <w:r>
        <w:rPr>
          <w:lang w:val="en-GB"/>
        </w:rPr>
        <w:t xml:space="preserve"> -- mainly its five steps of investing time and resources on gender equality, balance and participative role.</w:t>
      </w:r>
    </w:p>
    <w:p w14:paraId="24573671" w14:textId="7F40AF29" w:rsidR="0099740B" w:rsidRDefault="00EF6DC2" w:rsidP="00FE3802">
      <w:pPr>
        <w:pStyle w:val="Normal1"/>
        <w:jc w:val="both"/>
        <w:rPr>
          <w:lang w:val="en-GB"/>
        </w:rPr>
      </w:pPr>
      <w:r>
        <w:rPr>
          <w:lang w:val="en-GB"/>
        </w:rPr>
        <w:t>Finally,</w:t>
      </w:r>
      <w:r w:rsidR="0099740B">
        <w:rPr>
          <w:lang w:val="en-GB"/>
        </w:rPr>
        <w:t xml:space="preserve"> such goals and targets will be achieved – and scaled-up – when key messages and support documents and data are disseminated and communicated in an effective and efficient way. Therefore the proposal plans to have a website to publish and disseminate its publications (both technical and for general audience).</w:t>
      </w:r>
      <w:r w:rsidR="000219EE">
        <w:rPr>
          <w:lang w:val="en-GB"/>
        </w:rPr>
        <w:t xml:space="preserve"> Here it is important to be clear that it is necessary to engage several groups, highly diverse and sparse in Amazonas. Thus several types of products need to be considered (e.g., banners, conference’s posters, lectures, keynote address, videos etc.) to achieve a broader audience (e.g., local leaders, decision-makers, business leaders, public agents, scholars and specialists etc.)</w:t>
      </w:r>
      <w:r>
        <w:rPr>
          <w:lang w:val="en-GB"/>
        </w:rPr>
        <w:t xml:space="preserve">. And also this applies to the GCF staff and secretariat: periodic meetings shall be organised to share results, </w:t>
      </w:r>
      <w:r w:rsidR="006117AF">
        <w:rPr>
          <w:lang w:val="en-GB"/>
        </w:rPr>
        <w:t>key challenges, opportunities of leveraging, and for supporting the connection with other jurisdictional for joint action.</w:t>
      </w:r>
    </w:p>
    <w:p w14:paraId="13B77B80" w14:textId="5281DAB8" w:rsidR="004E2957" w:rsidRPr="00C35EAD" w:rsidRDefault="004E2957" w:rsidP="004E2957">
      <w:pPr>
        <w:pStyle w:val="Normal1"/>
        <w:jc w:val="both"/>
        <w:rPr>
          <w:b/>
          <w:lang w:val="en-GB"/>
        </w:rPr>
      </w:pPr>
      <w:r w:rsidRPr="00C35EAD">
        <w:rPr>
          <w:b/>
          <w:lang w:val="en-GB"/>
        </w:rPr>
        <w:t xml:space="preserve">Gender, </w:t>
      </w:r>
      <w:r>
        <w:rPr>
          <w:b/>
          <w:lang w:val="en-GB"/>
        </w:rPr>
        <w:t>y</w:t>
      </w:r>
      <w:r w:rsidRPr="00C35EAD">
        <w:rPr>
          <w:b/>
          <w:lang w:val="en-GB"/>
        </w:rPr>
        <w:t xml:space="preserve">outh and </w:t>
      </w:r>
      <w:r>
        <w:rPr>
          <w:b/>
          <w:lang w:val="en-GB"/>
        </w:rPr>
        <w:t>t</w:t>
      </w:r>
      <w:r w:rsidRPr="00C35EAD">
        <w:rPr>
          <w:b/>
          <w:lang w:val="en-GB"/>
        </w:rPr>
        <w:t xml:space="preserve">raditional </w:t>
      </w:r>
      <w:r>
        <w:rPr>
          <w:b/>
          <w:lang w:val="en-GB"/>
        </w:rPr>
        <w:t>c</w:t>
      </w:r>
      <w:r w:rsidRPr="00C35EAD">
        <w:rPr>
          <w:b/>
          <w:lang w:val="en-GB"/>
        </w:rPr>
        <w:t xml:space="preserve">ommunities </w:t>
      </w:r>
      <w:r>
        <w:rPr>
          <w:b/>
          <w:lang w:val="en-GB"/>
        </w:rPr>
        <w:t>inclusion</w:t>
      </w:r>
    </w:p>
    <w:p w14:paraId="70A2E5D7" w14:textId="19B331DC" w:rsidR="004E2957" w:rsidRDefault="004E2957" w:rsidP="004E2957">
      <w:pPr>
        <w:pStyle w:val="Normal1"/>
        <w:jc w:val="both"/>
        <w:rPr>
          <w:lang w:val="en-GB"/>
        </w:rPr>
      </w:pPr>
      <w:r w:rsidRPr="004E2957">
        <w:rPr>
          <w:lang w:val="en-GB"/>
        </w:rPr>
        <w:t>The premise of the project is to ensure the wide</w:t>
      </w:r>
      <w:r>
        <w:rPr>
          <w:lang w:val="en-GB"/>
        </w:rPr>
        <w:t>,</w:t>
      </w:r>
      <w:r w:rsidRPr="004E2957">
        <w:rPr>
          <w:lang w:val="en-GB"/>
        </w:rPr>
        <w:t xml:space="preserve"> democratic</w:t>
      </w:r>
      <w:r>
        <w:rPr>
          <w:lang w:val="en-GB"/>
        </w:rPr>
        <w:t>, and qualified</w:t>
      </w:r>
      <w:r w:rsidRPr="004E2957">
        <w:rPr>
          <w:lang w:val="en-GB"/>
        </w:rPr>
        <w:t xml:space="preserve"> participation of different groups in the consultation </w:t>
      </w:r>
      <w:r>
        <w:rPr>
          <w:lang w:val="en-GB"/>
        </w:rPr>
        <w:t xml:space="preserve">and decision-making </w:t>
      </w:r>
      <w:r w:rsidRPr="004E2957">
        <w:rPr>
          <w:lang w:val="en-GB"/>
        </w:rPr>
        <w:t>processes</w:t>
      </w:r>
      <w:r>
        <w:rPr>
          <w:lang w:val="en-GB"/>
        </w:rPr>
        <w:t xml:space="preserve">. Such inclusion is </w:t>
      </w:r>
      <w:r w:rsidR="00ED565B">
        <w:rPr>
          <w:lang w:val="en-GB"/>
        </w:rPr>
        <w:t>needed within safeguard and socio-environmental discussions and definitions – and also it is mandatory to SEMA-AM, FAS and all project’s partners.</w:t>
      </w:r>
      <w:r w:rsidRPr="004E2957">
        <w:rPr>
          <w:lang w:val="en-GB"/>
        </w:rPr>
        <w:t xml:space="preserve"> The integration and </w:t>
      </w:r>
      <w:r w:rsidR="00ED565B">
        <w:rPr>
          <w:lang w:val="en-GB"/>
        </w:rPr>
        <w:t xml:space="preserve">qualified </w:t>
      </w:r>
      <w:r w:rsidRPr="004E2957">
        <w:rPr>
          <w:lang w:val="en-GB"/>
        </w:rPr>
        <w:t xml:space="preserve">participation of these groups </w:t>
      </w:r>
      <w:r w:rsidR="00ED565B">
        <w:rPr>
          <w:lang w:val="en-GB"/>
        </w:rPr>
        <w:t>will be insured through two approaches: (i) a</w:t>
      </w:r>
      <w:r w:rsidRPr="004E2957">
        <w:rPr>
          <w:lang w:val="en-GB"/>
        </w:rPr>
        <w:t>ctive engagement in consultations and discussions</w:t>
      </w:r>
      <w:r w:rsidR="00ED565B">
        <w:rPr>
          <w:lang w:val="en-GB"/>
        </w:rPr>
        <w:t xml:space="preserve"> and (ii) female candidates will be prioritised within project’s human resources selection process.</w:t>
      </w:r>
    </w:p>
    <w:p w14:paraId="0A9DB7F3" w14:textId="7B7E51CA" w:rsidR="008E3001" w:rsidRDefault="008E3001">
      <w:pPr>
        <w:rPr>
          <w:rFonts w:ascii="Calibri" w:eastAsia="Calibri" w:hAnsi="Calibri" w:cs="Calibri"/>
          <w:color w:val="000000"/>
          <w:lang w:val="en-GB" w:eastAsia="pt-BR"/>
        </w:rPr>
      </w:pPr>
      <w:r>
        <w:rPr>
          <w:lang w:val="en-GB"/>
        </w:rPr>
        <w:br w:type="page"/>
      </w:r>
    </w:p>
    <w:p w14:paraId="1AD27DCD" w14:textId="77777777" w:rsidR="00C10E5D" w:rsidRPr="00CC5849" w:rsidRDefault="00C10E5D" w:rsidP="007F28CF">
      <w:pPr>
        <w:pStyle w:val="Heading1"/>
        <w:jc w:val="both"/>
        <w:rPr>
          <w:lang w:val="en-GB"/>
        </w:rPr>
      </w:pPr>
      <w:bookmarkStart w:id="13" w:name="_Toc517617419"/>
      <w:r w:rsidRPr="00CC5849">
        <w:rPr>
          <w:lang w:val="en-GB"/>
        </w:rPr>
        <w:lastRenderedPageBreak/>
        <w:t>2. Risks, Monitoring and Evaluation</w:t>
      </w:r>
      <w:bookmarkEnd w:id="13"/>
    </w:p>
    <w:p w14:paraId="1830EEA7" w14:textId="5666835C" w:rsidR="00C10E5D" w:rsidRDefault="00C10E5D" w:rsidP="007F28CF">
      <w:pPr>
        <w:pStyle w:val="Heading2"/>
        <w:jc w:val="both"/>
        <w:rPr>
          <w:lang w:val="en-GB"/>
        </w:rPr>
      </w:pPr>
      <w:bookmarkStart w:id="14" w:name="_Toc517617420"/>
      <w:r w:rsidRPr="00272D5C">
        <w:rPr>
          <w:lang w:val="en-GB"/>
        </w:rPr>
        <w:t>2.1. Risk Management</w:t>
      </w:r>
      <w:bookmarkEnd w:id="14"/>
    </w:p>
    <w:p w14:paraId="44351706" w14:textId="7461B9C1" w:rsidR="00ED565B" w:rsidRPr="00C35EAD" w:rsidRDefault="00ED565B" w:rsidP="00C35EAD">
      <w:pPr>
        <w:jc w:val="both"/>
        <w:rPr>
          <w:b/>
          <w:lang w:val="en-GB"/>
        </w:rPr>
      </w:pPr>
      <w:r w:rsidRPr="00C35EAD">
        <w:rPr>
          <w:b/>
          <w:lang w:val="en-GB"/>
        </w:rPr>
        <w:t>Institutional Risk</w:t>
      </w:r>
    </w:p>
    <w:p w14:paraId="6208628E" w14:textId="3E8FF1A5" w:rsidR="00ED565B" w:rsidRDefault="00ED565B" w:rsidP="00C35EAD">
      <w:pPr>
        <w:jc w:val="both"/>
        <w:rPr>
          <w:lang w:val="en-GB"/>
        </w:rPr>
      </w:pPr>
      <w:r w:rsidRPr="00ED565B">
        <w:rPr>
          <w:lang w:val="en-GB"/>
        </w:rPr>
        <w:t xml:space="preserve">Instability that may arise from </w:t>
      </w:r>
      <w:r>
        <w:rPr>
          <w:lang w:val="en-GB"/>
        </w:rPr>
        <w:t>National and State elections (</w:t>
      </w:r>
      <w:r w:rsidRPr="00ED565B">
        <w:rPr>
          <w:lang w:val="en-GB"/>
        </w:rPr>
        <w:t>October 2018</w:t>
      </w:r>
      <w:r>
        <w:rPr>
          <w:lang w:val="en-GB"/>
        </w:rPr>
        <w:t>)</w:t>
      </w:r>
      <w:r w:rsidRPr="00ED565B">
        <w:rPr>
          <w:lang w:val="en-GB"/>
        </w:rPr>
        <w:t xml:space="preserve">, which might possibly result in changing the current Governor and State Secretaries’ representatives. However, the institutional risk is considered low, as the </w:t>
      </w:r>
      <w:r>
        <w:rPr>
          <w:lang w:val="en-GB"/>
        </w:rPr>
        <w:t>S</w:t>
      </w:r>
      <w:r w:rsidRPr="00ED565B">
        <w:rPr>
          <w:lang w:val="en-GB"/>
        </w:rPr>
        <w:t xml:space="preserve">tate has signed </w:t>
      </w:r>
      <w:r>
        <w:rPr>
          <w:lang w:val="en-GB"/>
        </w:rPr>
        <w:t xml:space="preserve">solid </w:t>
      </w:r>
      <w:r w:rsidRPr="00ED565B">
        <w:rPr>
          <w:lang w:val="en-GB"/>
        </w:rPr>
        <w:t xml:space="preserve">commitments </w:t>
      </w:r>
      <w:r>
        <w:rPr>
          <w:lang w:val="en-GB"/>
        </w:rPr>
        <w:t>on</w:t>
      </w:r>
      <w:r w:rsidRPr="00ED565B">
        <w:rPr>
          <w:lang w:val="en-GB"/>
        </w:rPr>
        <w:t xml:space="preserve"> climate, including the Rio Branco Declaration, and </w:t>
      </w:r>
      <w:r>
        <w:rPr>
          <w:lang w:val="en-GB"/>
        </w:rPr>
        <w:t xml:space="preserve">the </w:t>
      </w:r>
      <w:r w:rsidRPr="00ED565B">
        <w:rPr>
          <w:lang w:val="en-GB"/>
        </w:rPr>
        <w:t xml:space="preserve">approved the State Policy on Environmental Services. </w:t>
      </w:r>
      <w:r>
        <w:rPr>
          <w:lang w:val="en-GB"/>
        </w:rPr>
        <w:t>Amazonas</w:t>
      </w:r>
      <w:r w:rsidRPr="00ED565B">
        <w:rPr>
          <w:lang w:val="en-GB"/>
        </w:rPr>
        <w:t>'s technical staff (permanent employees</w:t>
      </w:r>
      <w:r>
        <w:rPr>
          <w:rStyle w:val="FootnoteReference"/>
          <w:lang w:val="en-GB"/>
        </w:rPr>
        <w:footnoteReference w:id="20"/>
      </w:r>
      <w:r w:rsidRPr="00ED565B">
        <w:rPr>
          <w:lang w:val="en-GB"/>
        </w:rPr>
        <w:t xml:space="preserve">) is also </w:t>
      </w:r>
      <w:r>
        <w:rPr>
          <w:lang w:val="en-GB"/>
        </w:rPr>
        <w:t xml:space="preserve">fully </w:t>
      </w:r>
      <w:r w:rsidRPr="00ED565B">
        <w:rPr>
          <w:lang w:val="en-GB"/>
        </w:rPr>
        <w:t xml:space="preserve">integrated </w:t>
      </w:r>
      <w:r>
        <w:rPr>
          <w:lang w:val="en-GB"/>
        </w:rPr>
        <w:t>in this project – this will ease any political transition and also guarantee institutional memory</w:t>
      </w:r>
      <w:r w:rsidRPr="00ED565B">
        <w:rPr>
          <w:lang w:val="en-GB"/>
        </w:rPr>
        <w:t xml:space="preserve">. </w:t>
      </w:r>
      <w:r w:rsidR="00444F3B">
        <w:rPr>
          <w:lang w:val="en-GB"/>
        </w:rPr>
        <w:t>In addition, all Amazonas’ climate plan and strategy are considered S</w:t>
      </w:r>
      <w:r w:rsidRPr="00ED565B">
        <w:rPr>
          <w:lang w:val="en-GB"/>
        </w:rPr>
        <w:t>tate polic</w:t>
      </w:r>
      <w:r w:rsidR="00444F3B">
        <w:rPr>
          <w:lang w:val="en-GB"/>
        </w:rPr>
        <w:t>ies</w:t>
      </w:r>
      <w:r w:rsidRPr="00ED565B">
        <w:rPr>
          <w:lang w:val="en-GB"/>
        </w:rPr>
        <w:t xml:space="preserve">, not government </w:t>
      </w:r>
      <w:r w:rsidR="00444F3B">
        <w:rPr>
          <w:lang w:val="en-GB"/>
        </w:rPr>
        <w:t>agendas</w:t>
      </w:r>
      <w:r w:rsidRPr="00ED565B">
        <w:rPr>
          <w:lang w:val="en-GB"/>
        </w:rPr>
        <w:t xml:space="preserve">, which makes the </w:t>
      </w:r>
      <w:r w:rsidR="00444F3B">
        <w:rPr>
          <w:lang w:val="en-GB"/>
        </w:rPr>
        <w:t>project</w:t>
      </w:r>
      <w:r w:rsidRPr="00ED565B">
        <w:rPr>
          <w:lang w:val="en-GB"/>
        </w:rPr>
        <w:t xml:space="preserve"> less vulnerable to </w:t>
      </w:r>
      <w:r w:rsidR="00444F3B">
        <w:rPr>
          <w:lang w:val="en-GB"/>
        </w:rPr>
        <w:t>potential</w:t>
      </w:r>
      <w:r w:rsidRPr="00ED565B">
        <w:rPr>
          <w:lang w:val="en-GB"/>
        </w:rPr>
        <w:t xml:space="preserve"> interventions.</w:t>
      </w:r>
    </w:p>
    <w:p w14:paraId="333622CE" w14:textId="5E6FB079" w:rsidR="00085F0C" w:rsidRDefault="00085F0C" w:rsidP="00C35EAD">
      <w:pPr>
        <w:jc w:val="both"/>
        <w:rPr>
          <w:lang w:val="en-GB"/>
        </w:rPr>
      </w:pPr>
      <w:r>
        <w:rPr>
          <w:lang w:val="en-GB"/>
        </w:rPr>
        <w:t xml:space="preserve">This is fully integrated with multi-sectorial approach within the State government: engaging other public agencies of both levels, State and Federal. </w:t>
      </w:r>
      <w:r w:rsidRPr="00085F0C">
        <w:rPr>
          <w:lang w:val="en-GB"/>
        </w:rPr>
        <w:t>These will be done through three specific approaches: engage with other public agencies (State- and Federal levels) in high-level platforms chaired by SEMA-AM; using the mandate made by the State Governor for the climate agenda; and seeking for synergies in specific policies focusing capacity building, rural production and green bonds (incentives and subsidies)</w:t>
      </w:r>
      <w:r>
        <w:rPr>
          <w:lang w:val="en-GB"/>
        </w:rPr>
        <w:t>.</w:t>
      </w:r>
    </w:p>
    <w:p w14:paraId="592CB497" w14:textId="7C7A8EF2" w:rsidR="00D97853" w:rsidRDefault="00D97853" w:rsidP="00C35EAD">
      <w:pPr>
        <w:jc w:val="both"/>
        <w:rPr>
          <w:lang w:val="en-GB"/>
        </w:rPr>
      </w:pPr>
      <w:r>
        <w:rPr>
          <w:lang w:val="en-GB"/>
        </w:rPr>
        <w:t>In a case of a new State Government in 2019</w:t>
      </w:r>
      <w:r w:rsidR="007B17B7">
        <w:rPr>
          <w:lang w:val="en-GB"/>
        </w:rPr>
        <w:t>, the institutional risk is also low and trackable. Firstly, as aforementioned, major State’s climate agendas are institutionalised in laws and regulations – reinforcing the need of their implementation. Moreover, they are fully interacted within National regulations such as the Brazilian REDD+ Strategy.</w:t>
      </w:r>
    </w:p>
    <w:p w14:paraId="04CAE476" w14:textId="0E67BF07" w:rsidR="007B17B7" w:rsidRPr="00ED565B" w:rsidRDefault="007B17B7" w:rsidP="00C35EAD">
      <w:pPr>
        <w:jc w:val="both"/>
        <w:rPr>
          <w:lang w:val="en-GB"/>
        </w:rPr>
      </w:pPr>
      <w:r>
        <w:rPr>
          <w:lang w:val="en-GB"/>
        </w:rPr>
        <w:t>Finally, the State of Amazonas is currently under the process of hiring 30 technicians to support the management of State protected areas – with two-year contracts.</w:t>
      </w:r>
      <w:r w:rsidR="00B81BCB">
        <w:rPr>
          <w:lang w:val="en-GB"/>
        </w:rPr>
        <w:t xml:space="preserve"> T</w:t>
      </w:r>
      <w:r w:rsidR="0057464F">
        <w:rPr>
          <w:lang w:val="en-GB"/>
        </w:rPr>
        <w:t>his selection process</w:t>
      </w:r>
      <w:r w:rsidR="00B81BCB">
        <w:rPr>
          <w:lang w:val="en-GB"/>
        </w:rPr>
        <w:t xml:space="preserve"> will be concluded in early September. Those people will support the implementation of the conservation agenda and its policies – including the LSA.</w:t>
      </w:r>
    </w:p>
    <w:p w14:paraId="76B9D68C" w14:textId="238BC011" w:rsidR="00ED565B" w:rsidRPr="00C35EAD" w:rsidRDefault="00ED565B" w:rsidP="00C35EAD">
      <w:pPr>
        <w:jc w:val="both"/>
        <w:rPr>
          <w:b/>
          <w:lang w:val="en-GB"/>
        </w:rPr>
      </w:pPr>
      <w:r w:rsidRPr="00C35EAD">
        <w:rPr>
          <w:b/>
          <w:lang w:val="en-GB"/>
        </w:rPr>
        <w:t>Gender Risk</w:t>
      </w:r>
    </w:p>
    <w:p w14:paraId="628B10ED" w14:textId="77777777" w:rsidR="00C07AF7" w:rsidRDefault="00ED565B" w:rsidP="00C35EAD">
      <w:pPr>
        <w:jc w:val="both"/>
        <w:rPr>
          <w:lang w:val="en-GB"/>
        </w:rPr>
      </w:pPr>
      <w:r w:rsidRPr="00ED565B">
        <w:rPr>
          <w:lang w:val="en-GB"/>
        </w:rPr>
        <w:t xml:space="preserve">Women continue to have low representation in senior positions </w:t>
      </w:r>
      <w:r w:rsidR="008821FD">
        <w:rPr>
          <w:lang w:val="en-GB"/>
        </w:rPr>
        <w:t>in</w:t>
      </w:r>
      <w:r w:rsidRPr="00ED565B">
        <w:rPr>
          <w:lang w:val="en-GB"/>
        </w:rPr>
        <w:t xml:space="preserve"> Federal and State Governments. </w:t>
      </w:r>
      <w:r w:rsidR="008821FD">
        <w:rPr>
          <w:lang w:val="en-GB"/>
        </w:rPr>
        <w:t>Unfortunately, i</w:t>
      </w:r>
      <w:r w:rsidRPr="00ED565B">
        <w:rPr>
          <w:lang w:val="en-GB"/>
        </w:rPr>
        <w:t xml:space="preserve">n Amazonas this is no different. There is, therefore, a risk that the project will disproportionately and insufficiently </w:t>
      </w:r>
      <w:r w:rsidR="008821FD">
        <w:rPr>
          <w:lang w:val="en-GB"/>
        </w:rPr>
        <w:t>include and consider</w:t>
      </w:r>
      <w:r w:rsidRPr="00ED565B">
        <w:rPr>
          <w:lang w:val="en-GB"/>
        </w:rPr>
        <w:t xml:space="preserve"> </w:t>
      </w:r>
      <w:r w:rsidR="008821FD">
        <w:rPr>
          <w:lang w:val="en-GB"/>
        </w:rPr>
        <w:t>women’s</w:t>
      </w:r>
      <w:r w:rsidRPr="00ED565B">
        <w:rPr>
          <w:lang w:val="en-GB"/>
        </w:rPr>
        <w:t xml:space="preserve"> perspectives in decisions. </w:t>
      </w:r>
    </w:p>
    <w:p w14:paraId="2AC157D8" w14:textId="1B3378E7" w:rsidR="00706FDD" w:rsidRDefault="00ED565B" w:rsidP="00C35EAD">
      <w:pPr>
        <w:jc w:val="both"/>
        <w:rPr>
          <w:lang w:val="en-GB"/>
        </w:rPr>
      </w:pPr>
      <w:r w:rsidRPr="00ED565B">
        <w:rPr>
          <w:lang w:val="en-GB"/>
        </w:rPr>
        <w:t xml:space="preserve">This risk, however, is </w:t>
      </w:r>
      <w:r w:rsidR="008821FD">
        <w:rPr>
          <w:lang w:val="en-GB"/>
        </w:rPr>
        <w:t xml:space="preserve">considered </w:t>
      </w:r>
      <w:r w:rsidRPr="00ED565B">
        <w:rPr>
          <w:lang w:val="en-GB"/>
        </w:rPr>
        <w:t>low</w:t>
      </w:r>
      <w:r w:rsidR="008821FD">
        <w:rPr>
          <w:lang w:val="en-GB"/>
        </w:rPr>
        <w:t xml:space="preserve">. </w:t>
      </w:r>
      <w:r w:rsidR="00C07AF7">
        <w:rPr>
          <w:lang w:val="en-GB"/>
        </w:rPr>
        <w:t>T</w:t>
      </w:r>
      <w:r w:rsidRPr="00ED565B">
        <w:rPr>
          <w:lang w:val="en-GB"/>
        </w:rPr>
        <w:t xml:space="preserve">he project aims to adopt measures and performance indicators directly related to a gender equitable approach. </w:t>
      </w:r>
      <w:r w:rsidR="00C07AF7">
        <w:rPr>
          <w:lang w:val="en-GB"/>
        </w:rPr>
        <w:t>M</w:t>
      </w:r>
      <w:r w:rsidRPr="00ED565B">
        <w:rPr>
          <w:lang w:val="en-GB"/>
        </w:rPr>
        <w:t>easures are focused on organi</w:t>
      </w:r>
      <w:r w:rsidR="00C07AF7">
        <w:rPr>
          <w:lang w:val="en-GB"/>
        </w:rPr>
        <w:t>s</w:t>
      </w:r>
      <w:r w:rsidRPr="00ED565B">
        <w:rPr>
          <w:lang w:val="en-GB"/>
        </w:rPr>
        <w:t xml:space="preserve">ing consultation processes </w:t>
      </w:r>
      <w:r w:rsidR="00C07AF7">
        <w:rPr>
          <w:lang w:val="en-GB"/>
        </w:rPr>
        <w:t>insuring qualified participation of</w:t>
      </w:r>
      <w:r w:rsidRPr="00ED565B">
        <w:rPr>
          <w:lang w:val="en-GB"/>
        </w:rPr>
        <w:t xml:space="preserve"> women </w:t>
      </w:r>
      <w:r w:rsidR="00C07AF7">
        <w:rPr>
          <w:lang w:val="en-GB"/>
        </w:rPr>
        <w:t>–</w:t>
      </w:r>
      <w:r w:rsidRPr="00ED565B">
        <w:rPr>
          <w:lang w:val="en-GB"/>
        </w:rPr>
        <w:t xml:space="preserve"> </w:t>
      </w:r>
      <w:r w:rsidR="00C07AF7">
        <w:rPr>
          <w:lang w:val="en-GB"/>
        </w:rPr>
        <w:t>by direct invitations and facilitations on logistics</w:t>
      </w:r>
      <w:r w:rsidR="00C800F9">
        <w:rPr>
          <w:lang w:val="en-GB"/>
        </w:rPr>
        <w:t>. In addition</w:t>
      </w:r>
      <w:r w:rsidR="004E726E">
        <w:rPr>
          <w:lang w:val="en-GB"/>
        </w:rPr>
        <w:t>, the project will hire a gender specialist to elaborate a gender inclusion strategy within the project’s activities and how to include such activities within</w:t>
      </w:r>
      <w:r w:rsidR="00C800F9">
        <w:rPr>
          <w:lang w:val="en-GB"/>
        </w:rPr>
        <w:t xml:space="preserve"> </w:t>
      </w:r>
      <w:r w:rsidR="00C800F9">
        <w:rPr>
          <w:lang w:val="en-GB"/>
        </w:rPr>
        <w:lastRenderedPageBreak/>
        <w:t xml:space="preserve">strategic fora such as </w:t>
      </w:r>
      <w:r w:rsidRPr="00ED565B">
        <w:rPr>
          <w:lang w:val="en-GB"/>
        </w:rPr>
        <w:t>the Amazonian Forum on Climate Change and the State Environmental Council</w:t>
      </w:r>
      <w:r w:rsidR="00C800F9">
        <w:rPr>
          <w:rStyle w:val="FootnoteReference"/>
          <w:lang w:val="en-GB"/>
        </w:rPr>
        <w:footnoteReference w:id="21"/>
      </w:r>
      <w:r w:rsidRPr="00ED565B">
        <w:rPr>
          <w:lang w:val="en-GB"/>
        </w:rPr>
        <w:t xml:space="preserve">. </w:t>
      </w:r>
    </w:p>
    <w:p w14:paraId="35CA4AD2" w14:textId="114ECF43" w:rsidR="00ED565B" w:rsidRDefault="00706FDD" w:rsidP="00C35EAD">
      <w:pPr>
        <w:jc w:val="both"/>
        <w:rPr>
          <w:lang w:val="en-GB"/>
        </w:rPr>
      </w:pPr>
      <w:r>
        <w:rPr>
          <w:lang w:val="en-GB"/>
        </w:rPr>
        <w:t>Finally, as aforementioned, human resources selection will prioritise female candidates</w:t>
      </w:r>
      <w:r w:rsidR="00ED565B" w:rsidRPr="00ED565B">
        <w:rPr>
          <w:lang w:val="en-GB"/>
        </w:rPr>
        <w:t>.</w:t>
      </w:r>
    </w:p>
    <w:p w14:paraId="28403398" w14:textId="77777777" w:rsidR="00C10E5D" w:rsidRPr="00272D5C" w:rsidRDefault="00C10E5D" w:rsidP="007F28CF">
      <w:pPr>
        <w:pStyle w:val="Heading2"/>
        <w:jc w:val="both"/>
        <w:rPr>
          <w:lang w:val="en-GB"/>
        </w:rPr>
      </w:pPr>
      <w:bookmarkStart w:id="15" w:name="_Toc517617421"/>
      <w:r w:rsidRPr="00272D5C">
        <w:rPr>
          <w:lang w:val="en-GB"/>
        </w:rPr>
        <w:t>2.2. Monitoring</w:t>
      </w:r>
      <w:bookmarkEnd w:id="15"/>
    </w:p>
    <w:p w14:paraId="4208072A" w14:textId="77777777" w:rsidR="00CF048F" w:rsidRPr="00272D5C" w:rsidRDefault="00CF048F" w:rsidP="007F28CF">
      <w:pPr>
        <w:pStyle w:val="Normal1"/>
        <w:jc w:val="both"/>
        <w:rPr>
          <w:lang w:val="en-GB"/>
        </w:rPr>
      </w:pPr>
      <w:r w:rsidRPr="00272D5C">
        <w:rPr>
          <w:lang w:val="en-GB"/>
        </w:rPr>
        <w:t>FAS will coordinate technical, administrative and financial aspects as well as monitoring activities for the project. FAS will have agreements and contracts with partner institutions and consultants, where individual work plans will be presented. The financial and activities’ reports of partner institutions will follow the monitoring calendar of the GCF Fund.</w:t>
      </w:r>
    </w:p>
    <w:p w14:paraId="4907B1E5" w14:textId="02C0E933" w:rsidR="00CF048F" w:rsidRDefault="00382919" w:rsidP="007F28CF">
      <w:pPr>
        <w:pStyle w:val="Normal1"/>
        <w:jc w:val="both"/>
        <w:rPr>
          <w:lang w:val="en-GB"/>
        </w:rPr>
      </w:pPr>
      <w:r w:rsidRPr="00272D5C">
        <w:rPr>
          <w:lang w:val="en-GB"/>
        </w:rPr>
        <w:t>Expected results in this project are straightforward and measurable.</w:t>
      </w:r>
      <w:r>
        <w:rPr>
          <w:lang w:val="en-GB"/>
        </w:rPr>
        <w:t xml:space="preserve"> In order to monitor and follow project’s outputs, FAS will facilitate </w:t>
      </w:r>
      <w:r w:rsidRPr="00382919">
        <w:rPr>
          <w:lang w:val="en-GB"/>
        </w:rPr>
        <w:t xml:space="preserve">an innovative dynamics: periodic meetings with all involved partners to follow targets and timeline closely. </w:t>
      </w:r>
      <w:r>
        <w:rPr>
          <w:lang w:val="en-GB"/>
        </w:rPr>
        <w:t>A</w:t>
      </w:r>
      <w:r w:rsidR="00CF048F" w:rsidRPr="00272D5C">
        <w:rPr>
          <w:lang w:val="en-GB"/>
        </w:rPr>
        <w:t>ctivity leaders shall list the</w:t>
      </w:r>
      <w:r w:rsidR="009C18FA">
        <w:rPr>
          <w:lang w:val="en-GB"/>
        </w:rPr>
        <w:t>ir actions</w:t>
      </w:r>
      <w:r w:rsidR="00CF048F" w:rsidRPr="00272D5C">
        <w:rPr>
          <w:lang w:val="en-GB"/>
        </w:rPr>
        <w:t xml:space="preserve"> developed, their status, comments and achievable results</w:t>
      </w:r>
      <w:r w:rsidR="009C18FA">
        <w:rPr>
          <w:lang w:val="en-GB"/>
        </w:rPr>
        <w:t xml:space="preserve"> – both technical and financial (accountability)</w:t>
      </w:r>
      <w:r w:rsidR="00CF048F" w:rsidRPr="00272D5C">
        <w:rPr>
          <w:lang w:val="en-GB"/>
        </w:rPr>
        <w:t xml:space="preserve">. </w:t>
      </w:r>
      <w:r w:rsidR="009C18FA">
        <w:rPr>
          <w:lang w:val="en-GB"/>
        </w:rPr>
        <w:t xml:space="preserve">In every meeting, </w:t>
      </w:r>
      <w:r w:rsidR="00CF048F" w:rsidRPr="00272D5C">
        <w:rPr>
          <w:lang w:val="en-GB"/>
        </w:rPr>
        <w:t>lead</w:t>
      </w:r>
      <w:r w:rsidR="009C18FA">
        <w:rPr>
          <w:lang w:val="en-GB"/>
        </w:rPr>
        <w:t>ing</w:t>
      </w:r>
      <w:r w:rsidR="00CF048F" w:rsidRPr="00272D5C">
        <w:rPr>
          <w:lang w:val="en-GB"/>
        </w:rPr>
        <w:t xml:space="preserve"> institutions will describe how the project is going on comparing planned with executed activities, its relation with the result framework from the GCF Fund, challenges found and the financial execution of related activities. </w:t>
      </w:r>
      <w:r w:rsidR="009C18FA">
        <w:rPr>
          <w:lang w:val="en-GB"/>
        </w:rPr>
        <w:t xml:space="preserve">This meeting shall issue a minute (execute report) to be organised by FAS and sent to the GCF Fund. Every six-month period, </w:t>
      </w:r>
      <w:r w:rsidR="00CF048F" w:rsidRPr="00272D5C">
        <w:rPr>
          <w:lang w:val="en-GB"/>
        </w:rPr>
        <w:t xml:space="preserve">SEMA-AM and FAS will consolidate </w:t>
      </w:r>
      <w:r w:rsidR="009C18FA">
        <w:rPr>
          <w:lang w:val="en-GB"/>
        </w:rPr>
        <w:t>previous</w:t>
      </w:r>
      <w:r w:rsidR="009C18FA" w:rsidRPr="00272D5C">
        <w:rPr>
          <w:lang w:val="en-GB"/>
        </w:rPr>
        <w:t xml:space="preserve"> </w:t>
      </w:r>
      <w:r w:rsidR="00CF048F" w:rsidRPr="00272D5C">
        <w:rPr>
          <w:lang w:val="en-GB"/>
        </w:rPr>
        <w:t xml:space="preserve">reports and they will </w:t>
      </w:r>
      <w:r w:rsidR="009C18FA">
        <w:rPr>
          <w:lang w:val="en-GB"/>
        </w:rPr>
        <w:t>assess the project as a whole</w:t>
      </w:r>
      <w:r w:rsidR="00CF048F" w:rsidRPr="00272D5C">
        <w:rPr>
          <w:lang w:val="en-GB"/>
        </w:rPr>
        <w:t>.</w:t>
      </w:r>
    </w:p>
    <w:p w14:paraId="5BF416CF" w14:textId="674A629C" w:rsidR="00C144BD" w:rsidRPr="00272D5C" w:rsidRDefault="00F63E91" w:rsidP="00C35EAD">
      <w:pPr>
        <w:pStyle w:val="Normal1"/>
        <w:jc w:val="both"/>
        <w:rPr>
          <w:lang w:val="en-GB"/>
        </w:rPr>
      </w:pPr>
      <w:r w:rsidRPr="00382919">
        <w:rPr>
          <w:lang w:val="en-GB"/>
        </w:rPr>
        <w:t>In addition, FAS will facilitate an independent evaluation process to assess project's procedures, targets and goals within the T</w:t>
      </w:r>
      <w:r>
        <w:rPr>
          <w:lang w:val="en-GB"/>
        </w:rPr>
        <w:t xml:space="preserve">heory </w:t>
      </w:r>
      <w:r w:rsidRPr="00382919">
        <w:rPr>
          <w:lang w:val="en-GB"/>
        </w:rPr>
        <w:t>o</w:t>
      </w:r>
      <w:r>
        <w:rPr>
          <w:lang w:val="en-GB"/>
        </w:rPr>
        <w:t xml:space="preserve">f </w:t>
      </w:r>
      <w:r w:rsidRPr="00382919">
        <w:rPr>
          <w:lang w:val="en-GB"/>
        </w:rPr>
        <w:t>C</w:t>
      </w:r>
      <w:r>
        <w:rPr>
          <w:lang w:val="en-GB"/>
        </w:rPr>
        <w:t xml:space="preserve">hange to be </w:t>
      </w:r>
      <w:r w:rsidR="00C144BD">
        <w:rPr>
          <w:lang w:val="en-GB"/>
        </w:rPr>
        <w:t>carried out within the last year (2-month consultancy). All project’s partners will be involved and will participate on report analysis and elaboration.</w:t>
      </w:r>
    </w:p>
    <w:p w14:paraId="47407DA6" w14:textId="77777777" w:rsidR="00C10E5D" w:rsidRPr="00272D5C" w:rsidRDefault="00C10E5D" w:rsidP="007F28CF">
      <w:pPr>
        <w:pStyle w:val="Heading2"/>
        <w:jc w:val="both"/>
        <w:rPr>
          <w:lang w:val="en-GB"/>
        </w:rPr>
      </w:pPr>
      <w:bookmarkStart w:id="16" w:name="_Toc517617422"/>
      <w:r w:rsidRPr="00272D5C">
        <w:rPr>
          <w:lang w:val="en-GB"/>
        </w:rPr>
        <w:t>2.3. Sustainability of Results</w:t>
      </w:r>
      <w:bookmarkEnd w:id="16"/>
    </w:p>
    <w:p w14:paraId="102132E2" w14:textId="568B3A79" w:rsidR="00CF048F" w:rsidRPr="00272D5C" w:rsidRDefault="00CF048F" w:rsidP="007F28CF">
      <w:pPr>
        <w:pStyle w:val="Normal1"/>
        <w:jc w:val="both"/>
        <w:rPr>
          <w:lang w:val="en-GB"/>
        </w:rPr>
      </w:pPr>
      <w:r w:rsidRPr="00272D5C">
        <w:rPr>
          <w:lang w:val="en-GB"/>
        </w:rPr>
        <w:t xml:space="preserve">This project provides the basis for the implementation of the Environmental Services policy in the </w:t>
      </w:r>
      <w:r w:rsidR="002214AC">
        <w:rPr>
          <w:lang w:val="en-GB"/>
        </w:rPr>
        <w:t>State</w:t>
      </w:r>
      <w:r w:rsidRPr="00272D5C">
        <w:rPr>
          <w:lang w:val="en-GB"/>
        </w:rPr>
        <w:t xml:space="preserve"> of Amazonas. Whereas it regulates programmes, updates the registration system, it also creates the </w:t>
      </w:r>
      <w:r w:rsidR="002214AC">
        <w:rPr>
          <w:lang w:val="en-GB"/>
        </w:rPr>
        <w:t>State</w:t>
      </w:r>
      <w:r w:rsidRPr="00272D5C">
        <w:rPr>
          <w:lang w:val="en-GB"/>
        </w:rPr>
        <w:t xml:space="preserve"> Fund for Climate Change, Environmental Conservation and Environmental Services. This fund, together with the project’s deliverables, will make it possible and feasible to fundraise with both national and international partners. Such resources will be venue to </w:t>
      </w:r>
      <w:r w:rsidR="002214AC">
        <w:rPr>
          <w:lang w:val="en-GB"/>
        </w:rPr>
        <w:t>State</w:t>
      </w:r>
      <w:r w:rsidRPr="00272D5C">
        <w:rPr>
          <w:lang w:val="en-GB"/>
        </w:rPr>
        <w:t>’s environmental policies and strategies.</w:t>
      </w:r>
    </w:p>
    <w:p w14:paraId="64A9B8F4" w14:textId="13937EDE" w:rsidR="00CF048F" w:rsidRPr="00272D5C" w:rsidRDefault="00CF048F" w:rsidP="007F28CF">
      <w:pPr>
        <w:pStyle w:val="Normal1"/>
        <w:jc w:val="both"/>
        <w:rPr>
          <w:lang w:val="en-GB"/>
        </w:rPr>
      </w:pPr>
      <w:r w:rsidRPr="00272D5C">
        <w:rPr>
          <w:lang w:val="en-GB"/>
        </w:rPr>
        <w:t>Building capacity is another key element of this project</w:t>
      </w:r>
      <w:r w:rsidR="004A3A34">
        <w:rPr>
          <w:lang w:val="en-GB"/>
        </w:rPr>
        <w:t xml:space="preserve"> aiming at its legacy</w:t>
      </w:r>
      <w:r w:rsidRPr="00272D5C">
        <w:rPr>
          <w:lang w:val="en-GB"/>
        </w:rPr>
        <w:t xml:space="preserve">. </w:t>
      </w:r>
      <w:r w:rsidR="004A3A34">
        <w:rPr>
          <w:lang w:val="en-GB"/>
        </w:rPr>
        <w:t xml:space="preserve">In order to do it, SEMA-AM, as the leader of the climate strategy implementation in Amazonas, has been agglutinating and cross-cutting key public organisations (e.g., State Secretary of Rural Production and Treasury, and the Ministry of Environment). </w:t>
      </w:r>
      <w:r w:rsidRPr="00272D5C">
        <w:rPr>
          <w:lang w:val="en-GB"/>
        </w:rPr>
        <w:t xml:space="preserve">Raising awareness on key local, </w:t>
      </w:r>
      <w:r w:rsidR="002214AC">
        <w:rPr>
          <w:lang w:val="en-GB"/>
        </w:rPr>
        <w:t>State</w:t>
      </w:r>
      <w:r w:rsidRPr="00272D5C">
        <w:rPr>
          <w:lang w:val="en-GB"/>
        </w:rPr>
        <w:t>-level, regional and national stakeholders to foster a forest-based sustainable economy with the participation of farmers, traditional populations and indigenous peoples.</w:t>
      </w:r>
    </w:p>
    <w:p w14:paraId="5E2952F6" w14:textId="15557814" w:rsidR="00CF048F" w:rsidRPr="00272D5C" w:rsidRDefault="00CF048F" w:rsidP="007F28CF">
      <w:pPr>
        <w:pStyle w:val="Normal1"/>
        <w:jc w:val="both"/>
        <w:rPr>
          <w:lang w:val="en-GB"/>
        </w:rPr>
      </w:pPr>
      <w:r w:rsidRPr="00272D5C">
        <w:rPr>
          <w:lang w:val="en-GB"/>
        </w:rPr>
        <w:t xml:space="preserve">In addition to providing institutional capacity for the government to implement the policy, </w:t>
      </w:r>
      <w:r w:rsidR="00BD6582">
        <w:rPr>
          <w:lang w:val="en-GB"/>
        </w:rPr>
        <w:t xml:space="preserve">the project will also </w:t>
      </w:r>
      <w:r w:rsidR="00BD6582" w:rsidRPr="00272D5C">
        <w:rPr>
          <w:lang w:val="en-GB"/>
        </w:rPr>
        <w:t>eas</w:t>
      </w:r>
      <w:r w:rsidR="00BD6582">
        <w:rPr>
          <w:lang w:val="en-GB"/>
        </w:rPr>
        <w:t>e</w:t>
      </w:r>
      <w:r w:rsidR="00BD6582" w:rsidRPr="00272D5C">
        <w:rPr>
          <w:lang w:val="en-GB"/>
        </w:rPr>
        <w:t xml:space="preserve"> </w:t>
      </w:r>
      <w:r w:rsidRPr="00272D5C">
        <w:rPr>
          <w:lang w:val="en-GB"/>
        </w:rPr>
        <w:t xml:space="preserve">financial incentives access to environmental friendly </w:t>
      </w:r>
      <w:r w:rsidR="005805DD">
        <w:rPr>
          <w:lang w:val="en-GB"/>
        </w:rPr>
        <w:t>programme</w:t>
      </w:r>
      <w:r w:rsidR="005805DD" w:rsidRPr="00272D5C">
        <w:rPr>
          <w:lang w:val="en-GB"/>
        </w:rPr>
        <w:t>s</w:t>
      </w:r>
      <w:r w:rsidR="00BD6582">
        <w:rPr>
          <w:lang w:val="en-GB"/>
        </w:rPr>
        <w:t xml:space="preserve"> through </w:t>
      </w:r>
      <w:r w:rsidR="00BD6582">
        <w:rPr>
          <w:lang w:val="en-GB"/>
        </w:rPr>
        <w:lastRenderedPageBreak/>
        <w:t>the engagement with related public organisations</w:t>
      </w:r>
      <w:r w:rsidRPr="00272D5C">
        <w:rPr>
          <w:lang w:val="en-GB"/>
        </w:rPr>
        <w:t xml:space="preserve">. </w:t>
      </w:r>
      <w:r w:rsidR="00350ACB">
        <w:rPr>
          <w:lang w:val="en-GB"/>
        </w:rPr>
        <w:t>This will enhance a positive agenda within a solid arrangement among partners (both private and public).</w:t>
      </w:r>
    </w:p>
    <w:p w14:paraId="72609DE7" w14:textId="5C1F2329" w:rsidR="00CF048F" w:rsidRDefault="00FA2C4A" w:rsidP="007F28CF">
      <w:pPr>
        <w:jc w:val="both"/>
        <w:rPr>
          <w:lang w:val="en-GB"/>
        </w:rPr>
      </w:pPr>
      <w:r>
        <w:rPr>
          <w:lang w:val="en-GB"/>
        </w:rPr>
        <w:t>Another strategy for the project’s legacy is</w:t>
      </w:r>
      <w:r w:rsidR="00CF048F" w:rsidRPr="00272D5C">
        <w:rPr>
          <w:lang w:val="en-GB"/>
        </w:rPr>
        <w:t xml:space="preserve"> the decentralization of environmental management</w:t>
      </w:r>
      <w:r>
        <w:rPr>
          <w:lang w:val="en-GB"/>
        </w:rPr>
        <w:t xml:space="preserve">. As aforementioned, the </w:t>
      </w:r>
      <w:r w:rsidR="00E20083">
        <w:rPr>
          <w:lang w:val="en-GB"/>
        </w:rPr>
        <w:t>Sustainable Municipalities Programme</w:t>
      </w:r>
      <w:r>
        <w:rPr>
          <w:lang w:val="en-GB"/>
        </w:rPr>
        <w:t xml:space="preserve"> has been </w:t>
      </w:r>
      <w:r w:rsidRPr="00FA2C4A">
        <w:rPr>
          <w:lang w:val="en-GB"/>
        </w:rPr>
        <w:t>enhancing local-level decision making processes (municipal levels) through direct investments in local fora and building capacity on local public decision-makers</w:t>
      </w:r>
      <w:r>
        <w:rPr>
          <w:lang w:val="en-GB"/>
        </w:rPr>
        <w:t>.</w:t>
      </w:r>
      <w:r w:rsidR="00FC0319" w:rsidRPr="00272D5C" w:rsidDel="00E20083">
        <w:rPr>
          <w:lang w:val="en-GB"/>
        </w:rPr>
        <w:t xml:space="preserve"> </w:t>
      </w:r>
      <w:r w:rsidR="00900762">
        <w:rPr>
          <w:lang w:val="en-GB"/>
        </w:rPr>
        <w:t>This is important as it also established an effectiveness network amongst municipalities to implement sustainable development in local level. Moreover, such engagement and empowerment will last more than this project as it focuses on capacity building key decision-makers – and also it is based on specific regulations and law.</w:t>
      </w:r>
    </w:p>
    <w:p w14:paraId="5D70C9E8" w14:textId="51AA083A" w:rsidR="00BD6582" w:rsidRPr="00E73C81" w:rsidRDefault="009E0DCF" w:rsidP="007F28CF">
      <w:pPr>
        <w:jc w:val="both"/>
        <w:rPr>
          <w:lang w:val="en-GB"/>
        </w:rPr>
      </w:pPr>
      <w:r>
        <w:rPr>
          <w:lang w:val="en-GB"/>
        </w:rPr>
        <w:t>Finally, and yet important, t</w:t>
      </w:r>
      <w:r w:rsidR="00BD6582" w:rsidRPr="00272D5C">
        <w:rPr>
          <w:lang w:val="en-GB"/>
        </w:rPr>
        <w:t>h</w:t>
      </w:r>
      <w:r>
        <w:rPr>
          <w:lang w:val="en-GB"/>
        </w:rPr>
        <w:t>is</w:t>
      </w:r>
      <w:r w:rsidR="00BD6582" w:rsidRPr="00272D5C">
        <w:rPr>
          <w:lang w:val="en-GB"/>
        </w:rPr>
        <w:t xml:space="preserve"> project will also open up opportunities for private sector to develop sustainable forest business</w:t>
      </w:r>
      <w:r>
        <w:rPr>
          <w:lang w:val="en-GB"/>
        </w:rPr>
        <w:t xml:space="preserve"> by enhancing and improving existing arrangements and accountability tools (e.g., online platform, specific regulations, high-level aligned amongst stakeholders)</w:t>
      </w:r>
      <w:r w:rsidR="00AC196D">
        <w:rPr>
          <w:lang w:val="en-GB"/>
        </w:rPr>
        <w:t xml:space="preserve">. This will be led by </w:t>
      </w:r>
      <w:r w:rsidR="002C4DFF">
        <w:rPr>
          <w:lang w:val="en-GB"/>
        </w:rPr>
        <w:t xml:space="preserve">FAS and IDESAM considering their expertise and </w:t>
      </w:r>
      <w:r w:rsidR="0021765E">
        <w:rPr>
          <w:lang w:val="en-GB"/>
        </w:rPr>
        <w:t>existing networking.</w:t>
      </w:r>
    </w:p>
    <w:p w14:paraId="77E46554" w14:textId="149EB93A" w:rsidR="006F1649" w:rsidRDefault="006F1649" w:rsidP="007F28CF">
      <w:pPr>
        <w:jc w:val="both"/>
        <w:rPr>
          <w:lang w:val="en-GB"/>
        </w:rPr>
      </w:pPr>
    </w:p>
    <w:p w14:paraId="2834AF47" w14:textId="77777777" w:rsidR="00BD6582" w:rsidRDefault="00BD6582" w:rsidP="007F28CF">
      <w:pPr>
        <w:jc w:val="both"/>
        <w:rPr>
          <w:lang w:val="en-GB"/>
        </w:rPr>
        <w:sectPr w:rsidR="00BD6582">
          <w:pgSz w:w="11906" w:h="16838"/>
          <w:pgMar w:top="1417" w:right="1701" w:bottom="1417" w:left="1701" w:header="708" w:footer="708" w:gutter="0"/>
          <w:cols w:space="708"/>
          <w:docGrid w:linePitch="360"/>
        </w:sectPr>
      </w:pPr>
    </w:p>
    <w:p w14:paraId="7F968E64" w14:textId="1563DDA4" w:rsidR="00C10E5D" w:rsidRDefault="00C10E5D" w:rsidP="006F1649">
      <w:pPr>
        <w:pStyle w:val="Heading1"/>
        <w:numPr>
          <w:ilvl w:val="0"/>
          <w:numId w:val="13"/>
        </w:numPr>
        <w:jc w:val="both"/>
        <w:rPr>
          <w:lang w:val="en-GB"/>
        </w:rPr>
      </w:pPr>
      <w:bookmarkStart w:id="17" w:name="_Toc517617423"/>
      <w:r w:rsidRPr="00272D5C">
        <w:rPr>
          <w:lang w:val="en-GB"/>
        </w:rPr>
        <w:lastRenderedPageBreak/>
        <w:t>Budget</w:t>
      </w:r>
      <w:bookmarkEnd w:id="17"/>
    </w:p>
    <w:p w14:paraId="5D8FBA15" w14:textId="5DC12E94" w:rsidR="006F1649" w:rsidRDefault="006F1649" w:rsidP="00E73C81">
      <w:pPr>
        <w:rPr>
          <w:lang w:val="en-GB"/>
        </w:rPr>
      </w:pPr>
    </w:p>
    <w:tbl>
      <w:tblPr>
        <w:tblW w:w="5000" w:type="pct"/>
        <w:jc w:val="center"/>
        <w:tblCellMar>
          <w:left w:w="70" w:type="dxa"/>
          <w:right w:w="70" w:type="dxa"/>
        </w:tblCellMar>
        <w:tblLook w:val="04A0" w:firstRow="1" w:lastRow="0" w:firstColumn="1" w:lastColumn="0" w:noHBand="0" w:noVBand="1"/>
      </w:tblPr>
      <w:tblGrid>
        <w:gridCol w:w="1581"/>
        <w:gridCol w:w="1700"/>
        <w:gridCol w:w="1394"/>
        <w:gridCol w:w="865"/>
        <w:gridCol w:w="1224"/>
        <w:gridCol w:w="1115"/>
        <w:gridCol w:w="1325"/>
        <w:gridCol w:w="190"/>
        <w:gridCol w:w="1166"/>
        <w:gridCol w:w="1166"/>
        <w:gridCol w:w="1093"/>
        <w:gridCol w:w="195"/>
        <w:gridCol w:w="980"/>
      </w:tblGrid>
      <w:tr w:rsidR="007678F1" w:rsidRPr="002F595E" w14:paraId="31276522" w14:textId="77777777" w:rsidTr="000C49CE">
        <w:trPr>
          <w:trHeight w:val="870"/>
          <w:jc w:val="center"/>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B9440"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Output</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00B3323F"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Activities</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59B49F0"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 xml:space="preserve">Budget Description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61707F16"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Budget 2018 (Sept 18)</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33C860F6"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Budget 2019</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93C7B69"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Budget 2020 (March 20)</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10572DE9"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Subtotal GCF Fund</w:t>
            </w:r>
          </w:p>
        </w:tc>
        <w:tc>
          <w:tcPr>
            <w:tcW w:w="68" w:type="pct"/>
            <w:tcBorders>
              <w:top w:val="single" w:sz="4" w:space="0" w:color="auto"/>
              <w:left w:val="nil"/>
              <w:bottom w:val="single" w:sz="4" w:space="0" w:color="auto"/>
              <w:right w:val="single" w:sz="4" w:space="0" w:color="auto"/>
            </w:tcBorders>
            <w:shd w:val="clear" w:color="000000" w:fill="D9D9D9"/>
            <w:vAlign w:val="center"/>
            <w:hideMark/>
          </w:tcPr>
          <w:p w14:paraId="7B88F10C"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 </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F945C69" w14:textId="77777777" w:rsidR="002F595E" w:rsidRPr="00C35EAD" w:rsidRDefault="002F595E" w:rsidP="002F595E">
            <w:pPr>
              <w:spacing w:after="0" w:line="240" w:lineRule="auto"/>
              <w:jc w:val="both"/>
              <w:rPr>
                <w:rFonts w:ascii="Calibri" w:eastAsia="Times New Roman" w:hAnsi="Calibri" w:cs="Calibri"/>
                <w:b/>
                <w:bCs/>
                <w:color w:val="000000"/>
                <w:lang w:val="en-GB" w:eastAsia="pt-BR"/>
              </w:rPr>
            </w:pPr>
            <w:r w:rsidRPr="00C35EAD">
              <w:rPr>
                <w:rFonts w:ascii="Calibri" w:eastAsia="Times New Roman" w:hAnsi="Calibri" w:cs="Calibri"/>
                <w:b/>
                <w:bCs/>
                <w:color w:val="000000"/>
                <w:lang w:val="en-GB" w:eastAsia="pt-BR"/>
              </w:rPr>
              <w:t xml:space="preserve">Additional funding: </w:t>
            </w:r>
            <w:r w:rsidRPr="00C35EAD">
              <w:rPr>
                <w:rFonts w:ascii="Calibri" w:eastAsia="Times New Roman" w:hAnsi="Calibri" w:cs="Calibri"/>
                <w:b/>
                <w:bCs/>
                <w:color w:val="000000"/>
                <w:lang w:val="en-GB" w:eastAsia="pt-BR"/>
              </w:rPr>
              <w:br/>
              <w:t>source &amp; description (NGO)</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09A9F626" w14:textId="77777777" w:rsidR="002F595E" w:rsidRPr="00C35EAD" w:rsidRDefault="002F595E" w:rsidP="002F595E">
            <w:pPr>
              <w:spacing w:after="0" w:line="240" w:lineRule="auto"/>
              <w:jc w:val="both"/>
              <w:rPr>
                <w:rFonts w:ascii="Calibri" w:eastAsia="Times New Roman" w:hAnsi="Calibri" w:cs="Calibri"/>
                <w:b/>
                <w:bCs/>
                <w:color w:val="000000"/>
                <w:lang w:val="en-GB" w:eastAsia="pt-BR"/>
              </w:rPr>
            </w:pPr>
            <w:r w:rsidRPr="00C35EAD">
              <w:rPr>
                <w:rFonts w:ascii="Calibri" w:eastAsia="Times New Roman" w:hAnsi="Calibri" w:cs="Calibri"/>
                <w:b/>
                <w:bCs/>
                <w:color w:val="000000"/>
                <w:lang w:val="en-GB" w:eastAsia="pt-BR"/>
              </w:rPr>
              <w:t xml:space="preserve">Additional funding: </w:t>
            </w:r>
            <w:r w:rsidRPr="00C35EAD">
              <w:rPr>
                <w:rFonts w:ascii="Calibri" w:eastAsia="Times New Roman" w:hAnsi="Calibri" w:cs="Calibri"/>
                <w:b/>
                <w:bCs/>
                <w:color w:val="000000"/>
                <w:lang w:val="en-GB" w:eastAsia="pt-BR"/>
              </w:rPr>
              <w:br/>
              <w:t>source &amp; description (Amazonas gvt)</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854C6A7"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Additional funding: amount</w:t>
            </w:r>
          </w:p>
        </w:tc>
        <w:tc>
          <w:tcPr>
            <w:tcW w:w="69" w:type="pct"/>
            <w:tcBorders>
              <w:top w:val="single" w:sz="4" w:space="0" w:color="auto"/>
              <w:left w:val="nil"/>
              <w:bottom w:val="single" w:sz="4" w:space="0" w:color="auto"/>
              <w:right w:val="single" w:sz="4" w:space="0" w:color="auto"/>
            </w:tcBorders>
            <w:shd w:val="clear" w:color="000000" w:fill="D9D9D9"/>
            <w:noWrap/>
            <w:vAlign w:val="bottom"/>
            <w:hideMark/>
          </w:tcPr>
          <w:p w14:paraId="4755CD02"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41A6A57C" w14:textId="77777777" w:rsidR="002F595E" w:rsidRPr="002F595E" w:rsidRDefault="002F595E" w:rsidP="002F595E">
            <w:pPr>
              <w:spacing w:after="0" w:line="240" w:lineRule="auto"/>
              <w:jc w:val="center"/>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TOTAL</w:t>
            </w:r>
          </w:p>
        </w:tc>
      </w:tr>
      <w:tr w:rsidR="007678F1" w:rsidRPr="002F595E" w14:paraId="7FC69F41" w14:textId="77777777" w:rsidTr="000C49CE">
        <w:trPr>
          <w:trHeight w:val="1450"/>
          <w:jc w:val="center"/>
        </w:trPr>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14:paraId="4F5F9015" w14:textId="77777777" w:rsidR="002F595E" w:rsidRPr="00C35EAD" w:rsidRDefault="002F595E" w:rsidP="002F595E">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1. Approval of legal instruments for the State REDD+ Plan and the benefit sharing mechanism under the LSA</w:t>
            </w:r>
          </w:p>
        </w:tc>
        <w:tc>
          <w:tcPr>
            <w:tcW w:w="504" w:type="pct"/>
            <w:tcBorders>
              <w:top w:val="nil"/>
              <w:left w:val="nil"/>
              <w:bottom w:val="single" w:sz="4" w:space="0" w:color="auto"/>
              <w:right w:val="single" w:sz="4" w:space="0" w:color="auto"/>
            </w:tcBorders>
            <w:shd w:val="clear" w:color="auto" w:fill="auto"/>
            <w:vAlign w:val="center"/>
            <w:hideMark/>
          </w:tcPr>
          <w:p w14:paraId="2027617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i.       Draft the decree</w:t>
            </w:r>
          </w:p>
        </w:tc>
        <w:tc>
          <w:tcPr>
            <w:tcW w:w="485" w:type="pct"/>
            <w:tcBorders>
              <w:top w:val="nil"/>
              <w:left w:val="nil"/>
              <w:bottom w:val="single" w:sz="4" w:space="0" w:color="auto"/>
              <w:right w:val="single" w:sz="4" w:space="0" w:color="auto"/>
            </w:tcBorders>
            <w:shd w:val="clear" w:color="auto" w:fill="auto"/>
            <w:vAlign w:val="center"/>
            <w:hideMark/>
          </w:tcPr>
          <w:p w14:paraId="21D2613B"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*consultancy on legal &amp; institutional arrangements (State and National levels); *direct involvement of SEMA, FAS &amp; Idesam</w:t>
            </w:r>
          </w:p>
        </w:tc>
        <w:tc>
          <w:tcPr>
            <w:tcW w:w="302" w:type="pct"/>
            <w:tcBorders>
              <w:top w:val="nil"/>
              <w:left w:val="nil"/>
              <w:bottom w:val="single" w:sz="4" w:space="0" w:color="auto"/>
              <w:right w:val="single" w:sz="4" w:space="0" w:color="auto"/>
            </w:tcBorders>
            <w:shd w:val="clear" w:color="auto" w:fill="auto"/>
            <w:vAlign w:val="center"/>
            <w:hideMark/>
          </w:tcPr>
          <w:p w14:paraId="1EE8CFD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32.267 </w:t>
            </w:r>
          </w:p>
        </w:tc>
        <w:tc>
          <w:tcPr>
            <w:tcW w:w="478" w:type="pct"/>
            <w:tcBorders>
              <w:top w:val="nil"/>
              <w:left w:val="nil"/>
              <w:bottom w:val="single" w:sz="4" w:space="0" w:color="auto"/>
              <w:right w:val="single" w:sz="4" w:space="0" w:color="auto"/>
            </w:tcBorders>
            <w:shd w:val="clear" w:color="auto" w:fill="auto"/>
            <w:vAlign w:val="center"/>
            <w:hideMark/>
          </w:tcPr>
          <w:p w14:paraId="647AB99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11.245 </w:t>
            </w:r>
          </w:p>
        </w:tc>
        <w:tc>
          <w:tcPr>
            <w:tcW w:w="439" w:type="pct"/>
            <w:tcBorders>
              <w:top w:val="nil"/>
              <w:left w:val="nil"/>
              <w:bottom w:val="single" w:sz="4" w:space="0" w:color="auto"/>
              <w:right w:val="single" w:sz="4" w:space="0" w:color="auto"/>
            </w:tcBorders>
            <w:shd w:val="clear" w:color="auto" w:fill="auto"/>
            <w:vAlign w:val="center"/>
            <w:hideMark/>
          </w:tcPr>
          <w:p w14:paraId="532F603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5.378 </w:t>
            </w:r>
          </w:p>
        </w:tc>
        <w:tc>
          <w:tcPr>
            <w:tcW w:w="514" w:type="pct"/>
            <w:tcBorders>
              <w:top w:val="nil"/>
              <w:left w:val="nil"/>
              <w:bottom w:val="single" w:sz="4" w:space="0" w:color="auto"/>
              <w:right w:val="single" w:sz="4" w:space="0" w:color="auto"/>
            </w:tcBorders>
            <w:shd w:val="clear" w:color="auto" w:fill="auto"/>
            <w:vAlign w:val="center"/>
            <w:hideMark/>
          </w:tcPr>
          <w:p w14:paraId="5B8B60A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48.890 </w:t>
            </w:r>
          </w:p>
        </w:tc>
        <w:tc>
          <w:tcPr>
            <w:tcW w:w="68" w:type="pct"/>
            <w:tcBorders>
              <w:top w:val="nil"/>
              <w:left w:val="nil"/>
              <w:bottom w:val="single" w:sz="4" w:space="0" w:color="auto"/>
              <w:right w:val="single" w:sz="4" w:space="0" w:color="auto"/>
            </w:tcBorders>
            <w:shd w:val="clear" w:color="000000" w:fill="D9D9D9"/>
            <w:vAlign w:val="center"/>
            <w:hideMark/>
          </w:tcPr>
          <w:p w14:paraId="0D07700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7161D7C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51A06E5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381" w:type="pct"/>
            <w:tcBorders>
              <w:top w:val="nil"/>
              <w:left w:val="nil"/>
              <w:bottom w:val="single" w:sz="4" w:space="0" w:color="auto"/>
              <w:right w:val="single" w:sz="4" w:space="0" w:color="auto"/>
            </w:tcBorders>
            <w:shd w:val="clear" w:color="auto" w:fill="auto"/>
            <w:vAlign w:val="center"/>
            <w:hideMark/>
          </w:tcPr>
          <w:p w14:paraId="12B7147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69" w:type="pct"/>
            <w:tcBorders>
              <w:top w:val="nil"/>
              <w:left w:val="nil"/>
              <w:bottom w:val="single" w:sz="4" w:space="0" w:color="auto"/>
              <w:right w:val="single" w:sz="4" w:space="0" w:color="auto"/>
            </w:tcBorders>
            <w:shd w:val="clear" w:color="000000" w:fill="D9D9D9"/>
            <w:noWrap/>
            <w:vAlign w:val="bottom"/>
            <w:hideMark/>
          </w:tcPr>
          <w:p w14:paraId="14981C67"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2A865DB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48.890 </w:t>
            </w:r>
          </w:p>
        </w:tc>
      </w:tr>
      <w:tr w:rsidR="007678F1" w:rsidRPr="002F595E" w14:paraId="2B901D2A" w14:textId="77777777" w:rsidTr="000C49CE">
        <w:trPr>
          <w:trHeight w:val="870"/>
          <w:jc w:val="center"/>
        </w:trPr>
        <w:tc>
          <w:tcPr>
            <w:tcW w:w="606" w:type="pct"/>
            <w:vMerge/>
            <w:tcBorders>
              <w:top w:val="nil"/>
              <w:left w:val="single" w:sz="4" w:space="0" w:color="auto"/>
              <w:bottom w:val="single" w:sz="4" w:space="0" w:color="auto"/>
              <w:right w:val="single" w:sz="4" w:space="0" w:color="auto"/>
            </w:tcBorders>
            <w:vAlign w:val="center"/>
            <w:hideMark/>
          </w:tcPr>
          <w:p w14:paraId="01D87608"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6834B64B"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Present and discuss the draft version in public consultations, FAMC, specific meetings and workshops</w:t>
            </w:r>
          </w:p>
        </w:tc>
        <w:tc>
          <w:tcPr>
            <w:tcW w:w="485" w:type="pct"/>
            <w:tcBorders>
              <w:top w:val="nil"/>
              <w:left w:val="nil"/>
              <w:bottom w:val="single" w:sz="4" w:space="0" w:color="auto"/>
              <w:right w:val="single" w:sz="4" w:space="0" w:color="auto"/>
            </w:tcBorders>
            <w:shd w:val="clear" w:color="auto" w:fill="auto"/>
            <w:vAlign w:val="center"/>
            <w:hideMark/>
          </w:tcPr>
          <w:p w14:paraId="49424D97"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consultant as executive secretary of FAMC to prepare meetings and related documents</w:t>
            </w:r>
          </w:p>
        </w:tc>
        <w:tc>
          <w:tcPr>
            <w:tcW w:w="302" w:type="pct"/>
            <w:tcBorders>
              <w:top w:val="nil"/>
              <w:left w:val="nil"/>
              <w:bottom w:val="single" w:sz="4" w:space="0" w:color="auto"/>
              <w:right w:val="single" w:sz="4" w:space="0" w:color="auto"/>
            </w:tcBorders>
            <w:shd w:val="clear" w:color="auto" w:fill="auto"/>
            <w:vAlign w:val="center"/>
            <w:hideMark/>
          </w:tcPr>
          <w:p w14:paraId="0FA76B6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14.513 </w:t>
            </w:r>
          </w:p>
        </w:tc>
        <w:tc>
          <w:tcPr>
            <w:tcW w:w="478" w:type="pct"/>
            <w:tcBorders>
              <w:top w:val="nil"/>
              <w:left w:val="nil"/>
              <w:bottom w:val="single" w:sz="4" w:space="0" w:color="auto"/>
              <w:right w:val="single" w:sz="4" w:space="0" w:color="auto"/>
            </w:tcBorders>
            <w:shd w:val="clear" w:color="auto" w:fill="auto"/>
            <w:vAlign w:val="center"/>
            <w:hideMark/>
          </w:tcPr>
          <w:p w14:paraId="24CF33B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14.513 </w:t>
            </w:r>
          </w:p>
        </w:tc>
        <w:tc>
          <w:tcPr>
            <w:tcW w:w="439" w:type="pct"/>
            <w:tcBorders>
              <w:top w:val="nil"/>
              <w:left w:val="nil"/>
              <w:bottom w:val="single" w:sz="4" w:space="0" w:color="auto"/>
              <w:right w:val="single" w:sz="4" w:space="0" w:color="auto"/>
            </w:tcBorders>
            <w:shd w:val="clear" w:color="auto" w:fill="auto"/>
            <w:vAlign w:val="center"/>
            <w:hideMark/>
          </w:tcPr>
          <w:p w14:paraId="3BFEE3C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3.225 </w:t>
            </w:r>
          </w:p>
        </w:tc>
        <w:tc>
          <w:tcPr>
            <w:tcW w:w="514" w:type="pct"/>
            <w:tcBorders>
              <w:top w:val="nil"/>
              <w:left w:val="nil"/>
              <w:bottom w:val="single" w:sz="4" w:space="0" w:color="auto"/>
              <w:right w:val="single" w:sz="4" w:space="0" w:color="auto"/>
            </w:tcBorders>
            <w:shd w:val="clear" w:color="auto" w:fill="auto"/>
            <w:vAlign w:val="center"/>
            <w:hideMark/>
          </w:tcPr>
          <w:p w14:paraId="3C74C79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32.250 </w:t>
            </w:r>
          </w:p>
        </w:tc>
        <w:tc>
          <w:tcPr>
            <w:tcW w:w="68" w:type="pct"/>
            <w:tcBorders>
              <w:top w:val="nil"/>
              <w:left w:val="nil"/>
              <w:bottom w:val="single" w:sz="4" w:space="0" w:color="auto"/>
              <w:right w:val="single" w:sz="4" w:space="0" w:color="auto"/>
            </w:tcBorders>
            <w:shd w:val="clear" w:color="000000" w:fill="D9D9D9"/>
            <w:vAlign w:val="center"/>
            <w:hideMark/>
          </w:tcPr>
          <w:p w14:paraId="6718FF0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44FDC62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12.000 </w:t>
            </w:r>
          </w:p>
        </w:tc>
        <w:tc>
          <w:tcPr>
            <w:tcW w:w="406" w:type="pct"/>
            <w:tcBorders>
              <w:top w:val="nil"/>
              <w:left w:val="nil"/>
              <w:bottom w:val="single" w:sz="4" w:space="0" w:color="auto"/>
              <w:right w:val="single" w:sz="4" w:space="0" w:color="auto"/>
            </w:tcBorders>
            <w:shd w:val="clear" w:color="auto" w:fill="auto"/>
            <w:vAlign w:val="center"/>
            <w:hideMark/>
          </w:tcPr>
          <w:p w14:paraId="56A8A37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7.500 </w:t>
            </w:r>
          </w:p>
        </w:tc>
        <w:tc>
          <w:tcPr>
            <w:tcW w:w="381" w:type="pct"/>
            <w:tcBorders>
              <w:top w:val="nil"/>
              <w:left w:val="nil"/>
              <w:bottom w:val="single" w:sz="4" w:space="0" w:color="auto"/>
              <w:right w:val="single" w:sz="4" w:space="0" w:color="auto"/>
            </w:tcBorders>
            <w:shd w:val="clear" w:color="auto" w:fill="auto"/>
            <w:vAlign w:val="center"/>
            <w:hideMark/>
          </w:tcPr>
          <w:p w14:paraId="1E949E8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19.500 </w:t>
            </w:r>
          </w:p>
        </w:tc>
        <w:tc>
          <w:tcPr>
            <w:tcW w:w="69" w:type="pct"/>
            <w:tcBorders>
              <w:top w:val="nil"/>
              <w:left w:val="nil"/>
              <w:bottom w:val="single" w:sz="4" w:space="0" w:color="auto"/>
              <w:right w:val="single" w:sz="4" w:space="0" w:color="auto"/>
            </w:tcBorders>
            <w:shd w:val="clear" w:color="000000" w:fill="D9D9D9"/>
            <w:noWrap/>
            <w:vAlign w:val="bottom"/>
            <w:hideMark/>
          </w:tcPr>
          <w:p w14:paraId="469313CF"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136BD9D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51.750 </w:t>
            </w:r>
          </w:p>
        </w:tc>
      </w:tr>
      <w:tr w:rsidR="007678F1" w:rsidRPr="002F595E" w14:paraId="4DC71544" w14:textId="77777777" w:rsidTr="000C49CE">
        <w:trPr>
          <w:trHeight w:val="580"/>
          <w:jc w:val="center"/>
        </w:trPr>
        <w:tc>
          <w:tcPr>
            <w:tcW w:w="606" w:type="pct"/>
            <w:vMerge/>
            <w:tcBorders>
              <w:top w:val="nil"/>
              <w:left w:val="single" w:sz="4" w:space="0" w:color="auto"/>
              <w:bottom w:val="single" w:sz="4" w:space="0" w:color="auto"/>
              <w:right w:val="single" w:sz="4" w:space="0" w:color="auto"/>
            </w:tcBorders>
            <w:vAlign w:val="center"/>
            <w:hideMark/>
          </w:tcPr>
          <w:p w14:paraId="52BB9FDC"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02F09F54"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iii.       Engage with the State House of Representatives to approve the decree</w:t>
            </w:r>
          </w:p>
        </w:tc>
        <w:tc>
          <w:tcPr>
            <w:tcW w:w="485" w:type="pct"/>
            <w:tcBorders>
              <w:top w:val="nil"/>
              <w:left w:val="nil"/>
              <w:bottom w:val="single" w:sz="4" w:space="0" w:color="auto"/>
              <w:right w:val="single" w:sz="4" w:space="0" w:color="auto"/>
            </w:tcBorders>
            <w:shd w:val="clear" w:color="auto" w:fill="auto"/>
            <w:vAlign w:val="center"/>
            <w:hideMark/>
          </w:tcPr>
          <w:p w14:paraId="641D1C4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advocacy and networking</w:t>
            </w:r>
          </w:p>
        </w:tc>
        <w:tc>
          <w:tcPr>
            <w:tcW w:w="302" w:type="pct"/>
            <w:tcBorders>
              <w:top w:val="nil"/>
              <w:left w:val="nil"/>
              <w:bottom w:val="single" w:sz="4" w:space="0" w:color="auto"/>
              <w:right w:val="single" w:sz="4" w:space="0" w:color="auto"/>
            </w:tcBorders>
            <w:shd w:val="clear" w:color="auto" w:fill="auto"/>
            <w:vAlign w:val="center"/>
            <w:hideMark/>
          </w:tcPr>
          <w:p w14:paraId="4BD2A39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78" w:type="pct"/>
            <w:tcBorders>
              <w:top w:val="nil"/>
              <w:left w:val="nil"/>
              <w:bottom w:val="single" w:sz="4" w:space="0" w:color="auto"/>
              <w:right w:val="single" w:sz="4" w:space="0" w:color="auto"/>
            </w:tcBorders>
            <w:shd w:val="clear" w:color="auto" w:fill="auto"/>
            <w:vAlign w:val="center"/>
            <w:hideMark/>
          </w:tcPr>
          <w:p w14:paraId="6AD9BF0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1.920 </w:t>
            </w:r>
          </w:p>
        </w:tc>
        <w:tc>
          <w:tcPr>
            <w:tcW w:w="439" w:type="pct"/>
            <w:tcBorders>
              <w:top w:val="nil"/>
              <w:left w:val="nil"/>
              <w:bottom w:val="single" w:sz="4" w:space="0" w:color="auto"/>
              <w:right w:val="single" w:sz="4" w:space="0" w:color="auto"/>
            </w:tcBorders>
            <w:shd w:val="clear" w:color="auto" w:fill="auto"/>
            <w:vAlign w:val="center"/>
            <w:hideMark/>
          </w:tcPr>
          <w:p w14:paraId="3E814E3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480 </w:t>
            </w:r>
          </w:p>
        </w:tc>
        <w:tc>
          <w:tcPr>
            <w:tcW w:w="514" w:type="pct"/>
            <w:tcBorders>
              <w:top w:val="nil"/>
              <w:left w:val="nil"/>
              <w:bottom w:val="single" w:sz="4" w:space="0" w:color="auto"/>
              <w:right w:val="single" w:sz="4" w:space="0" w:color="auto"/>
            </w:tcBorders>
            <w:shd w:val="clear" w:color="auto" w:fill="auto"/>
            <w:vAlign w:val="center"/>
            <w:hideMark/>
          </w:tcPr>
          <w:p w14:paraId="01A2B7D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2.400 </w:t>
            </w:r>
          </w:p>
        </w:tc>
        <w:tc>
          <w:tcPr>
            <w:tcW w:w="68" w:type="pct"/>
            <w:tcBorders>
              <w:top w:val="nil"/>
              <w:left w:val="nil"/>
              <w:bottom w:val="single" w:sz="4" w:space="0" w:color="auto"/>
              <w:right w:val="single" w:sz="4" w:space="0" w:color="auto"/>
            </w:tcBorders>
            <w:shd w:val="clear" w:color="000000" w:fill="D9D9D9"/>
            <w:vAlign w:val="center"/>
            <w:hideMark/>
          </w:tcPr>
          <w:p w14:paraId="5A73E33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2ADF7CB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3.500 </w:t>
            </w:r>
          </w:p>
        </w:tc>
        <w:tc>
          <w:tcPr>
            <w:tcW w:w="406" w:type="pct"/>
            <w:tcBorders>
              <w:top w:val="nil"/>
              <w:left w:val="nil"/>
              <w:bottom w:val="single" w:sz="4" w:space="0" w:color="auto"/>
              <w:right w:val="single" w:sz="4" w:space="0" w:color="auto"/>
            </w:tcBorders>
            <w:shd w:val="clear" w:color="auto" w:fill="auto"/>
            <w:vAlign w:val="center"/>
            <w:hideMark/>
          </w:tcPr>
          <w:p w14:paraId="5AC1047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9.000 </w:t>
            </w:r>
          </w:p>
        </w:tc>
        <w:tc>
          <w:tcPr>
            <w:tcW w:w="381" w:type="pct"/>
            <w:tcBorders>
              <w:top w:val="nil"/>
              <w:left w:val="nil"/>
              <w:bottom w:val="single" w:sz="4" w:space="0" w:color="auto"/>
              <w:right w:val="single" w:sz="4" w:space="0" w:color="auto"/>
            </w:tcBorders>
            <w:shd w:val="clear" w:color="auto" w:fill="auto"/>
            <w:vAlign w:val="center"/>
            <w:hideMark/>
          </w:tcPr>
          <w:p w14:paraId="39D671E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12.500 </w:t>
            </w:r>
          </w:p>
        </w:tc>
        <w:tc>
          <w:tcPr>
            <w:tcW w:w="69" w:type="pct"/>
            <w:tcBorders>
              <w:top w:val="nil"/>
              <w:left w:val="nil"/>
              <w:bottom w:val="single" w:sz="4" w:space="0" w:color="auto"/>
              <w:right w:val="single" w:sz="4" w:space="0" w:color="auto"/>
            </w:tcBorders>
            <w:shd w:val="clear" w:color="000000" w:fill="D9D9D9"/>
            <w:noWrap/>
            <w:vAlign w:val="bottom"/>
            <w:hideMark/>
          </w:tcPr>
          <w:p w14:paraId="72DD5940"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30B5E96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14.900 </w:t>
            </w:r>
          </w:p>
        </w:tc>
      </w:tr>
      <w:tr w:rsidR="007678F1" w:rsidRPr="002F595E" w14:paraId="2D74946E" w14:textId="77777777" w:rsidTr="000C49CE">
        <w:trPr>
          <w:trHeight w:val="870"/>
          <w:jc w:val="center"/>
        </w:trPr>
        <w:tc>
          <w:tcPr>
            <w:tcW w:w="606" w:type="pct"/>
            <w:vMerge/>
            <w:tcBorders>
              <w:top w:val="nil"/>
              <w:left w:val="single" w:sz="4" w:space="0" w:color="auto"/>
              <w:bottom w:val="single" w:sz="4" w:space="0" w:color="auto"/>
              <w:right w:val="single" w:sz="4" w:space="0" w:color="auto"/>
            </w:tcBorders>
            <w:vAlign w:val="center"/>
            <w:hideMark/>
          </w:tcPr>
          <w:p w14:paraId="6987A22D"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1365755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Monitoring</w:t>
            </w:r>
          </w:p>
        </w:tc>
        <w:tc>
          <w:tcPr>
            <w:tcW w:w="485" w:type="pct"/>
            <w:tcBorders>
              <w:top w:val="nil"/>
              <w:left w:val="nil"/>
              <w:bottom w:val="single" w:sz="4" w:space="0" w:color="auto"/>
              <w:right w:val="single" w:sz="4" w:space="0" w:color="auto"/>
            </w:tcBorders>
            <w:shd w:val="clear" w:color="auto" w:fill="auto"/>
            <w:vAlign w:val="center"/>
            <w:hideMark/>
          </w:tcPr>
          <w:p w14:paraId="365327AE"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SEMA, FAS, Idesam, CI-BR, FVA &amp; IPAM will support and supervise all activities</w:t>
            </w:r>
          </w:p>
        </w:tc>
        <w:tc>
          <w:tcPr>
            <w:tcW w:w="302" w:type="pct"/>
            <w:tcBorders>
              <w:top w:val="nil"/>
              <w:left w:val="nil"/>
              <w:bottom w:val="single" w:sz="4" w:space="0" w:color="auto"/>
              <w:right w:val="single" w:sz="4" w:space="0" w:color="auto"/>
            </w:tcBorders>
            <w:shd w:val="clear" w:color="auto" w:fill="auto"/>
            <w:vAlign w:val="center"/>
            <w:hideMark/>
          </w:tcPr>
          <w:p w14:paraId="2F2603F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4.658 </w:t>
            </w:r>
          </w:p>
        </w:tc>
        <w:tc>
          <w:tcPr>
            <w:tcW w:w="478" w:type="pct"/>
            <w:tcBorders>
              <w:top w:val="nil"/>
              <w:left w:val="nil"/>
              <w:bottom w:val="single" w:sz="4" w:space="0" w:color="auto"/>
              <w:right w:val="single" w:sz="4" w:space="0" w:color="auto"/>
            </w:tcBorders>
            <w:shd w:val="clear" w:color="auto" w:fill="auto"/>
            <w:vAlign w:val="center"/>
            <w:hideMark/>
          </w:tcPr>
          <w:p w14:paraId="60731F0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4.658 </w:t>
            </w:r>
          </w:p>
        </w:tc>
        <w:tc>
          <w:tcPr>
            <w:tcW w:w="439" w:type="pct"/>
            <w:tcBorders>
              <w:top w:val="nil"/>
              <w:left w:val="nil"/>
              <w:bottom w:val="single" w:sz="4" w:space="0" w:color="auto"/>
              <w:right w:val="single" w:sz="4" w:space="0" w:color="auto"/>
            </w:tcBorders>
            <w:shd w:val="clear" w:color="auto" w:fill="auto"/>
            <w:vAlign w:val="center"/>
            <w:hideMark/>
          </w:tcPr>
          <w:p w14:paraId="3B7B2D6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1.035 </w:t>
            </w:r>
          </w:p>
        </w:tc>
        <w:tc>
          <w:tcPr>
            <w:tcW w:w="514" w:type="pct"/>
            <w:tcBorders>
              <w:top w:val="nil"/>
              <w:left w:val="nil"/>
              <w:bottom w:val="single" w:sz="4" w:space="0" w:color="auto"/>
              <w:right w:val="single" w:sz="4" w:space="0" w:color="auto"/>
            </w:tcBorders>
            <w:shd w:val="clear" w:color="auto" w:fill="auto"/>
            <w:vAlign w:val="center"/>
            <w:hideMark/>
          </w:tcPr>
          <w:p w14:paraId="7F88E58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10.350 </w:t>
            </w:r>
          </w:p>
        </w:tc>
        <w:tc>
          <w:tcPr>
            <w:tcW w:w="68" w:type="pct"/>
            <w:tcBorders>
              <w:top w:val="nil"/>
              <w:left w:val="nil"/>
              <w:bottom w:val="single" w:sz="4" w:space="0" w:color="auto"/>
              <w:right w:val="single" w:sz="4" w:space="0" w:color="auto"/>
            </w:tcBorders>
            <w:shd w:val="clear" w:color="000000" w:fill="D9D9D9"/>
            <w:vAlign w:val="center"/>
            <w:hideMark/>
          </w:tcPr>
          <w:p w14:paraId="41D9B56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5811BA3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3B20A7F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381" w:type="pct"/>
            <w:tcBorders>
              <w:top w:val="nil"/>
              <w:left w:val="nil"/>
              <w:bottom w:val="single" w:sz="4" w:space="0" w:color="auto"/>
              <w:right w:val="single" w:sz="4" w:space="0" w:color="auto"/>
            </w:tcBorders>
            <w:shd w:val="clear" w:color="auto" w:fill="auto"/>
            <w:vAlign w:val="center"/>
            <w:hideMark/>
          </w:tcPr>
          <w:p w14:paraId="6ED98BF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69" w:type="pct"/>
            <w:tcBorders>
              <w:top w:val="nil"/>
              <w:left w:val="nil"/>
              <w:bottom w:val="single" w:sz="4" w:space="0" w:color="auto"/>
              <w:right w:val="single" w:sz="4" w:space="0" w:color="auto"/>
            </w:tcBorders>
            <w:shd w:val="clear" w:color="000000" w:fill="D9D9D9"/>
            <w:noWrap/>
            <w:vAlign w:val="bottom"/>
            <w:hideMark/>
          </w:tcPr>
          <w:p w14:paraId="2ADB9AFD"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45D592F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10.350 </w:t>
            </w:r>
          </w:p>
        </w:tc>
      </w:tr>
      <w:tr w:rsidR="0094134E" w:rsidRPr="002F595E" w14:paraId="6A66A32C" w14:textId="77777777" w:rsidTr="007678F1">
        <w:trPr>
          <w:trHeight w:val="310"/>
          <w:jc w:val="center"/>
        </w:trPr>
        <w:tc>
          <w:tcPr>
            <w:tcW w:w="606" w:type="pct"/>
            <w:tcBorders>
              <w:top w:val="nil"/>
              <w:left w:val="single" w:sz="4" w:space="0" w:color="auto"/>
              <w:bottom w:val="single" w:sz="4" w:space="0" w:color="auto"/>
              <w:right w:val="single" w:sz="4" w:space="0" w:color="auto"/>
            </w:tcBorders>
            <w:shd w:val="clear" w:color="000000" w:fill="D9D9D9"/>
            <w:vAlign w:val="center"/>
            <w:hideMark/>
          </w:tcPr>
          <w:p w14:paraId="6C6F135B"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Subtotal Output 1</w:t>
            </w:r>
          </w:p>
        </w:tc>
        <w:tc>
          <w:tcPr>
            <w:tcW w:w="504" w:type="pct"/>
            <w:tcBorders>
              <w:top w:val="nil"/>
              <w:left w:val="nil"/>
              <w:bottom w:val="single" w:sz="4" w:space="0" w:color="auto"/>
              <w:right w:val="single" w:sz="4" w:space="0" w:color="auto"/>
            </w:tcBorders>
            <w:shd w:val="clear" w:color="000000" w:fill="D9D9D9"/>
            <w:vAlign w:val="center"/>
            <w:hideMark/>
          </w:tcPr>
          <w:p w14:paraId="7C466A43"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85" w:type="pct"/>
            <w:tcBorders>
              <w:top w:val="nil"/>
              <w:left w:val="nil"/>
              <w:bottom w:val="single" w:sz="4" w:space="0" w:color="auto"/>
              <w:right w:val="single" w:sz="4" w:space="0" w:color="auto"/>
            </w:tcBorders>
            <w:shd w:val="clear" w:color="000000" w:fill="D9D9D9"/>
            <w:vAlign w:val="center"/>
            <w:hideMark/>
          </w:tcPr>
          <w:p w14:paraId="3467953C"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302" w:type="pct"/>
            <w:tcBorders>
              <w:top w:val="nil"/>
              <w:left w:val="nil"/>
              <w:bottom w:val="single" w:sz="4" w:space="0" w:color="auto"/>
              <w:right w:val="single" w:sz="4" w:space="0" w:color="auto"/>
            </w:tcBorders>
            <w:shd w:val="clear" w:color="000000" w:fill="D9D9D9"/>
            <w:vAlign w:val="center"/>
            <w:hideMark/>
          </w:tcPr>
          <w:p w14:paraId="04D4F33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51.437 </w:t>
            </w:r>
          </w:p>
        </w:tc>
        <w:tc>
          <w:tcPr>
            <w:tcW w:w="478" w:type="pct"/>
            <w:tcBorders>
              <w:top w:val="nil"/>
              <w:left w:val="nil"/>
              <w:bottom w:val="single" w:sz="4" w:space="0" w:color="auto"/>
              <w:right w:val="single" w:sz="4" w:space="0" w:color="auto"/>
            </w:tcBorders>
            <w:shd w:val="clear" w:color="000000" w:fill="D9D9D9"/>
            <w:vAlign w:val="center"/>
            <w:hideMark/>
          </w:tcPr>
          <w:p w14:paraId="78846032"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32.335 </w:t>
            </w:r>
          </w:p>
        </w:tc>
        <w:tc>
          <w:tcPr>
            <w:tcW w:w="439" w:type="pct"/>
            <w:tcBorders>
              <w:top w:val="nil"/>
              <w:left w:val="nil"/>
              <w:bottom w:val="single" w:sz="4" w:space="0" w:color="auto"/>
              <w:right w:val="single" w:sz="4" w:space="0" w:color="auto"/>
            </w:tcBorders>
            <w:shd w:val="clear" w:color="000000" w:fill="D9D9D9"/>
            <w:vAlign w:val="center"/>
            <w:hideMark/>
          </w:tcPr>
          <w:p w14:paraId="096B53BB"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10.118 </w:t>
            </w:r>
          </w:p>
        </w:tc>
        <w:tc>
          <w:tcPr>
            <w:tcW w:w="514" w:type="pct"/>
            <w:tcBorders>
              <w:top w:val="nil"/>
              <w:left w:val="nil"/>
              <w:bottom w:val="single" w:sz="4" w:space="0" w:color="auto"/>
              <w:right w:val="single" w:sz="4" w:space="0" w:color="auto"/>
            </w:tcBorders>
            <w:shd w:val="clear" w:color="000000" w:fill="D9D9D9"/>
            <w:vAlign w:val="center"/>
            <w:hideMark/>
          </w:tcPr>
          <w:p w14:paraId="7577E042"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93.890 </w:t>
            </w:r>
          </w:p>
        </w:tc>
        <w:tc>
          <w:tcPr>
            <w:tcW w:w="68" w:type="pct"/>
            <w:tcBorders>
              <w:top w:val="nil"/>
              <w:left w:val="nil"/>
              <w:bottom w:val="single" w:sz="4" w:space="0" w:color="auto"/>
              <w:right w:val="single" w:sz="4" w:space="0" w:color="auto"/>
            </w:tcBorders>
            <w:shd w:val="clear" w:color="000000" w:fill="D9D9D9"/>
            <w:vAlign w:val="center"/>
            <w:hideMark/>
          </w:tcPr>
          <w:p w14:paraId="12E32E1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06" w:type="pct"/>
            <w:tcBorders>
              <w:top w:val="nil"/>
              <w:left w:val="nil"/>
              <w:bottom w:val="single" w:sz="4" w:space="0" w:color="auto"/>
              <w:right w:val="single" w:sz="4" w:space="0" w:color="auto"/>
            </w:tcBorders>
            <w:shd w:val="clear" w:color="000000" w:fill="D9D9D9"/>
            <w:vAlign w:val="center"/>
            <w:hideMark/>
          </w:tcPr>
          <w:p w14:paraId="306B708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15.500 </w:t>
            </w:r>
          </w:p>
        </w:tc>
        <w:tc>
          <w:tcPr>
            <w:tcW w:w="406" w:type="pct"/>
            <w:tcBorders>
              <w:top w:val="nil"/>
              <w:left w:val="nil"/>
              <w:bottom w:val="single" w:sz="4" w:space="0" w:color="auto"/>
              <w:right w:val="single" w:sz="4" w:space="0" w:color="auto"/>
            </w:tcBorders>
            <w:shd w:val="clear" w:color="000000" w:fill="D9D9D9"/>
            <w:vAlign w:val="center"/>
            <w:hideMark/>
          </w:tcPr>
          <w:p w14:paraId="24C9053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16.500 </w:t>
            </w:r>
          </w:p>
        </w:tc>
        <w:tc>
          <w:tcPr>
            <w:tcW w:w="381" w:type="pct"/>
            <w:tcBorders>
              <w:top w:val="nil"/>
              <w:left w:val="nil"/>
              <w:bottom w:val="single" w:sz="4" w:space="0" w:color="auto"/>
              <w:right w:val="single" w:sz="4" w:space="0" w:color="auto"/>
            </w:tcBorders>
            <w:shd w:val="clear" w:color="000000" w:fill="D9D9D9"/>
            <w:vAlign w:val="center"/>
            <w:hideMark/>
          </w:tcPr>
          <w:p w14:paraId="4EDB14A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32.000 </w:t>
            </w:r>
          </w:p>
        </w:tc>
        <w:tc>
          <w:tcPr>
            <w:tcW w:w="69" w:type="pct"/>
            <w:tcBorders>
              <w:top w:val="nil"/>
              <w:left w:val="nil"/>
              <w:bottom w:val="single" w:sz="4" w:space="0" w:color="auto"/>
              <w:right w:val="single" w:sz="4" w:space="0" w:color="auto"/>
            </w:tcBorders>
            <w:shd w:val="clear" w:color="000000" w:fill="D9D9D9"/>
            <w:noWrap/>
            <w:vAlign w:val="bottom"/>
            <w:hideMark/>
          </w:tcPr>
          <w:p w14:paraId="45B54C66" w14:textId="77777777" w:rsidR="002F595E" w:rsidRPr="002F595E" w:rsidRDefault="002F595E" w:rsidP="002F595E">
            <w:pPr>
              <w:spacing w:after="0" w:line="240" w:lineRule="auto"/>
              <w:rPr>
                <w:rFonts w:ascii="Calibri" w:eastAsia="Times New Roman" w:hAnsi="Calibri" w:cs="Calibri"/>
                <w:b/>
                <w:bCs/>
                <w:i/>
                <w:iCs/>
                <w:color w:val="000000"/>
                <w:sz w:val="24"/>
                <w:szCs w:val="24"/>
                <w:lang w:eastAsia="pt-BR"/>
              </w:rPr>
            </w:pPr>
            <w:r w:rsidRPr="002F595E">
              <w:rPr>
                <w:rFonts w:ascii="Calibri" w:eastAsia="Times New Roman" w:hAnsi="Calibri" w:cs="Calibri"/>
                <w:b/>
                <w:bCs/>
                <w:i/>
                <w:iCs/>
                <w:color w:val="000000"/>
                <w:sz w:val="24"/>
                <w:szCs w:val="24"/>
                <w:lang w:eastAsia="pt-BR"/>
              </w:rPr>
              <w:t> </w:t>
            </w:r>
          </w:p>
        </w:tc>
        <w:tc>
          <w:tcPr>
            <w:tcW w:w="342" w:type="pct"/>
            <w:tcBorders>
              <w:top w:val="nil"/>
              <w:left w:val="nil"/>
              <w:bottom w:val="single" w:sz="4" w:space="0" w:color="auto"/>
              <w:right w:val="single" w:sz="4" w:space="0" w:color="auto"/>
            </w:tcBorders>
            <w:shd w:val="clear" w:color="000000" w:fill="D9D9D9"/>
            <w:vAlign w:val="center"/>
            <w:hideMark/>
          </w:tcPr>
          <w:p w14:paraId="5740C231"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$125.890 </w:t>
            </w:r>
          </w:p>
        </w:tc>
      </w:tr>
      <w:tr w:rsidR="00B9166A" w:rsidRPr="002F595E" w14:paraId="3DA0D6FE" w14:textId="77777777" w:rsidTr="000C49CE">
        <w:trPr>
          <w:trHeight w:val="870"/>
          <w:jc w:val="center"/>
        </w:trPr>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7E8EB2DC" w14:textId="77777777" w:rsidR="002F595E" w:rsidRPr="00C35EAD" w:rsidRDefault="002F595E" w:rsidP="002F595E">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2. Public consultations (including to local communities) and safeguards workshops</w:t>
            </w:r>
          </w:p>
        </w:tc>
        <w:tc>
          <w:tcPr>
            <w:tcW w:w="504" w:type="pct"/>
            <w:tcBorders>
              <w:top w:val="nil"/>
              <w:left w:val="nil"/>
              <w:bottom w:val="single" w:sz="4" w:space="0" w:color="auto"/>
              <w:right w:val="single" w:sz="4" w:space="0" w:color="auto"/>
            </w:tcBorders>
            <w:shd w:val="clear" w:color="auto" w:fill="auto"/>
            <w:vAlign w:val="center"/>
            <w:hideMark/>
          </w:tcPr>
          <w:p w14:paraId="4370A6FF"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       Design the strategy and the methodology of public consultations and workshops</w:t>
            </w:r>
          </w:p>
        </w:tc>
        <w:tc>
          <w:tcPr>
            <w:tcW w:w="485" w:type="pct"/>
            <w:tcBorders>
              <w:top w:val="nil"/>
              <w:left w:val="nil"/>
              <w:bottom w:val="single" w:sz="4" w:space="0" w:color="auto"/>
              <w:right w:val="single" w:sz="4" w:space="0" w:color="auto"/>
            </w:tcBorders>
            <w:shd w:val="clear" w:color="auto" w:fill="auto"/>
            <w:vAlign w:val="center"/>
            <w:hideMark/>
          </w:tcPr>
          <w:p w14:paraId="53C34EE4"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*consultancy on engagement and public consultation; direct involvement of SEMA &amp; FAS</w:t>
            </w:r>
          </w:p>
        </w:tc>
        <w:tc>
          <w:tcPr>
            <w:tcW w:w="302" w:type="pct"/>
            <w:tcBorders>
              <w:top w:val="nil"/>
              <w:left w:val="nil"/>
              <w:bottom w:val="single" w:sz="4" w:space="0" w:color="auto"/>
              <w:right w:val="single" w:sz="4" w:space="0" w:color="auto"/>
            </w:tcBorders>
            <w:shd w:val="clear" w:color="auto" w:fill="auto"/>
            <w:vAlign w:val="center"/>
            <w:hideMark/>
          </w:tcPr>
          <w:p w14:paraId="06B65AE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17.800 </w:t>
            </w:r>
          </w:p>
        </w:tc>
        <w:tc>
          <w:tcPr>
            <w:tcW w:w="478" w:type="pct"/>
            <w:tcBorders>
              <w:top w:val="nil"/>
              <w:left w:val="nil"/>
              <w:bottom w:val="single" w:sz="4" w:space="0" w:color="auto"/>
              <w:right w:val="single" w:sz="4" w:space="0" w:color="auto"/>
            </w:tcBorders>
            <w:shd w:val="clear" w:color="auto" w:fill="auto"/>
            <w:vAlign w:val="center"/>
            <w:hideMark/>
          </w:tcPr>
          <w:p w14:paraId="1CC9C36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035A39D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3768898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17.800 </w:t>
            </w:r>
          </w:p>
        </w:tc>
        <w:tc>
          <w:tcPr>
            <w:tcW w:w="68" w:type="pct"/>
            <w:tcBorders>
              <w:top w:val="nil"/>
              <w:left w:val="nil"/>
              <w:bottom w:val="single" w:sz="4" w:space="0" w:color="auto"/>
              <w:right w:val="single" w:sz="4" w:space="0" w:color="auto"/>
            </w:tcBorders>
            <w:shd w:val="clear" w:color="000000" w:fill="D9D9D9"/>
            <w:vAlign w:val="center"/>
            <w:hideMark/>
          </w:tcPr>
          <w:p w14:paraId="4071A76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6330420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4D62136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2.500 </w:t>
            </w:r>
          </w:p>
        </w:tc>
        <w:tc>
          <w:tcPr>
            <w:tcW w:w="381" w:type="pct"/>
            <w:tcBorders>
              <w:top w:val="nil"/>
              <w:left w:val="nil"/>
              <w:bottom w:val="single" w:sz="4" w:space="0" w:color="auto"/>
              <w:right w:val="single" w:sz="4" w:space="0" w:color="auto"/>
            </w:tcBorders>
            <w:shd w:val="clear" w:color="auto" w:fill="auto"/>
            <w:vAlign w:val="center"/>
            <w:hideMark/>
          </w:tcPr>
          <w:p w14:paraId="468F693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2.500 </w:t>
            </w:r>
          </w:p>
        </w:tc>
        <w:tc>
          <w:tcPr>
            <w:tcW w:w="69" w:type="pct"/>
            <w:tcBorders>
              <w:top w:val="nil"/>
              <w:left w:val="nil"/>
              <w:bottom w:val="single" w:sz="4" w:space="0" w:color="auto"/>
              <w:right w:val="single" w:sz="4" w:space="0" w:color="auto"/>
            </w:tcBorders>
            <w:shd w:val="clear" w:color="000000" w:fill="D9D9D9"/>
            <w:noWrap/>
            <w:vAlign w:val="bottom"/>
            <w:hideMark/>
          </w:tcPr>
          <w:p w14:paraId="06C3C35D"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1F2A879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20.300 </w:t>
            </w:r>
          </w:p>
        </w:tc>
      </w:tr>
      <w:tr w:rsidR="00B9166A" w:rsidRPr="002F595E" w14:paraId="296C5C63" w14:textId="77777777" w:rsidTr="000C49CE">
        <w:trPr>
          <w:trHeight w:val="870"/>
          <w:jc w:val="center"/>
        </w:trPr>
        <w:tc>
          <w:tcPr>
            <w:tcW w:w="606" w:type="pct"/>
            <w:vMerge/>
            <w:tcBorders>
              <w:top w:val="nil"/>
              <w:left w:val="single" w:sz="4" w:space="0" w:color="auto"/>
              <w:bottom w:val="single" w:sz="4" w:space="0" w:color="000000"/>
              <w:right w:val="single" w:sz="4" w:space="0" w:color="auto"/>
            </w:tcBorders>
            <w:vAlign w:val="center"/>
            <w:hideMark/>
          </w:tcPr>
          <w:p w14:paraId="5E64A304"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55CEBB00"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Draft a preliminary version for discussion based on others’ experiences and references</w:t>
            </w:r>
          </w:p>
        </w:tc>
        <w:tc>
          <w:tcPr>
            <w:tcW w:w="485" w:type="pct"/>
            <w:tcBorders>
              <w:top w:val="nil"/>
              <w:left w:val="nil"/>
              <w:bottom w:val="single" w:sz="4" w:space="0" w:color="auto"/>
              <w:right w:val="single" w:sz="4" w:space="0" w:color="auto"/>
            </w:tcBorders>
            <w:shd w:val="clear" w:color="auto" w:fill="auto"/>
            <w:vAlign w:val="center"/>
            <w:hideMark/>
          </w:tcPr>
          <w:p w14:paraId="76E8D413"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*consultancy on engagement and public consultation; direct involvement </w:t>
            </w:r>
            <w:r w:rsidRPr="00C35EAD">
              <w:rPr>
                <w:rFonts w:ascii="Calibri" w:eastAsia="Times New Roman" w:hAnsi="Calibri" w:cs="Calibri"/>
                <w:color w:val="000000"/>
                <w:lang w:val="en-GB" w:eastAsia="pt-BR"/>
              </w:rPr>
              <w:lastRenderedPageBreak/>
              <w:t>of SEMA &amp; FAS</w:t>
            </w:r>
          </w:p>
        </w:tc>
        <w:tc>
          <w:tcPr>
            <w:tcW w:w="302" w:type="pct"/>
            <w:tcBorders>
              <w:top w:val="nil"/>
              <w:left w:val="nil"/>
              <w:bottom w:val="single" w:sz="4" w:space="0" w:color="auto"/>
              <w:right w:val="single" w:sz="4" w:space="0" w:color="auto"/>
            </w:tcBorders>
            <w:shd w:val="clear" w:color="auto" w:fill="auto"/>
            <w:vAlign w:val="center"/>
            <w:hideMark/>
          </w:tcPr>
          <w:p w14:paraId="5D1CDE6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lastRenderedPageBreak/>
              <w:t xml:space="preserve"> </w:t>
            </w:r>
            <w:r w:rsidRPr="002F595E">
              <w:rPr>
                <w:rFonts w:ascii="Calibri" w:eastAsia="Times New Roman" w:hAnsi="Calibri" w:cs="Calibri"/>
                <w:color w:val="000000"/>
                <w:lang w:eastAsia="pt-BR"/>
              </w:rPr>
              <w:t xml:space="preserve">$              13.750 </w:t>
            </w:r>
          </w:p>
        </w:tc>
        <w:tc>
          <w:tcPr>
            <w:tcW w:w="478" w:type="pct"/>
            <w:tcBorders>
              <w:top w:val="nil"/>
              <w:left w:val="nil"/>
              <w:bottom w:val="single" w:sz="4" w:space="0" w:color="auto"/>
              <w:right w:val="single" w:sz="4" w:space="0" w:color="auto"/>
            </w:tcBorders>
            <w:shd w:val="clear" w:color="auto" w:fill="auto"/>
            <w:vAlign w:val="center"/>
            <w:hideMark/>
          </w:tcPr>
          <w:p w14:paraId="378C044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118D1E3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6DCCF89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13.750 </w:t>
            </w:r>
          </w:p>
        </w:tc>
        <w:tc>
          <w:tcPr>
            <w:tcW w:w="68" w:type="pct"/>
            <w:tcBorders>
              <w:top w:val="nil"/>
              <w:left w:val="nil"/>
              <w:bottom w:val="single" w:sz="4" w:space="0" w:color="auto"/>
              <w:right w:val="single" w:sz="4" w:space="0" w:color="auto"/>
            </w:tcBorders>
            <w:shd w:val="clear" w:color="000000" w:fill="D9D9D9"/>
            <w:vAlign w:val="center"/>
            <w:hideMark/>
          </w:tcPr>
          <w:p w14:paraId="6B68FC0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3598EC6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46B2529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381" w:type="pct"/>
            <w:tcBorders>
              <w:top w:val="nil"/>
              <w:left w:val="nil"/>
              <w:bottom w:val="single" w:sz="4" w:space="0" w:color="auto"/>
              <w:right w:val="single" w:sz="4" w:space="0" w:color="auto"/>
            </w:tcBorders>
            <w:shd w:val="clear" w:color="auto" w:fill="auto"/>
            <w:vAlign w:val="center"/>
            <w:hideMark/>
          </w:tcPr>
          <w:p w14:paraId="4217012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69" w:type="pct"/>
            <w:tcBorders>
              <w:top w:val="nil"/>
              <w:left w:val="nil"/>
              <w:bottom w:val="single" w:sz="4" w:space="0" w:color="auto"/>
              <w:right w:val="single" w:sz="4" w:space="0" w:color="auto"/>
            </w:tcBorders>
            <w:shd w:val="clear" w:color="000000" w:fill="D9D9D9"/>
            <w:noWrap/>
            <w:vAlign w:val="bottom"/>
            <w:hideMark/>
          </w:tcPr>
          <w:p w14:paraId="079546DD"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04CC372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23.750 </w:t>
            </w:r>
          </w:p>
        </w:tc>
      </w:tr>
      <w:tr w:rsidR="00B9166A" w:rsidRPr="002F595E" w14:paraId="627D175A"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3D21028E"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366BCB17"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iii.       Organise workshops</w:t>
            </w:r>
          </w:p>
        </w:tc>
        <w:tc>
          <w:tcPr>
            <w:tcW w:w="485" w:type="pct"/>
            <w:tcBorders>
              <w:top w:val="nil"/>
              <w:left w:val="nil"/>
              <w:bottom w:val="single" w:sz="4" w:space="0" w:color="auto"/>
              <w:right w:val="single" w:sz="4" w:space="0" w:color="auto"/>
            </w:tcBorders>
            <w:shd w:val="clear" w:color="auto" w:fill="auto"/>
            <w:vAlign w:val="center"/>
            <w:hideMark/>
          </w:tcPr>
          <w:p w14:paraId="605B1276"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*consultancy on engagement and public consultation</w:t>
            </w:r>
          </w:p>
        </w:tc>
        <w:tc>
          <w:tcPr>
            <w:tcW w:w="302" w:type="pct"/>
            <w:tcBorders>
              <w:top w:val="nil"/>
              <w:left w:val="nil"/>
              <w:bottom w:val="single" w:sz="4" w:space="0" w:color="auto"/>
              <w:right w:val="single" w:sz="4" w:space="0" w:color="auto"/>
            </w:tcBorders>
            <w:shd w:val="clear" w:color="auto" w:fill="auto"/>
            <w:vAlign w:val="center"/>
            <w:hideMark/>
          </w:tcPr>
          <w:p w14:paraId="20E0224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24.000 </w:t>
            </w:r>
          </w:p>
        </w:tc>
        <w:tc>
          <w:tcPr>
            <w:tcW w:w="478" w:type="pct"/>
            <w:tcBorders>
              <w:top w:val="nil"/>
              <w:left w:val="nil"/>
              <w:bottom w:val="single" w:sz="4" w:space="0" w:color="auto"/>
              <w:right w:val="single" w:sz="4" w:space="0" w:color="auto"/>
            </w:tcBorders>
            <w:shd w:val="clear" w:color="auto" w:fill="auto"/>
            <w:vAlign w:val="center"/>
            <w:hideMark/>
          </w:tcPr>
          <w:p w14:paraId="5190608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6.000 </w:t>
            </w:r>
          </w:p>
        </w:tc>
        <w:tc>
          <w:tcPr>
            <w:tcW w:w="439" w:type="pct"/>
            <w:tcBorders>
              <w:top w:val="nil"/>
              <w:left w:val="nil"/>
              <w:bottom w:val="single" w:sz="4" w:space="0" w:color="auto"/>
              <w:right w:val="single" w:sz="4" w:space="0" w:color="auto"/>
            </w:tcBorders>
            <w:shd w:val="clear" w:color="auto" w:fill="auto"/>
            <w:vAlign w:val="center"/>
            <w:hideMark/>
          </w:tcPr>
          <w:p w14:paraId="2AD3E73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1E5B2B5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30.000 </w:t>
            </w:r>
          </w:p>
        </w:tc>
        <w:tc>
          <w:tcPr>
            <w:tcW w:w="68" w:type="pct"/>
            <w:tcBorders>
              <w:top w:val="nil"/>
              <w:left w:val="nil"/>
              <w:bottom w:val="single" w:sz="4" w:space="0" w:color="auto"/>
              <w:right w:val="single" w:sz="4" w:space="0" w:color="auto"/>
            </w:tcBorders>
            <w:shd w:val="clear" w:color="000000" w:fill="D9D9D9"/>
            <w:vAlign w:val="center"/>
            <w:hideMark/>
          </w:tcPr>
          <w:p w14:paraId="2A99643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59A68F1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406" w:type="pct"/>
            <w:tcBorders>
              <w:top w:val="nil"/>
              <w:left w:val="nil"/>
              <w:bottom w:val="single" w:sz="4" w:space="0" w:color="auto"/>
              <w:right w:val="single" w:sz="4" w:space="0" w:color="auto"/>
            </w:tcBorders>
            <w:shd w:val="clear" w:color="auto" w:fill="auto"/>
            <w:vAlign w:val="center"/>
            <w:hideMark/>
          </w:tcPr>
          <w:p w14:paraId="65CD0C0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381" w:type="pct"/>
            <w:tcBorders>
              <w:top w:val="nil"/>
              <w:left w:val="nil"/>
              <w:bottom w:val="single" w:sz="4" w:space="0" w:color="auto"/>
              <w:right w:val="single" w:sz="4" w:space="0" w:color="auto"/>
            </w:tcBorders>
            <w:shd w:val="clear" w:color="auto" w:fill="auto"/>
            <w:vAlign w:val="center"/>
            <w:hideMark/>
          </w:tcPr>
          <w:p w14:paraId="0654114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15.000 </w:t>
            </w:r>
          </w:p>
        </w:tc>
        <w:tc>
          <w:tcPr>
            <w:tcW w:w="69" w:type="pct"/>
            <w:tcBorders>
              <w:top w:val="nil"/>
              <w:left w:val="nil"/>
              <w:bottom w:val="single" w:sz="4" w:space="0" w:color="auto"/>
              <w:right w:val="single" w:sz="4" w:space="0" w:color="auto"/>
            </w:tcBorders>
            <w:shd w:val="clear" w:color="000000" w:fill="D9D9D9"/>
            <w:noWrap/>
            <w:vAlign w:val="bottom"/>
            <w:hideMark/>
          </w:tcPr>
          <w:p w14:paraId="6226F634"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0BC011F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45.000 </w:t>
            </w:r>
          </w:p>
        </w:tc>
      </w:tr>
      <w:tr w:rsidR="00B9166A" w:rsidRPr="002F595E" w14:paraId="5E9C7045" w14:textId="77777777" w:rsidTr="000C49CE">
        <w:trPr>
          <w:trHeight w:val="870"/>
          <w:jc w:val="center"/>
        </w:trPr>
        <w:tc>
          <w:tcPr>
            <w:tcW w:w="606" w:type="pct"/>
            <w:vMerge/>
            <w:tcBorders>
              <w:top w:val="nil"/>
              <w:left w:val="single" w:sz="4" w:space="0" w:color="auto"/>
              <w:bottom w:val="single" w:sz="4" w:space="0" w:color="000000"/>
              <w:right w:val="single" w:sz="4" w:space="0" w:color="auto"/>
            </w:tcBorders>
            <w:vAlign w:val="center"/>
            <w:hideMark/>
          </w:tcPr>
          <w:p w14:paraId="73F5B880"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34B3FA6A"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iv.       Revisit versions and update them with new inputs from public consultations</w:t>
            </w:r>
          </w:p>
        </w:tc>
        <w:tc>
          <w:tcPr>
            <w:tcW w:w="485" w:type="pct"/>
            <w:tcBorders>
              <w:top w:val="nil"/>
              <w:left w:val="nil"/>
              <w:bottom w:val="single" w:sz="4" w:space="0" w:color="auto"/>
              <w:right w:val="single" w:sz="4" w:space="0" w:color="auto"/>
            </w:tcBorders>
            <w:shd w:val="clear" w:color="auto" w:fill="auto"/>
            <w:vAlign w:val="center"/>
            <w:hideMark/>
          </w:tcPr>
          <w:p w14:paraId="779A8E58"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*consultancy on engagement and public consultation; direct involvement of SEMA &amp; FAS</w:t>
            </w:r>
          </w:p>
        </w:tc>
        <w:tc>
          <w:tcPr>
            <w:tcW w:w="302" w:type="pct"/>
            <w:tcBorders>
              <w:top w:val="nil"/>
              <w:left w:val="nil"/>
              <w:bottom w:val="single" w:sz="4" w:space="0" w:color="auto"/>
              <w:right w:val="single" w:sz="4" w:space="0" w:color="auto"/>
            </w:tcBorders>
            <w:shd w:val="clear" w:color="auto" w:fill="auto"/>
            <w:vAlign w:val="center"/>
            <w:hideMark/>
          </w:tcPr>
          <w:p w14:paraId="7F53BE0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5.500 </w:t>
            </w:r>
          </w:p>
        </w:tc>
        <w:tc>
          <w:tcPr>
            <w:tcW w:w="478" w:type="pct"/>
            <w:tcBorders>
              <w:top w:val="nil"/>
              <w:left w:val="nil"/>
              <w:bottom w:val="single" w:sz="4" w:space="0" w:color="auto"/>
              <w:right w:val="single" w:sz="4" w:space="0" w:color="auto"/>
            </w:tcBorders>
            <w:shd w:val="clear" w:color="auto" w:fill="auto"/>
            <w:vAlign w:val="center"/>
            <w:hideMark/>
          </w:tcPr>
          <w:p w14:paraId="4AAD05E7"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5.500 </w:t>
            </w:r>
          </w:p>
        </w:tc>
        <w:tc>
          <w:tcPr>
            <w:tcW w:w="439" w:type="pct"/>
            <w:tcBorders>
              <w:top w:val="nil"/>
              <w:left w:val="nil"/>
              <w:bottom w:val="single" w:sz="4" w:space="0" w:color="auto"/>
              <w:right w:val="single" w:sz="4" w:space="0" w:color="auto"/>
            </w:tcBorders>
            <w:shd w:val="clear" w:color="auto" w:fill="auto"/>
            <w:vAlign w:val="center"/>
            <w:hideMark/>
          </w:tcPr>
          <w:p w14:paraId="6AC84B27"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20F8080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11.000 </w:t>
            </w:r>
          </w:p>
        </w:tc>
        <w:tc>
          <w:tcPr>
            <w:tcW w:w="68" w:type="pct"/>
            <w:tcBorders>
              <w:top w:val="nil"/>
              <w:left w:val="nil"/>
              <w:bottom w:val="single" w:sz="4" w:space="0" w:color="auto"/>
              <w:right w:val="single" w:sz="4" w:space="0" w:color="auto"/>
            </w:tcBorders>
            <w:shd w:val="clear" w:color="000000" w:fill="D9D9D9"/>
            <w:vAlign w:val="center"/>
            <w:hideMark/>
          </w:tcPr>
          <w:p w14:paraId="665823D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5E63FD9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406" w:type="pct"/>
            <w:tcBorders>
              <w:top w:val="nil"/>
              <w:left w:val="nil"/>
              <w:bottom w:val="single" w:sz="4" w:space="0" w:color="auto"/>
              <w:right w:val="single" w:sz="4" w:space="0" w:color="auto"/>
            </w:tcBorders>
            <w:shd w:val="clear" w:color="auto" w:fill="auto"/>
            <w:vAlign w:val="center"/>
            <w:hideMark/>
          </w:tcPr>
          <w:p w14:paraId="3D0582A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381" w:type="pct"/>
            <w:tcBorders>
              <w:top w:val="nil"/>
              <w:left w:val="nil"/>
              <w:bottom w:val="single" w:sz="4" w:space="0" w:color="auto"/>
              <w:right w:val="single" w:sz="4" w:space="0" w:color="auto"/>
            </w:tcBorders>
            <w:shd w:val="clear" w:color="auto" w:fill="auto"/>
            <w:vAlign w:val="center"/>
            <w:hideMark/>
          </w:tcPr>
          <w:p w14:paraId="1772C60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15.000 </w:t>
            </w:r>
          </w:p>
        </w:tc>
        <w:tc>
          <w:tcPr>
            <w:tcW w:w="69" w:type="pct"/>
            <w:tcBorders>
              <w:top w:val="nil"/>
              <w:left w:val="nil"/>
              <w:bottom w:val="single" w:sz="4" w:space="0" w:color="auto"/>
              <w:right w:val="single" w:sz="4" w:space="0" w:color="auto"/>
            </w:tcBorders>
            <w:shd w:val="clear" w:color="000000" w:fill="D9D9D9"/>
            <w:noWrap/>
            <w:vAlign w:val="bottom"/>
            <w:hideMark/>
          </w:tcPr>
          <w:p w14:paraId="292376E0"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509426A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26.000 </w:t>
            </w:r>
          </w:p>
        </w:tc>
      </w:tr>
      <w:tr w:rsidR="00B9166A" w:rsidRPr="002F595E" w14:paraId="3C81B739"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328BF476"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3E2E3433"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v.       Consolidate a version to be presented in official fora</w:t>
            </w:r>
          </w:p>
        </w:tc>
        <w:tc>
          <w:tcPr>
            <w:tcW w:w="485" w:type="pct"/>
            <w:tcBorders>
              <w:top w:val="nil"/>
              <w:left w:val="nil"/>
              <w:bottom w:val="single" w:sz="4" w:space="0" w:color="auto"/>
              <w:right w:val="single" w:sz="4" w:space="0" w:color="auto"/>
            </w:tcBorders>
            <w:shd w:val="clear" w:color="auto" w:fill="auto"/>
            <w:vAlign w:val="center"/>
            <w:hideMark/>
          </w:tcPr>
          <w:p w14:paraId="0D95607F"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*consultancy on engagement and public consultation</w:t>
            </w:r>
          </w:p>
        </w:tc>
        <w:tc>
          <w:tcPr>
            <w:tcW w:w="302" w:type="pct"/>
            <w:tcBorders>
              <w:top w:val="nil"/>
              <w:left w:val="nil"/>
              <w:bottom w:val="single" w:sz="4" w:space="0" w:color="auto"/>
              <w:right w:val="single" w:sz="4" w:space="0" w:color="auto"/>
            </w:tcBorders>
            <w:shd w:val="clear" w:color="auto" w:fill="auto"/>
            <w:vAlign w:val="center"/>
            <w:hideMark/>
          </w:tcPr>
          <w:p w14:paraId="36A3A50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   </w:t>
            </w:r>
          </w:p>
        </w:tc>
        <w:tc>
          <w:tcPr>
            <w:tcW w:w="478" w:type="pct"/>
            <w:tcBorders>
              <w:top w:val="nil"/>
              <w:left w:val="nil"/>
              <w:bottom w:val="single" w:sz="4" w:space="0" w:color="auto"/>
              <w:right w:val="single" w:sz="4" w:space="0" w:color="auto"/>
            </w:tcBorders>
            <w:shd w:val="clear" w:color="auto" w:fill="auto"/>
            <w:vAlign w:val="center"/>
            <w:hideMark/>
          </w:tcPr>
          <w:p w14:paraId="3EFFD76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2.750 </w:t>
            </w:r>
          </w:p>
        </w:tc>
        <w:tc>
          <w:tcPr>
            <w:tcW w:w="439" w:type="pct"/>
            <w:tcBorders>
              <w:top w:val="nil"/>
              <w:left w:val="nil"/>
              <w:bottom w:val="single" w:sz="4" w:space="0" w:color="auto"/>
              <w:right w:val="single" w:sz="4" w:space="0" w:color="auto"/>
            </w:tcBorders>
            <w:shd w:val="clear" w:color="auto" w:fill="auto"/>
            <w:vAlign w:val="center"/>
            <w:hideMark/>
          </w:tcPr>
          <w:p w14:paraId="77F7C25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2.750 </w:t>
            </w:r>
          </w:p>
        </w:tc>
        <w:tc>
          <w:tcPr>
            <w:tcW w:w="514" w:type="pct"/>
            <w:tcBorders>
              <w:top w:val="nil"/>
              <w:left w:val="nil"/>
              <w:bottom w:val="single" w:sz="4" w:space="0" w:color="auto"/>
              <w:right w:val="single" w:sz="4" w:space="0" w:color="auto"/>
            </w:tcBorders>
            <w:shd w:val="clear" w:color="auto" w:fill="auto"/>
            <w:vAlign w:val="center"/>
            <w:hideMark/>
          </w:tcPr>
          <w:p w14:paraId="76E8673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5.500 </w:t>
            </w:r>
          </w:p>
        </w:tc>
        <w:tc>
          <w:tcPr>
            <w:tcW w:w="68" w:type="pct"/>
            <w:tcBorders>
              <w:top w:val="nil"/>
              <w:left w:val="nil"/>
              <w:bottom w:val="single" w:sz="4" w:space="0" w:color="auto"/>
              <w:right w:val="single" w:sz="4" w:space="0" w:color="auto"/>
            </w:tcBorders>
            <w:shd w:val="clear" w:color="000000" w:fill="D9D9D9"/>
            <w:vAlign w:val="center"/>
            <w:hideMark/>
          </w:tcPr>
          <w:p w14:paraId="4CCC858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5D2AFF6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559411B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3.500 </w:t>
            </w:r>
          </w:p>
        </w:tc>
        <w:tc>
          <w:tcPr>
            <w:tcW w:w="381" w:type="pct"/>
            <w:tcBorders>
              <w:top w:val="nil"/>
              <w:left w:val="nil"/>
              <w:bottom w:val="single" w:sz="4" w:space="0" w:color="auto"/>
              <w:right w:val="single" w:sz="4" w:space="0" w:color="auto"/>
            </w:tcBorders>
            <w:shd w:val="clear" w:color="auto" w:fill="auto"/>
            <w:vAlign w:val="center"/>
            <w:hideMark/>
          </w:tcPr>
          <w:p w14:paraId="2C778AE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3.500 </w:t>
            </w:r>
          </w:p>
        </w:tc>
        <w:tc>
          <w:tcPr>
            <w:tcW w:w="69" w:type="pct"/>
            <w:tcBorders>
              <w:top w:val="nil"/>
              <w:left w:val="nil"/>
              <w:bottom w:val="single" w:sz="4" w:space="0" w:color="auto"/>
              <w:right w:val="single" w:sz="4" w:space="0" w:color="auto"/>
            </w:tcBorders>
            <w:shd w:val="clear" w:color="000000" w:fill="D9D9D9"/>
            <w:noWrap/>
            <w:vAlign w:val="bottom"/>
            <w:hideMark/>
          </w:tcPr>
          <w:p w14:paraId="011833A2"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1881896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9.000 </w:t>
            </w:r>
          </w:p>
        </w:tc>
      </w:tr>
      <w:tr w:rsidR="00B9166A" w:rsidRPr="002F595E" w14:paraId="748D87A5"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575ED385"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6BE57453"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vi.       Include reviewed within the decree to be approved</w:t>
            </w:r>
          </w:p>
        </w:tc>
        <w:tc>
          <w:tcPr>
            <w:tcW w:w="485" w:type="pct"/>
            <w:tcBorders>
              <w:top w:val="nil"/>
              <w:left w:val="nil"/>
              <w:bottom w:val="single" w:sz="4" w:space="0" w:color="auto"/>
              <w:right w:val="single" w:sz="4" w:space="0" w:color="auto"/>
            </w:tcBorders>
            <w:shd w:val="clear" w:color="auto" w:fill="auto"/>
            <w:vAlign w:val="center"/>
            <w:hideMark/>
          </w:tcPr>
          <w:p w14:paraId="5CAC7A47"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*consultancy on engagement and public consultation</w:t>
            </w:r>
          </w:p>
        </w:tc>
        <w:tc>
          <w:tcPr>
            <w:tcW w:w="302" w:type="pct"/>
            <w:tcBorders>
              <w:top w:val="nil"/>
              <w:left w:val="nil"/>
              <w:bottom w:val="single" w:sz="4" w:space="0" w:color="auto"/>
              <w:right w:val="single" w:sz="4" w:space="0" w:color="auto"/>
            </w:tcBorders>
            <w:shd w:val="clear" w:color="auto" w:fill="auto"/>
            <w:vAlign w:val="center"/>
            <w:hideMark/>
          </w:tcPr>
          <w:p w14:paraId="5FDBE5C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   </w:t>
            </w:r>
          </w:p>
        </w:tc>
        <w:tc>
          <w:tcPr>
            <w:tcW w:w="478" w:type="pct"/>
            <w:tcBorders>
              <w:top w:val="nil"/>
              <w:left w:val="nil"/>
              <w:bottom w:val="single" w:sz="4" w:space="0" w:color="auto"/>
              <w:right w:val="single" w:sz="4" w:space="0" w:color="auto"/>
            </w:tcBorders>
            <w:shd w:val="clear" w:color="auto" w:fill="auto"/>
            <w:vAlign w:val="center"/>
            <w:hideMark/>
          </w:tcPr>
          <w:p w14:paraId="120C253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76FD9CB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2.750 </w:t>
            </w:r>
          </w:p>
        </w:tc>
        <w:tc>
          <w:tcPr>
            <w:tcW w:w="514" w:type="pct"/>
            <w:tcBorders>
              <w:top w:val="nil"/>
              <w:left w:val="nil"/>
              <w:bottom w:val="single" w:sz="4" w:space="0" w:color="auto"/>
              <w:right w:val="single" w:sz="4" w:space="0" w:color="auto"/>
            </w:tcBorders>
            <w:shd w:val="clear" w:color="auto" w:fill="auto"/>
            <w:vAlign w:val="center"/>
            <w:hideMark/>
          </w:tcPr>
          <w:p w14:paraId="7A7195C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2.750 </w:t>
            </w:r>
          </w:p>
        </w:tc>
        <w:tc>
          <w:tcPr>
            <w:tcW w:w="68" w:type="pct"/>
            <w:tcBorders>
              <w:top w:val="nil"/>
              <w:left w:val="nil"/>
              <w:bottom w:val="single" w:sz="4" w:space="0" w:color="auto"/>
              <w:right w:val="single" w:sz="4" w:space="0" w:color="auto"/>
            </w:tcBorders>
            <w:shd w:val="clear" w:color="000000" w:fill="D9D9D9"/>
            <w:vAlign w:val="center"/>
            <w:hideMark/>
          </w:tcPr>
          <w:p w14:paraId="728C052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00AF825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6828FCB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381" w:type="pct"/>
            <w:tcBorders>
              <w:top w:val="nil"/>
              <w:left w:val="nil"/>
              <w:bottom w:val="single" w:sz="4" w:space="0" w:color="auto"/>
              <w:right w:val="single" w:sz="4" w:space="0" w:color="auto"/>
            </w:tcBorders>
            <w:shd w:val="clear" w:color="auto" w:fill="auto"/>
            <w:vAlign w:val="center"/>
            <w:hideMark/>
          </w:tcPr>
          <w:p w14:paraId="07746EB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69" w:type="pct"/>
            <w:tcBorders>
              <w:top w:val="nil"/>
              <w:left w:val="nil"/>
              <w:bottom w:val="single" w:sz="4" w:space="0" w:color="auto"/>
              <w:right w:val="single" w:sz="4" w:space="0" w:color="auto"/>
            </w:tcBorders>
            <w:shd w:val="clear" w:color="000000" w:fill="D9D9D9"/>
            <w:noWrap/>
            <w:vAlign w:val="bottom"/>
            <w:hideMark/>
          </w:tcPr>
          <w:p w14:paraId="18C78306"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38FA474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7.750 </w:t>
            </w:r>
          </w:p>
        </w:tc>
      </w:tr>
      <w:tr w:rsidR="00B9166A" w:rsidRPr="002F595E" w14:paraId="069D7749" w14:textId="77777777" w:rsidTr="000C49CE">
        <w:trPr>
          <w:trHeight w:val="870"/>
          <w:jc w:val="center"/>
        </w:trPr>
        <w:tc>
          <w:tcPr>
            <w:tcW w:w="606" w:type="pct"/>
            <w:vMerge/>
            <w:tcBorders>
              <w:top w:val="nil"/>
              <w:left w:val="single" w:sz="4" w:space="0" w:color="auto"/>
              <w:bottom w:val="single" w:sz="4" w:space="0" w:color="000000"/>
              <w:right w:val="single" w:sz="4" w:space="0" w:color="auto"/>
            </w:tcBorders>
            <w:vAlign w:val="center"/>
            <w:hideMark/>
          </w:tcPr>
          <w:p w14:paraId="7499B3C2"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47920C3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Monitoring </w:t>
            </w:r>
          </w:p>
        </w:tc>
        <w:tc>
          <w:tcPr>
            <w:tcW w:w="485" w:type="pct"/>
            <w:tcBorders>
              <w:top w:val="nil"/>
              <w:left w:val="nil"/>
              <w:bottom w:val="single" w:sz="4" w:space="0" w:color="auto"/>
              <w:right w:val="single" w:sz="4" w:space="0" w:color="auto"/>
            </w:tcBorders>
            <w:shd w:val="clear" w:color="auto" w:fill="auto"/>
            <w:vAlign w:val="center"/>
            <w:hideMark/>
          </w:tcPr>
          <w:p w14:paraId="48EA913C"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SEMA, FAS, Idesam, CI-BR, FVA &amp; IPAM will </w:t>
            </w:r>
            <w:r w:rsidRPr="00C35EAD">
              <w:rPr>
                <w:rFonts w:ascii="Calibri" w:eastAsia="Times New Roman" w:hAnsi="Calibri" w:cs="Calibri"/>
                <w:color w:val="000000"/>
                <w:lang w:val="en-GB" w:eastAsia="pt-BR"/>
              </w:rPr>
              <w:lastRenderedPageBreak/>
              <w:t>support and supervise all activities</w:t>
            </w:r>
          </w:p>
        </w:tc>
        <w:tc>
          <w:tcPr>
            <w:tcW w:w="302" w:type="pct"/>
            <w:tcBorders>
              <w:top w:val="nil"/>
              <w:left w:val="nil"/>
              <w:bottom w:val="single" w:sz="4" w:space="0" w:color="auto"/>
              <w:right w:val="single" w:sz="4" w:space="0" w:color="auto"/>
            </w:tcBorders>
            <w:shd w:val="clear" w:color="auto" w:fill="auto"/>
            <w:vAlign w:val="center"/>
            <w:hideMark/>
          </w:tcPr>
          <w:p w14:paraId="69D2980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lastRenderedPageBreak/>
              <w:t xml:space="preserve"> </w:t>
            </w:r>
            <w:r w:rsidRPr="002F595E">
              <w:rPr>
                <w:rFonts w:ascii="Calibri" w:eastAsia="Times New Roman" w:hAnsi="Calibri" w:cs="Calibri"/>
                <w:color w:val="000000"/>
                <w:lang w:eastAsia="pt-BR"/>
              </w:rPr>
              <w:t xml:space="preserve">$                4.658 </w:t>
            </w:r>
          </w:p>
        </w:tc>
        <w:tc>
          <w:tcPr>
            <w:tcW w:w="478" w:type="pct"/>
            <w:tcBorders>
              <w:top w:val="nil"/>
              <w:left w:val="nil"/>
              <w:bottom w:val="single" w:sz="4" w:space="0" w:color="auto"/>
              <w:right w:val="single" w:sz="4" w:space="0" w:color="auto"/>
            </w:tcBorders>
            <w:shd w:val="clear" w:color="auto" w:fill="auto"/>
            <w:vAlign w:val="center"/>
            <w:hideMark/>
          </w:tcPr>
          <w:p w14:paraId="4F1FB16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4.658 </w:t>
            </w:r>
          </w:p>
        </w:tc>
        <w:tc>
          <w:tcPr>
            <w:tcW w:w="439" w:type="pct"/>
            <w:tcBorders>
              <w:top w:val="nil"/>
              <w:left w:val="nil"/>
              <w:bottom w:val="single" w:sz="4" w:space="0" w:color="auto"/>
              <w:right w:val="single" w:sz="4" w:space="0" w:color="auto"/>
            </w:tcBorders>
            <w:shd w:val="clear" w:color="auto" w:fill="auto"/>
            <w:vAlign w:val="center"/>
            <w:hideMark/>
          </w:tcPr>
          <w:p w14:paraId="0DE5298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1.035 </w:t>
            </w:r>
          </w:p>
        </w:tc>
        <w:tc>
          <w:tcPr>
            <w:tcW w:w="514" w:type="pct"/>
            <w:tcBorders>
              <w:top w:val="nil"/>
              <w:left w:val="nil"/>
              <w:bottom w:val="single" w:sz="4" w:space="0" w:color="auto"/>
              <w:right w:val="single" w:sz="4" w:space="0" w:color="auto"/>
            </w:tcBorders>
            <w:shd w:val="clear" w:color="auto" w:fill="auto"/>
            <w:vAlign w:val="center"/>
            <w:hideMark/>
          </w:tcPr>
          <w:p w14:paraId="2B774F4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10.350 </w:t>
            </w:r>
          </w:p>
        </w:tc>
        <w:tc>
          <w:tcPr>
            <w:tcW w:w="68" w:type="pct"/>
            <w:tcBorders>
              <w:top w:val="nil"/>
              <w:left w:val="nil"/>
              <w:bottom w:val="single" w:sz="4" w:space="0" w:color="auto"/>
              <w:right w:val="single" w:sz="4" w:space="0" w:color="auto"/>
            </w:tcBorders>
            <w:shd w:val="clear" w:color="000000" w:fill="D9D9D9"/>
            <w:vAlign w:val="center"/>
            <w:hideMark/>
          </w:tcPr>
          <w:p w14:paraId="1B2A115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37E824A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5FD3D42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1.500 </w:t>
            </w:r>
          </w:p>
        </w:tc>
        <w:tc>
          <w:tcPr>
            <w:tcW w:w="381" w:type="pct"/>
            <w:tcBorders>
              <w:top w:val="nil"/>
              <w:left w:val="nil"/>
              <w:bottom w:val="single" w:sz="4" w:space="0" w:color="auto"/>
              <w:right w:val="single" w:sz="4" w:space="0" w:color="auto"/>
            </w:tcBorders>
            <w:shd w:val="clear" w:color="auto" w:fill="auto"/>
            <w:vAlign w:val="center"/>
            <w:hideMark/>
          </w:tcPr>
          <w:p w14:paraId="5C7F4ED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1.500 </w:t>
            </w:r>
          </w:p>
        </w:tc>
        <w:tc>
          <w:tcPr>
            <w:tcW w:w="69" w:type="pct"/>
            <w:tcBorders>
              <w:top w:val="nil"/>
              <w:left w:val="nil"/>
              <w:bottom w:val="single" w:sz="4" w:space="0" w:color="auto"/>
              <w:right w:val="single" w:sz="4" w:space="0" w:color="auto"/>
            </w:tcBorders>
            <w:shd w:val="clear" w:color="000000" w:fill="D9D9D9"/>
            <w:noWrap/>
            <w:vAlign w:val="bottom"/>
            <w:hideMark/>
          </w:tcPr>
          <w:p w14:paraId="1B013494"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184ABF6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11.850 </w:t>
            </w:r>
          </w:p>
        </w:tc>
      </w:tr>
      <w:tr w:rsidR="0094134E" w:rsidRPr="002F595E" w14:paraId="656E5EA6" w14:textId="77777777" w:rsidTr="007678F1">
        <w:trPr>
          <w:trHeight w:val="310"/>
          <w:jc w:val="center"/>
        </w:trPr>
        <w:tc>
          <w:tcPr>
            <w:tcW w:w="606" w:type="pct"/>
            <w:tcBorders>
              <w:top w:val="nil"/>
              <w:left w:val="single" w:sz="4" w:space="0" w:color="auto"/>
              <w:bottom w:val="single" w:sz="4" w:space="0" w:color="auto"/>
              <w:right w:val="single" w:sz="4" w:space="0" w:color="auto"/>
            </w:tcBorders>
            <w:shd w:val="clear" w:color="000000" w:fill="D9D9D9"/>
            <w:vAlign w:val="center"/>
            <w:hideMark/>
          </w:tcPr>
          <w:p w14:paraId="61F5ED1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Subtotal Output 2 </w:t>
            </w:r>
          </w:p>
        </w:tc>
        <w:tc>
          <w:tcPr>
            <w:tcW w:w="504" w:type="pct"/>
            <w:tcBorders>
              <w:top w:val="nil"/>
              <w:left w:val="nil"/>
              <w:bottom w:val="single" w:sz="4" w:space="0" w:color="auto"/>
              <w:right w:val="single" w:sz="4" w:space="0" w:color="auto"/>
            </w:tcBorders>
            <w:shd w:val="clear" w:color="000000" w:fill="D9D9D9"/>
            <w:vAlign w:val="center"/>
            <w:hideMark/>
          </w:tcPr>
          <w:p w14:paraId="329515F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85" w:type="pct"/>
            <w:tcBorders>
              <w:top w:val="nil"/>
              <w:left w:val="nil"/>
              <w:bottom w:val="single" w:sz="4" w:space="0" w:color="auto"/>
              <w:right w:val="single" w:sz="4" w:space="0" w:color="auto"/>
            </w:tcBorders>
            <w:shd w:val="clear" w:color="000000" w:fill="D9D9D9"/>
            <w:vAlign w:val="center"/>
            <w:hideMark/>
          </w:tcPr>
          <w:p w14:paraId="1C79A98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302" w:type="pct"/>
            <w:tcBorders>
              <w:top w:val="nil"/>
              <w:left w:val="nil"/>
              <w:bottom w:val="single" w:sz="4" w:space="0" w:color="auto"/>
              <w:right w:val="single" w:sz="4" w:space="0" w:color="auto"/>
            </w:tcBorders>
            <w:shd w:val="clear" w:color="000000" w:fill="D9D9D9"/>
            <w:vAlign w:val="center"/>
            <w:hideMark/>
          </w:tcPr>
          <w:p w14:paraId="0269B4B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65.708 </w:t>
            </w:r>
          </w:p>
        </w:tc>
        <w:tc>
          <w:tcPr>
            <w:tcW w:w="478" w:type="pct"/>
            <w:tcBorders>
              <w:top w:val="nil"/>
              <w:left w:val="nil"/>
              <w:bottom w:val="single" w:sz="4" w:space="0" w:color="auto"/>
              <w:right w:val="single" w:sz="4" w:space="0" w:color="auto"/>
            </w:tcBorders>
            <w:shd w:val="clear" w:color="000000" w:fill="D9D9D9"/>
            <w:vAlign w:val="center"/>
            <w:hideMark/>
          </w:tcPr>
          <w:p w14:paraId="2C461F41"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18.908 </w:t>
            </w:r>
          </w:p>
        </w:tc>
        <w:tc>
          <w:tcPr>
            <w:tcW w:w="439" w:type="pct"/>
            <w:tcBorders>
              <w:top w:val="nil"/>
              <w:left w:val="nil"/>
              <w:bottom w:val="single" w:sz="4" w:space="0" w:color="auto"/>
              <w:right w:val="single" w:sz="4" w:space="0" w:color="auto"/>
            </w:tcBorders>
            <w:shd w:val="clear" w:color="000000" w:fill="D9D9D9"/>
            <w:vAlign w:val="center"/>
            <w:hideMark/>
          </w:tcPr>
          <w:p w14:paraId="1929CD7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6.535 </w:t>
            </w:r>
          </w:p>
        </w:tc>
        <w:tc>
          <w:tcPr>
            <w:tcW w:w="514" w:type="pct"/>
            <w:tcBorders>
              <w:top w:val="nil"/>
              <w:left w:val="nil"/>
              <w:bottom w:val="single" w:sz="4" w:space="0" w:color="auto"/>
              <w:right w:val="single" w:sz="4" w:space="0" w:color="auto"/>
            </w:tcBorders>
            <w:shd w:val="clear" w:color="000000" w:fill="D9D9D9"/>
            <w:vAlign w:val="center"/>
            <w:hideMark/>
          </w:tcPr>
          <w:p w14:paraId="73BD3330"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91.150 </w:t>
            </w:r>
          </w:p>
        </w:tc>
        <w:tc>
          <w:tcPr>
            <w:tcW w:w="68" w:type="pct"/>
            <w:tcBorders>
              <w:top w:val="nil"/>
              <w:left w:val="nil"/>
              <w:bottom w:val="single" w:sz="4" w:space="0" w:color="auto"/>
              <w:right w:val="single" w:sz="4" w:space="0" w:color="auto"/>
            </w:tcBorders>
            <w:shd w:val="clear" w:color="000000" w:fill="D9D9D9"/>
            <w:vAlign w:val="center"/>
            <w:hideMark/>
          </w:tcPr>
          <w:p w14:paraId="3C619F2A"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06" w:type="pct"/>
            <w:tcBorders>
              <w:top w:val="nil"/>
              <w:left w:val="nil"/>
              <w:bottom w:val="single" w:sz="4" w:space="0" w:color="auto"/>
              <w:right w:val="single" w:sz="4" w:space="0" w:color="auto"/>
            </w:tcBorders>
            <w:shd w:val="clear" w:color="000000" w:fill="D9D9D9"/>
            <w:vAlign w:val="center"/>
            <w:hideMark/>
          </w:tcPr>
          <w:p w14:paraId="0823E94D"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10.000 </w:t>
            </w:r>
          </w:p>
        </w:tc>
        <w:tc>
          <w:tcPr>
            <w:tcW w:w="406" w:type="pct"/>
            <w:tcBorders>
              <w:top w:val="nil"/>
              <w:left w:val="nil"/>
              <w:bottom w:val="single" w:sz="4" w:space="0" w:color="auto"/>
              <w:right w:val="single" w:sz="4" w:space="0" w:color="auto"/>
            </w:tcBorders>
            <w:shd w:val="clear" w:color="000000" w:fill="D9D9D9"/>
            <w:vAlign w:val="center"/>
            <w:hideMark/>
          </w:tcPr>
          <w:p w14:paraId="64B9D6A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42.500 </w:t>
            </w:r>
          </w:p>
        </w:tc>
        <w:tc>
          <w:tcPr>
            <w:tcW w:w="381" w:type="pct"/>
            <w:tcBorders>
              <w:top w:val="nil"/>
              <w:left w:val="nil"/>
              <w:bottom w:val="single" w:sz="4" w:space="0" w:color="auto"/>
              <w:right w:val="single" w:sz="4" w:space="0" w:color="auto"/>
            </w:tcBorders>
            <w:shd w:val="clear" w:color="000000" w:fill="D9D9D9"/>
            <w:vAlign w:val="center"/>
            <w:hideMark/>
          </w:tcPr>
          <w:p w14:paraId="486DDBC1"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52.500 </w:t>
            </w:r>
          </w:p>
        </w:tc>
        <w:tc>
          <w:tcPr>
            <w:tcW w:w="69" w:type="pct"/>
            <w:tcBorders>
              <w:top w:val="nil"/>
              <w:left w:val="nil"/>
              <w:bottom w:val="single" w:sz="4" w:space="0" w:color="auto"/>
              <w:right w:val="single" w:sz="4" w:space="0" w:color="auto"/>
            </w:tcBorders>
            <w:shd w:val="clear" w:color="000000" w:fill="D9D9D9"/>
            <w:noWrap/>
            <w:vAlign w:val="bottom"/>
            <w:hideMark/>
          </w:tcPr>
          <w:p w14:paraId="39944F55"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000000" w:fill="D9D9D9"/>
            <w:vAlign w:val="center"/>
            <w:hideMark/>
          </w:tcPr>
          <w:p w14:paraId="09B4500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$143.650 </w:t>
            </w:r>
          </w:p>
        </w:tc>
      </w:tr>
      <w:tr w:rsidR="00B9166A" w:rsidRPr="002F595E" w14:paraId="73C55A55" w14:textId="77777777" w:rsidTr="000C49CE">
        <w:trPr>
          <w:trHeight w:val="870"/>
          <w:jc w:val="center"/>
        </w:trPr>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56320528" w14:textId="77777777" w:rsidR="002F595E" w:rsidRPr="00C35EAD" w:rsidRDefault="002F595E" w:rsidP="002F595E">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3. Technical design for REDD+ (baseline, MRV procedures, nesting with national accounting and registry)</w:t>
            </w:r>
          </w:p>
        </w:tc>
        <w:tc>
          <w:tcPr>
            <w:tcW w:w="504" w:type="pct"/>
            <w:tcBorders>
              <w:top w:val="nil"/>
              <w:left w:val="nil"/>
              <w:bottom w:val="single" w:sz="4" w:space="0" w:color="auto"/>
              <w:right w:val="single" w:sz="4" w:space="0" w:color="auto"/>
            </w:tcBorders>
            <w:shd w:val="clear" w:color="auto" w:fill="auto"/>
            <w:vAlign w:val="center"/>
            <w:hideMark/>
          </w:tcPr>
          <w:p w14:paraId="57FCBD3A"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       Define technical assumptions and parameters (e.g., reference level, criteria &amp; balance of allocation)</w:t>
            </w:r>
          </w:p>
        </w:tc>
        <w:tc>
          <w:tcPr>
            <w:tcW w:w="485" w:type="pct"/>
            <w:tcBorders>
              <w:top w:val="nil"/>
              <w:left w:val="nil"/>
              <w:bottom w:val="single" w:sz="4" w:space="0" w:color="auto"/>
              <w:right w:val="single" w:sz="4" w:space="0" w:color="auto"/>
            </w:tcBorders>
            <w:shd w:val="clear" w:color="auto" w:fill="auto"/>
            <w:vAlign w:val="center"/>
            <w:hideMark/>
          </w:tcPr>
          <w:p w14:paraId="15F430EA"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direct involvement of Idesam, FAS &amp; consultancy</w:t>
            </w:r>
          </w:p>
        </w:tc>
        <w:tc>
          <w:tcPr>
            <w:tcW w:w="302" w:type="pct"/>
            <w:tcBorders>
              <w:top w:val="nil"/>
              <w:left w:val="nil"/>
              <w:bottom w:val="single" w:sz="4" w:space="0" w:color="auto"/>
              <w:right w:val="single" w:sz="4" w:space="0" w:color="auto"/>
            </w:tcBorders>
            <w:shd w:val="clear" w:color="auto" w:fill="auto"/>
            <w:vAlign w:val="center"/>
            <w:hideMark/>
          </w:tcPr>
          <w:p w14:paraId="5405487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9.750 </w:t>
            </w:r>
          </w:p>
        </w:tc>
        <w:tc>
          <w:tcPr>
            <w:tcW w:w="478" w:type="pct"/>
            <w:tcBorders>
              <w:top w:val="nil"/>
              <w:left w:val="nil"/>
              <w:bottom w:val="single" w:sz="4" w:space="0" w:color="auto"/>
              <w:right w:val="single" w:sz="4" w:space="0" w:color="auto"/>
            </w:tcBorders>
            <w:shd w:val="clear" w:color="auto" w:fill="auto"/>
            <w:vAlign w:val="center"/>
            <w:hideMark/>
          </w:tcPr>
          <w:p w14:paraId="69BAC83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3D9EBF0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0E13C82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9.750 </w:t>
            </w:r>
          </w:p>
        </w:tc>
        <w:tc>
          <w:tcPr>
            <w:tcW w:w="68" w:type="pct"/>
            <w:tcBorders>
              <w:top w:val="nil"/>
              <w:left w:val="nil"/>
              <w:bottom w:val="single" w:sz="4" w:space="0" w:color="auto"/>
              <w:right w:val="single" w:sz="4" w:space="0" w:color="auto"/>
            </w:tcBorders>
            <w:shd w:val="clear" w:color="000000" w:fill="D9D9D9"/>
            <w:vAlign w:val="center"/>
            <w:hideMark/>
          </w:tcPr>
          <w:p w14:paraId="27F2AB7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23A863D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0E0A519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3.500 </w:t>
            </w:r>
          </w:p>
        </w:tc>
        <w:tc>
          <w:tcPr>
            <w:tcW w:w="381" w:type="pct"/>
            <w:tcBorders>
              <w:top w:val="nil"/>
              <w:left w:val="nil"/>
              <w:bottom w:val="single" w:sz="4" w:space="0" w:color="auto"/>
              <w:right w:val="single" w:sz="4" w:space="0" w:color="auto"/>
            </w:tcBorders>
            <w:shd w:val="clear" w:color="auto" w:fill="auto"/>
            <w:vAlign w:val="center"/>
            <w:hideMark/>
          </w:tcPr>
          <w:p w14:paraId="3CE91A0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3.500 </w:t>
            </w:r>
          </w:p>
        </w:tc>
        <w:tc>
          <w:tcPr>
            <w:tcW w:w="69" w:type="pct"/>
            <w:tcBorders>
              <w:top w:val="nil"/>
              <w:left w:val="nil"/>
              <w:bottom w:val="single" w:sz="4" w:space="0" w:color="auto"/>
              <w:right w:val="single" w:sz="4" w:space="0" w:color="auto"/>
            </w:tcBorders>
            <w:shd w:val="clear" w:color="000000" w:fill="D9D9D9"/>
            <w:noWrap/>
            <w:vAlign w:val="bottom"/>
            <w:hideMark/>
          </w:tcPr>
          <w:p w14:paraId="5599126E"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6C64D82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13.250 </w:t>
            </w:r>
          </w:p>
        </w:tc>
      </w:tr>
      <w:tr w:rsidR="00B9166A" w:rsidRPr="002F595E" w14:paraId="5E2EDEFC"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75276CFB"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048CCE00"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Design MRV system integrated with ones already in place (PPCDAM, INPE etc)</w:t>
            </w:r>
          </w:p>
        </w:tc>
        <w:tc>
          <w:tcPr>
            <w:tcW w:w="485" w:type="pct"/>
            <w:tcBorders>
              <w:top w:val="nil"/>
              <w:left w:val="nil"/>
              <w:bottom w:val="single" w:sz="4" w:space="0" w:color="auto"/>
              <w:right w:val="single" w:sz="4" w:space="0" w:color="auto"/>
            </w:tcBorders>
            <w:shd w:val="clear" w:color="auto" w:fill="auto"/>
            <w:vAlign w:val="center"/>
            <w:hideMark/>
          </w:tcPr>
          <w:p w14:paraId="28C7905F"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direct involvement of Idesam, FAS &amp; consultancy</w:t>
            </w:r>
          </w:p>
        </w:tc>
        <w:tc>
          <w:tcPr>
            <w:tcW w:w="302" w:type="pct"/>
            <w:tcBorders>
              <w:top w:val="nil"/>
              <w:left w:val="nil"/>
              <w:bottom w:val="single" w:sz="4" w:space="0" w:color="auto"/>
              <w:right w:val="single" w:sz="4" w:space="0" w:color="auto"/>
            </w:tcBorders>
            <w:shd w:val="clear" w:color="auto" w:fill="auto"/>
            <w:vAlign w:val="center"/>
            <w:hideMark/>
          </w:tcPr>
          <w:p w14:paraId="0AFA531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26.189 </w:t>
            </w:r>
          </w:p>
        </w:tc>
        <w:tc>
          <w:tcPr>
            <w:tcW w:w="478" w:type="pct"/>
            <w:tcBorders>
              <w:top w:val="nil"/>
              <w:left w:val="nil"/>
              <w:bottom w:val="single" w:sz="4" w:space="0" w:color="auto"/>
              <w:right w:val="single" w:sz="4" w:space="0" w:color="auto"/>
            </w:tcBorders>
            <w:shd w:val="clear" w:color="auto" w:fill="auto"/>
            <w:vAlign w:val="center"/>
            <w:hideMark/>
          </w:tcPr>
          <w:p w14:paraId="40529D9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4.622 </w:t>
            </w:r>
          </w:p>
        </w:tc>
        <w:tc>
          <w:tcPr>
            <w:tcW w:w="439" w:type="pct"/>
            <w:tcBorders>
              <w:top w:val="nil"/>
              <w:left w:val="nil"/>
              <w:bottom w:val="single" w:sz="4" w:space="0" w:color="auto"/>
              <w:right w:val="single" w:sz="4" w:space="0" w:color="auto"/>
            </w:tcBorders>
            <w:shd w:val="clear" w:color="auto" w:fill="auto"/>
            <w:vAlign w:val="center"/>
            <w:hideMark/>
          </w:tcPr>
          <w:p w14:paraId="3C750DA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7199073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30.810 </w:t>
            </w:r>
          </w:p>
        </w:tc>
        <w:tc>
          <w:tcPr>
            <w:tcW w:w="68" w:type="pct"/>
            <w:tcBorders>
              <w:top w:val="nil"/>
              <w:left w:val="nil"/>
              <w:bottom w:val="single" w:sz="4" w:space="0" w:color="auto"/>
              <w:right w:val="single" w:sz="4" w:space="0" w:color="auto"/>
            </w:tcBorders>
            <w:shd w:val="clear" w:color="000000" w:fill="D9D9D9"/>
            <w:vAlign w:val="center"/>
            <w:hideMark/>
          </w:tcPr>
          <w:p w14:paraId="16B7DE5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26D9A38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0662FF1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381" w:type="pct"/>
            <w:tcBorders>
              <w:top w:val="nil"/>
              <w:left w:val="nil"/>
              <w:bottom w:val="single" w:sz="4" w:space="0" w:color="auto"/>
              <w:right w:val="single" w:sz="4" w:space="0" w:color="auto"/>
            </w:tcBorders>
            <w:shd w:val="clear" w:color="auto" w:fill="auto"/>
            <w:vAlign w:val="center"/>
            <w:hideMark/>
          </w:tcPr>
          <w:p w14:paraId="1EE0935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69" w:type="pct"/>
            <w:tcBorders>
              <w:top w:val="nil"/>
              <w:left w:val="nil"/>
              <w:bottom w:val="single" w:sz="4" w:space="0" w:color="auto"/>
              <w:right w:val="single" w:sz="4" w:space="0" w:color="auto"/>
            </w:tcBorders>
            <w:shd w:val="clear" w:color="000000" w:fill="D9D9D9"/>
            <w:noWrap/>
            <w:vAlign w:val="bottom"/>
            <w:hideMark/>
          </w:tcPr>
          <w:p w14:paraId="28810164"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781F272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35.810 </w:t>
            </w:r>
          </w:p>
        </w:tc>
      </w:tr>
      <w:tr w:rsidR="00B9166A" w:rsidRPr="002F595E" w14:paraId="53242117"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472D4A47"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2F8772BD"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iii.       Update and improve the REDD+ registry system</w:t>
            </w:r>
          </w:p>
        </w:tc>
        <w:tc>
          <w:tcPr>
            <w:tcW w:w="485" w:type="pct"/>
            <w:tcBorders>
              <w:top w:val="nil"/>
              <w:left w:val="nil"/>
              <w:bottom w:val="single" w:sz="4" w:space="0" w:color="auto"/>
              <w:right w:val="single" w:sz="4" w:space="0" w:color="auto"/>
            </w:tcBorders>
            <w:shd w:val="clear" w:color="auto" w:fill="auto"/>
            <w:vAlign w:val="center"/>
            <w:hideMark/>
          </w:tcPr>
          <w:p w14:paraId="7A499A8B"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direct involvement of Idesam, FAS &amp; consultancy</w:t>
            </w:r>
          </w:p>
        </w:tc>
        <w:tc>
          <w:tcPr>
            <w:tcW w:w="302" w:type="pct"/>
            <w:tcBorders>
              <w:top w:val="nil"/>
              <w:left w:val="nil"/>
              <w:bottom w:val="single" w:sz="4" w:space="0" w:color="auto"/>
              <w:right w:val="single" w:sz="4" w:space="0" w:color="auto"/>
            </w:tcBorders>
            <w:shd w:val="clear" w:color="auto" w:fill="auto"/>
            <w:vAlign w:val="center"/>
            <w:hideMark/>
          </w:tcPr>
          <w:p w14:paraId="74BAB72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6.617 </w:t>
            </w:r>
          </w:p>
        </w:tc>
        <w:tc>
          <w:tcPr>
            <w:tcW w:w="478" w:type="pct"/>
            <w:tcBorders>
              <w:top w:val="nil"/>
              <w:left w:val="nil"/>
              <w:bottom w:val="single" w:sz="4" w:space="0" w:color="auto"/>
              <w:right w:val="single" w:sz="4" w:space="0" w:color="auto"/>
            </w:tcBorders>
            <w:shd w:val="clear" w:color="auto" w:fill="auto"/>
            <w:vAlign w:val="center"/>
            <w:hideMark/>
          </w:tcPr>
          <w:p w14:paraId="3A128D7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6.617 </w:t>
            </w:r>
          </w:p>
        </w:tc>
        <w:tc>
          <w:tcPr>
            <w:tcW w:w="439" w:type="pct"/>
            <w:tcBorders>
              <w:top w:val="nil"/>
              <w:left w:val="nil"/>
              <w:bottom w:val="single" w:sz="4" w:space="0" w:color="auto"/>
              <w:right w:val="single" w:sz="4" w:space="0" w:color="auto"/>
            </w:tcBorders>
            <w:shd w:val="clear" w:color="auto" w:fill="auto"/>
            <w:vAlign w:val="center"/>
            <w:hideMark/>
          </w:tcPr>
          <w:p w14:paraId="74CA171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6.617 </w:t>
            </w:r>
          </w:p>
        </w:tc>
        <w:tc>
          <w:tcPr>
            <w:tcW w:w="514" w:type="pct"/>
            <w:tcBorders>
              <w:top w:val="nil"/>
              <w:left w:val="nil"/>
              <w:bottom w:val="single" w:sz="4" w:space="0" w:color="auto"/>
              <w:right w:val="single" w:sz="4" w:space="0" w:color="auto"/>
            </w:tcBorders>
            <w:shd w:val="clear" w:color="auto" w:fill="auto"/>
            <w:vAlign w:val="center"/>
            <w:hideMark/>
          </w:tcPr>
          <w:p w14:paraId="07E5FAF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19.850 </w:t>
            </w:r>
          </w:p>
        </w:tc>
        <w:tc>
          <w:tcPr>
            <w:tcW w:w="68" w:type="pct"/>
            <w:tcBorders>
              <w:top w:val="nil"/>
              <w:left w:val="nil"/>
              <w:bottom w:val="single" w:sz="4" w:space="0" w:color="auto"/>
              <w:right w:val="single" w:sz="4" w:space="0" w:color="auto"/>
            </w:tcBorders>
            <w:shd w:val="clear" w:color="000000" w:fill="D9D9D9"/>
            <w:vAlign w:val="center"/>
            <w:hideMark/>
          </w:tcPr>
          <w:p w14:paraId="1CDAD07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117D530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0FE72AE8"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12.500 </w:t>
            </w:r>
          </w:p>
        </w:tc>
        <w:tc>
          <w:tcPr>
            <w:tcW w:w="381" w:type="pct"/>
            <w:tcBorders>
              <w:top w:val="nil"/>
              <w:left w:val="nil"/>
              <w:bottom w:val="single" w:sz="4" w:space="0" w:color="auto"/>
              <w:right w:val="single" w:sz="4" w:space="0" w:color="auto"/>
            </w:tcBorders>
            <w:shd w:val="clear" w:color="auto" w:fill="auto"/>
            <w:vAlign w:val="center"/>
            <w:hideMark/>
          </w:tcPr>
          <w:p w14:paraId="3265C75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12.500 </w:t>
            </w:r>
          </w:p>
        </w:tc>
        <w:tc>
          <w:tcPr>
            <w:tcW w:w="69" w:type="pct"/>
            <w:tcBorders>
              <w:top w:val="nil"/>
              <w:left w:val="nil"/>
              <w:bottom w:val="single" w:sz="4" w:space="0" w:color="auto"/>
              <w:right w:val="single" w:sz="4" w:space="0" w:color="auto"/>
            </w:tcBorders>
            <w:shd w:val="clear" w:color="000000" w:fill="D9D9D9"/>
            <w:noWrap/>
            <w:vAlign w:val="bottom"/>
            <w:hideMark/>
          </w:tcPr>
          <w:p w14:paraId="059C61BF"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5B5E7E67"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32.350 </w:t>
            </w:r>
          </w:p>
        </w:tc>
      </w:tr>
      <w:tr w:rsidR="00B9166A" w:rsidRPr="002F595E" w14:paraId="4183EBD9" w14:textId="77777777" w:rsidTr="000C49CE">
        <w:trPr>
          <w:trHeight w:val="870"/>
          <w:jc w:val="center"/>
        </w:trPr>
        <w:tc>
          <w:tcPr>
            <w:tcW w:w="606" w:type="pct"/>
            <w:vMerge/>
            <w:tcBorders>
              <w:top w:val="nil"/>
              <w:left w:val="single" w:sz="4" w:space="0" w:color="auto"/>
              <w:bottom w:val="single" w:sz="4" w:space="0" w:color="000000"/>
              <w:right w:val="single" w:sz="4" w:space="0" w:color="auto"/>
            </w:tcBorders>
            <w:vAlign w:val="center"/>
            <w:hideMark/>
          </w:tcPr>
          <w:p w14:paraId="2C1649DF"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6E1CB3A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Monitoring </w:t>
            </w:r>
          </w:p>
        </w:tc>
        <w:tc>
          <w:tcPr>
            <w:tcW w:w="485" w:type="pct"/>
            <w:tcBorders>
              <w:top w:val="nil"/>
              <w:left w:val="nil"/>
              <w:bottom w:val="single" w:sz="4" w:space="0" w:color="auto"/>
              <w:right w:val="single" w:sz="4" w:space="0" w:color="auto"/>
            </w:tcBorders>
            <w:shd w:val="clear" w:color="auto" w:fill="auto"/>
            <w:vAlign w:val="center"/>
            <w:hideMark/>
          </w:tcPr>
          <w:p w14:paraId="5E25A825"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SEMA, FAS, Idesam, CI-BR, FVA &amp; IPAM will support and supervise all activities</w:t>
            </w:r>
          </w:p>
        </w:tc>
        <w:tc>
          <w:tcPr>
            <w:tcW w:w="302" w:type="pct"/>
            <w:tcBorders>
              <w:top w:val="nil"/>
              <w:left w:val="nil"/>
              <w:bottom w:val="single" w:sz="4" w:space="0" w:color="auto"/>
              <w:right w:val="single" w:sz="4" w:space="0" w:color="auto"/>
            </w:tcBorders>
            <w:shd w:val="clear" w:color="auto" w:fill="auto"/>
            <w:vAlign w:val="center"/>
            <w:hideMark/>
          </w:tcPr>
          <w:p w14:paraId="65B08B8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3.450 </w:t>
            </w:r>
          </w:p>
        </w:tc>
        <w:tc>
          <w:tcPr>
            <w:tcW w:w="478" w:type="pct"/>
            <w:tcBorders>
              <w:top w:val="nil"/>
              <w:left w:val="nil"/>
              <w:bottom w:val="single" w:sz="4" w:space="0" w:color="auto"/>
              <w:right w:val="single" w:sz="4" w:space="0" w:color="auto"/>
            </w:tcBorders>
            <w:shd w:val="clear" w:color="auto" w:fill="auto"/>
            <w:vAlign w:val="center"/>
            <w:hideMark/>
          </w:tcPr>
          <w:p w14:paraId="40E6809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3.450 </w:t>
            </w:r>
          </w:p>
        </w:tc>
        <w:tc>
          <w:tcPr>
            <w:tcW w:w="439" w:type="pct"/>
            <w:tcBorders>
              <w:top w:val="nil"/>
              <w:left w:val="nil"/>
              <w:bottom w:val="single" w:sz="4" w:space="0" w:color="auto"/>
              <w:right w:val="single" w:sz="4" w:space="0" w:color="auto"/>
            </w:tcBorders>
            <w:shd w:val="clear" w:color="auto" w:fill="auto"/>
            <w:vAlign w:val="center"/>
            <w:hideMark/>
          </w:tcPr>
          <w:p w14:paraId="65DF9E3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3.450 </w:t>
            </w:r>
          </w:p>
        </w:tc>
        <w:tc>
          <w:tcPr>
            <w:tcW w:w="514" w:type="pct"/>
            <w:tcBorders>
              <w:top w:val="nil"/>
              <w:left w:val="nil"/>
              <w:bottom w:val="single" w:sz="4" w:space="0" w:color="auto"/>
              <w:right w:val="single" w:sz="4" w:space="0" w:color="auto"/>
            </w:tcBorders>
            <w:shd w:val="clear" w:color="auto" w:fill="auto"/>
            <w:vAlign w:val="center"/>
            <w:hideMark/>
          </w:tcPr>
          <w:p w14:paraId="4EC62FE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10.350 </w:t>
            </w:r>
          </w:p>
        </w:tc>
        <w:tc>
          <w:tcPr>
            <w:tcW w:w="68" w:type="pct"/>
            <w:tcBorders>
              <w:top w:val="nil"/>
              <w:left w:val="nil"/>
              <w:bottom w:val="single" w:sz="4" w:space="0" w:color="auto"/>
              <w:right w:val="single" w:sz="4" w:space="0" w:color="auto"/>
            </w:tcBorders>
            <w:shd w:val="clear" w:color="000000" w:fill="D9D9D9"/>
            <w:vAlign w:val="center"/>
            <w:hideMark/>
          </w:tcPr>
          <w:p w14:paraId="24295F8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624396D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55FF72A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2.000 </w:t>
            </w:r>
          </w:p>
        </w:tc>
        <w:tc>
          <w:tcPr>
            <w:tcW w:w="381" w:type="pct"/>
            <w:tcBorders>
              <w:top w:val="nil"/>
              <w:left w:val="nil"/>
              <w:bottom w:val="single" w:sz="4" w:space="0" w:color="auto"/>
              <w:right w:val="single" w:sz="4" w:space="0" w:color="auto"/>
            </w:tcBorders>
            <w:shd w:val="clear" w:color="auto" w:fill="auto"/>
            <w:vAlign w:val="center"/>
            <w:hideMark/>
          </w:tcPr>
          <w:p w14:paraId="43DF413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2.000 </w:t>
            </w:r>
          </w:p>
        </w:tc>
        <w:tc>
          <w:tcPr>
            <w:tcW w:w="69" w:type="pct"/>
            <w:tcBorders>
              <w:top w:val="nil"/>
              <w:left w:val="nil"/>
              <w:bottom w:val="single" w:sz="4" w:space="0" w:color="auto"/>
              <w:right w:val="single" w:sz="4" w:space="0" w:color="auto"/>
            </w:tcBorders>
            <w:shd w:val="clear" w:color="000000" w:fill="D9D9D9"/>
            <w:noWrap/>
            <w:vAlign w:val="bottom"/>
            <w:hideMark/>
          </w:tcPr>
          <w:p w14:paraId="66D6E507"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5D1D20E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12.350 </w:t>
            </w:r>
          </w:p>
        </w:tc>
      </w:tr>
      <w:tr w:rsidR="0094134E" w:rsidRPr="002F595E" w14:paraId="1837E50B" w14:textId="77777777" w:rsidTr="007678F1">
        <w:trPr>
          <w:trHeight w:val="310"/>
          <w:jc w:val="center"/>
        </w:trPr>
        <w:tc>
          <w:tcPr>
            <w:tcW w:w="606" w:type="pct"/>
            <w:tcBorders>
              <w:top w:val="nil"/>
              <w:left w:val="single" w:sz="4" w:space="0" w:color="auto"/>
              <w:bottom w:val="single" w:sz="4" w:space="0" w:color="auto"/>
              <w:right w:val="single" w:sz="4" w:space="0" w:color="auto"/>
            </w:tcBorders>
            <w:shd w:val="clear" w:color="000000" w:fill="D9D9D9"/>
            <w:vAlign w:val="center"/>
            <w:hideMark/>
          </w:tcPr>
          <w:p w14:paraId="7CFBCAEE"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lastRenderedPageBreak/>
              <w:t>Subtotal Output 3</w:t>
            </w:r>
          </w:p>
        </w:tc>
        <w:tc>
          <w:tcPr>
            <w:tcW w:w="504" w:type="pct"/>
            <w:tcBorders>
              <w:top w:val="nil"/>
              <w:left w:val="nil"/>
              <w:bottom w:val="single" w:sz="4" w:space="0" w:color="auto"/>
              <w:right w:val="single" w:sz="4" w:space="0" w:color="auto"/>
            </w:tcBorders>
            <w:shd w:val="clear" w:color="000000" w:fill="D9D9D9"/>
            <w:vAlign w:val="center"/>
            <w:hideMark/>
          </w:tcPr>
          <w:p w14:paraId="62A50A4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85" w:type="pct"/>
            <w:tcBorders>
              <w:top w:val="nil"/>
              <w:left w:val="nil"/>
              <w:bottom w:val="single" w:sz="4" w:space="0" w:color="auto"/>
              <w:right w:val="single" w:sz="4" w:space="0" w:color="auto"/>
            </w:tcBorders>
            <w:shd w:val="clear" w:color="000000" w:fill="D9D9D9"/>
            <w:vAlign w:val="center"/>
            <w:hideMark/>
          </w:tcPr>
          <w:p w14:paraId="7087ABA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302" w:type="pct"/>
            <w:tcBorders>
              <w:top w:val="nil"/>
              <w:left w:val="nil"/>
              <w:bottom w:val="single" w:sz="4" w:space="0" w:color="auto"/>
              <w:right w:val="single" w:sz="4" w:space="0" w:color="auto"/>
            </w:tcBorders>
            <w:shd w:val="clear" w:color="000000" w:fill="D9D9D9"/>
            <w:vAlign w:val="center"/>
            <w:hideMark/>
          </w:tcPr>
          <w:p w14:paraId="1FD0A3B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46.005 </w:t>
            </w:r>
          </w:p>
        </w:tc>
        <w:tc>
          <w:tcPr>
            <w:tcW w:w="478" w:type="pct"/>
            <w:tcBorders>
              <w:top w:val="nil"/>
              <w:left w:val="nil"/>
              <w:bottom w:val="single" w:sz="4" w:space="0" w:color="auto"/>
              <w:right w:val="single" w:sz="4" w:space="0" w:color="auto"/>
            </w:tcBorders>
            <w:shd w:val="clear" w:color="000000" w:fill="D9D9D9"/>
            <w:vAlign w:val="center"/>
            <w:hideMark/>
          </w:tcPr>
          <w:p w14:paraId="2225AE7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14.688 </w:t>
            </w:r>
          </w:p>
        </w:tc>
        <w:tc>
          <w:tcPr>
            <w:tcW w:w="439" w:type="pct"/>
            <w:tcBorders>
              <w:top w:val="nil"/>
              <w:left w:val="nil"/>
              <w:bottom w:val="single" w:sz="4" w:space="0" w:color="auto"/>
              <w:right w:val="single" w:sz="4" w:space="0" w:color="auto"/>
            </w:tcBorders>
            <w:shd w:val="clear" w:color="000000" w:fill="D9D9D9"/>
            <w:vAlign w:val="center"/>
            <w:hideMark/>
          </w:tcPr>
          <w:p w14:paraId="1AA32FA0"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10.067 </w:t>
            </w:r>
          </w:p>
        </w:tc>
        <w:tc>
          <w:tcPr>
            <w:tcW w:w="514" w:type="pct"/>
            <w:tcBorders>
              <w:top w:val="nil"/>
              <w:left w:val="nil"/>
              <w:bottom w:val="single" w:sz="4" w:space="0" w:color="auto"/>
              <w:right w:val="single" w:sz="4" w:space="0" w:color="auto"/>
            </w:tcBorders>
            <w:shd w:val="clear" w:color="000000" w:fill="D9D9D9"/>
            <w:vAlign w:val="center"/>
            <w:hideMark/>
          </w:tcPr>
          <w:p w14:paraId="0166D48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70.760 </w:t>
            </w:r>
          </w:p>
        </w:tc>
        <w:tc>
          <w:tcPr>
            <w:tcW w:w="68" w:type="pct"/>
            <w:tcBorders>
              <w:top w:val="nil"/>
              <w:left w:val="nil"/>
              <w:bottom w:val="single" w:sz="4" w:space="0" w:color="auto"/>
              <w:right w:val="single" w:sz="4" w:space="0" w:color="auto"/>
            </w:tcBorders>
            <w:shd w:val="clear" w:color="000000" w:fill="D9D9D9"/>
            <w:vAlign w:val="center"/>
            <w:hideMark/>
          </w:tcPr>
          <w:p w14:paraId="60F44337"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06" w:type="pct"/>
            <w:tcBorders>
              <w:top w:val="nil"/>
              <w:left w:val="nil"/>
              <w:bottom w:val="single" w:sz="4" w:space="0" w:color="auto"/>
              <w:right w:val="single" w:sz="4" w:space="0" w:color="auto"/>
            </w:tcBorders>
            <w:shd w:val="clear" w:color="000000" w:fill="D9D9D9"/>
            <w:vAlign w:val="center"/>
            <w:hideMark/>
          </w:tcPr>
          <w:p w14:paraId="15C37EB5"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   </w:t>
            </w:r>
          </w:p>
        </w:tc>
        <w:tc>
          <w:tcPr>
            <w:tcW w:w="406" w:type="pct"/>
            <w:tcBorders>
              <w:top w:val="nil"/>
              <w:left w:val="nil"/>
              <w:bottom w:val="single" w:sz="4" w:space="0" w:color="auto"/>
              <w:right w:val="single" w:sz="4" w:space="0" w:color="auto"/>
            </w:tcBorders>
            <w:shd w:val="clear" w:color="000000" w:fill="D9D9D9"/>
            <w:vAlign w:val="center"/>
            <w:hideMark/>
          </w:tcPr>
          <w:p w14:paraId="07E0B003"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23.000 </w:t>
            </w:r>
          </w:p>
        </w:tc>
        <w:tc>
          <w:tcPr>
            <w:tcW w:w="381" w:type="pct"/>
            <w:tcBorders>
              <w:top w:val="nil"/>
              <w:left w:val="nil"/>
              <w:bottom w:val="single" w:sz="4" w:space="0" w:color="auto"/>
              <w:right w:val="single" w:sz="4" w:space="0" w:color="auto"/>
            </w:tcBorders>
            <w:shd w:val="clear" w:color="000000" w:fill="D9D9D9"/>
            <w:vAlign w:val="center"/>
            <w:hideMark/>
          </w:tcPr>
          <w:p w14:paraId="51CD16CA"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23.000 </w:t>
            </w:r>
          </w:p>
        </w:tc>
        <w:tc>
          <w:tcPr>
            <w:tcW w:w="69" w:type="pct"/>
            <w:tcBorders>
              <w:top w:val="nil"/>
              <w:left w:val="nil"/>
              <w:bottom w:val="single" w:sz="4" w:space="0" w:color="auto"/>
              <w:right w:val="single" w:sz="4" w:space="0" w:color="auto"/>
            </w:tcBorders>
            <w:shd w:val="clear" w:color="000000" w:fill="D9D9D9"/>
            <w:noWrap/>
            <w:vAlign w:val="bottom"/>
            <w:hideMark/>
          </w:tcPr>
          <w:p w14:paraId="43F029F6"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000000" w:fill="D9D9D9"/>
            <w:vAlign w:val="center"/>
            <w:hideMark/>
          </w:tcPr>
          <w:p w14:paraId="6F868F64"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93.760 </w:t>
            </w:r>
          </w:p>
        </w:tc>
      </w:tr>
      <w:tr w:rsidR="00B9166A" w:rsidRPr="002F595E" w14:paraId="221F0005" w14:textId="77777777" w:rsidTr="000C49CE">
        <w:trPr>
          <w:trHeight w:val="870"/>
          <w:jc w:val="center"/>
        </w:trPr>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335A9842" w14:textId="77777777" w:rsidR="002F595E" w:rsidRPr="00C35EAD" w:rsidRDefault="002F595E" w:rsidP="002F595E">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4. Technical and financial approaches to pilot sustainable productive systems at Apuí and RDS Juma</w:t>
            </w:r>
          </w:p>
        </w:tc>
        <w:tc>
          <w:tcPr>
            <w:tcW w:w="504" w:type="pct"/>
            <w:tcBorders>
              <w:top w:val="nil"/>
              <w:left w:val="nil"/>
              <w:bottom w:val="single" w:sz="4" w:space="0" w:color="auto"/>
              <w:right w:val="single" w:sz="4" w:space="0" w:color="auto"/>
            </w:tcBorders>
            <w:shd w:val="clear" w:color="auto" w:fill="auto"/>
            <w:vAlign w:val="center"/>
            <w:hideMark/>
          </w:tcPr>
          <w:p w14:paraId="358FFDD5" w14:textId="1E382D08" w:rsidR="002F595E" w:rsidRPr="00C35EAD" w:rsidRDefault="002F595E" w:rsidP="00307DEC">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i.       </w:t>
            </w:r>
            <w:r w:rsidR="00307DEC">
              <w:rPr>
                <w:rFonts w:ascii="Calibri" w:eastAsia="Times New Roman" w:hAnsi="Calibri" w:cs="Calibri"/>
                <w:color w:val="000000"/>
                <w:lang w:val="en-GB" w:eastAsia="pt-BR"/>
              </w:rPr>
              <w:t>A</w:t>
            </w:r>
            <w:r w:rsidRPr="00C35EAD">
              <w:rPr>
                <w:rFonts w:ascii="Calibri" w:eastAsia="Times New Roman" w:hAnsi="Calibri" w:cs="Calibri"/>
                <w:color w:val="000000"/>
                <w:lang w:val="en-GB" w:eastAsia="pt-BR"/>
              </w:rPr>
              <w:t>ssess two projects encompassing different variables (geography, social and economic aspects etc.)</w:t>
            </w:r>
          </w:p>
        </w:tc>
        <w:tc>
          <w:tcPr>
            <w:tcW w:w="485" w:type="pct"/>
            <w:tcBorders>
              <w:top w:val="nil"/>
              <w:left w:val="nil"/>
              <w:bottom w:val="single" w:sz="4" w:space="0" w:color="auto"/>
              <w:right w:val="single" w:sz="4" w:space="0" w:color="auto"/>
            </w:tcBorders>
            <w:shd w:val="clear" w:color="auto" w:fill="auto"/>
            <w:vAlign w:val="center"/>
            <w:hideMark/>
          </w:tcPr>
          <w:p w14:paraId="7009B6C2"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*direct involvement of FAS &amp; Idesam</w:t>
            </w:r>
          </w:p>
        </w:tc>
        <w:tc>
          <w:tcPr>
            <w:tcW w:w="302" w:type="pct"/>
            <w:tcBorders>
              <w:top w:val="nil"/>
              <w:left w:val="nil"/>
              <w:bottom w:val="single" w:sz="4" w:space="0" w:color="auto"/>
              <w:right w:val="single" w:sz="4" w:space="0" w:color="auto"/>
            </w:tcBorders>
            <w:shd w:val="clear" w:color="auto" w:fill="auto"/>
            <w:vAlign w:val="center"/>
            <w:hideMark/>
          </w:tcPr>
          <w:p w14:paraId="3FB51D4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30.250 </w:t>
            </w:r>
          </w:p>
        </w:tc>
        <w:tc>
          <w:tcPr>
            <w:tcW w:w="478" w:type="pct"/>
            <w:tcBorders>
              <w:top w:val="nil"/>
              <w:left w:val="nil"/>
              <w:bottom w:val="single" w:sz="4" w:space="0" w:color="auto"/>
              <w:right w:val="single" w:sz="4" w:space="0" w:color="auto"/>
            </w:tcBorders>
            <w:shd w:val="clear" w:color="auto" w:fill="auto"/>
            <w:vAlign w:val="center"/>
            <w:hideMark/>
          </w:tcPr>
          <w:p w14:paraId="2230D66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469D19C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13F3FA7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30.250 </w:t>
            </w:r>
          </w:p>
        </w:tc>
        <w:tc>
          <w:tcPr>
            <w:tcW w:w="68" w:type="pct"/>
            <w:tcBorders>
              <w:top w:val="nil"/>
              <w:left w:val="nil"/>
              <w:bottom w:val="single" w:sz="4" w:space="0" w:color="auto"/>
              <w:right w:val="single" w:sz="4" w:space="0" w:color="auto"/>
            </w:tcBorders>
            <w:shd w:val="clear" w:color="000000" w:fill="D9D9D9"/>
            <w:vAlign w:val="center"/>
            <w:hideMark/>
          </w:tcPr>
          <w:p w14:paraId="11DD2A3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6CA81D5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0879C13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2.500 </w:t>
            </w:r>
          </w:p>
        </w:tc>
        <w:tc>
          <w:tcPr>
            <w:tcW w:w="381" w:type="pct"/>
            <w:tcBorders>
              <w:top w:val="nil"/>
              <w:left w:val="nil"/>
              <w:bottom w:val="single" w:sz="4" w:space="0" w:color="auto"/>
              <w:right w:val="single" w:sz="4" w:space="0" w:color="auto"/>
            </w:tcBorders>
            <w:shd w:val="clear" w:color="auto" w:fill="auto"/>
            <w:vAlign w:val="center"/>
            <w:hideMark/>
          </w:tcPr>
          <w:p w14:paraId="41F6EAB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2.500 </w:t>
            </w:r>
          </w:p>
        </w:tc>
        <w:tc>
          <w:tcPr>
            <w:tcW w:w="69" w:type="pct"/>
            <w:tcBorders>
              <w:top w:val="nil"/>
              <w:left w:val="nil"/>
              <w:bottom w:val="single" w:sz="4" w:space="0" w:color="auto"/>
              <w:right w:val="single" w:sz="4" w:space="0" w:color="auto"/>
            </w:tcBorders>
            <w:shd w:val="clear" w:color="000000" w:fill="D9D9D9"/>
            <w:noWrap/>
            <w:vAlign w:val="bottom"/>
            <w:hideMark/>
          </w:tcPr>
          <w:p w14:paraId="389873F5"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4BA55E4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32.750 </w:t>
            </w:r>
          </w:p>
        </w:tc>
      </w:tr>
      <w:tr w:rsidR="00B9166A" w:rsidRPr="002F595E" w14:paraId="614B7876"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1A509011"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1FB3A442"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Design and define a business plan for each area considering LSA and its related regulations</w:t>
            </w:r>
          </w:p>
        </w:tc>
        <w:tc>
          <w:tcPr>
            <w:tcW w:w="485" w:type="pct"/>
            <w:tcBorders>
              <w:top w:val="nil"/>
              <w:left w:val="nil"/>
              <w:bottom w:val="single" w:sz="4" w:space="0" w:color="auto"/>
              <w:right w:val="single" w:sz="4" w:space="0" w:color="auto"/>
            </w:tcBorders>
            <w:shd w:val="clear" w:color="auto" w:fill="auto"/>
            <w:vAlign w:val="center"/>
            <w:hideMark/>
          </w:tcPr>
          <w:p w14:paraId="49B147C6"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direct involvement of SEMA &amp; FAS</w:t>
            </w:r>
          </w:p>
        </w:tc>
        <w:tc>
          <w:tcPr>
            <w:tcW w:w="302" w:type="pct"/>
            <w:tcBorders>
              <w:top w:val="nil"/>
              <w:left w:val="nil"/>
              <w:bottom w:val="single" w:sz="4" w:space="0" w:color="auto"/>
              <w:right w:val="single" w:sz="4" w:space="0" w:color="auto"/>
            </w:tcBorders>
            <w:shd w:val="clear" w:color="auto" w:fill="auto"/>
            <w:vAlign w:val="center"/>
            <w:hideMark/>
          </w:tcPr>
          <w:p w14:paraId="311B61E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27.150 </w:t>
            </w:r>
          </w:p>
        </w:tc>
        <w:tc>
          <w:tcPr>
            <w:tcW w:w="478" w:type="pct"/>
            <w:tcBorders>
              <w:top w:val="nil"/>
              <w:left w:val="nil"/>
              <w:bottom w:val="single" w:sz="4" w:space="0" w:color="auto"/>
              <w:right w:val="single" w:sz="4" w:space="0" w:color="auto"/>
            </w:tcBorders>
            <w:shd w:val="clear" w:color="auto" w:fill="auto"/>
            <w:vAlign w:val="center"/>
            <w:hideMark/>
          </w:tcPr>
          <w:p w14:paraId="0288A9A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4FE0218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647275E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27.150 </w:t>
            </w:r>
          </w:p>
        </w:tc>
        <w:tc>
          <w:tcPr>
            <w:tcW w:w="68" w:type="pct"/>
            <w:tcBorders>
              <w:top w:val="nil"/>
              <w:left w:val="nil"/>
              <w:bottom w:val="single" w:sz="4" w:space="0" w:color="auto"/>
              <w:right w:val="single" w:sz="4" w:space="0" w:color="auto"/>
            </w:tcBorders>
            <w:shd w:val="clear" w:color="000000" w:fill="D9D9D9"/>
            <w:vAlign w:val="center"/>
            <w:hideMark/>
          </w:tcPr>
          <w:p w14:paraId="1621410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14C8B94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7377DB4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381" w:type="pct"/>
            <w:tcBorders>
              <w:top w:val="nil"/>
              <w:left w:val="nil"/>
              <w:bottom w:val="single" w:sz="4" w:space="0" w:color="auto"/>
              <w:right w:val="single" w:sz="4" w:space="0" w:color="auto"/>
            </w:tcBorders>
            <w:shd w:val="clear" w:color="auto" w:fill="auto"/>
            <w:vAlign w:val="center"/>
            <w:hideMark/>
          </w:tcPr>
          <w:p w14:paraId="5824763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69" w:type="pct"/>
            <w:tcBorders>
              <w:top w:val="nil"/>
              <w:left w:val="nil"/>
              <w:bottom w:val="single" w:sz="4" w:space="0" w:color="auto"/>
              <w:right w:val="single" w:sz="4" w:space="0" w:color="auto"/>
            </w:tcBorders>
            <w:shd w:val="clear" w:color="000000" w:fill="D9D9D9"/>
            <w:noWrap/>
            <w:vAlign w:val="bottom"/>
            <w:hideMark/>
          </w:tcPr>
          <w:p w14:paraId="09D79E4F"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2FE0E20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37.150 </w:t>
            </w:r>
          </w:p>
        </w:tc>
      </w:tr>
      <w:tr w:rsidR="00B9166A" w:rsidRPr="002F595E" w14:paraId="651FEC01" w14:textId="77777777" w:rsidTr="000C49CE">
        <w:trPr>
          <w:trHeight w:val="870"/>
          <w:jc w:val="center"/>
        </w:trPr>
        <w:tc>
          <w:tcPr>
            <w:tcW w:w="606" w:type="pct"/>
            <w:vMerge/>
            <w:tcBorders>
              <w:top w:val="nil"/>
              <w:left w:val="single" w:sz="4" w:space="0" w:color="auto"/>
              <w:bottom w:val="single" w:sz="4" w:space="0" w:color="000000"/>
              <w:right w:val="single" w:sz="4" w:space="0" w:color="auto"/>
            </w:tcBorders>
            <w:vAlign w:val="center"/>
            <w:hideMark/>
          </w:tcPr>
          <w:p w14:paraId="27592BDF"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22F4DE2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Monitoring </w:t>
            </w:r>
          </w:p>
        </w:tc>
        <w:tc>
          <w:tcPr>
            <w:tcW w:w="485" w:type="pct"/>
            <w:tcBorders>
              <w:top w:val="nil"/>
              <w:left w:val="nil"/>
              <w:bottom w:val="single" w:sz="4" w:space="0" w:color="auto"/>
              <w:right w:val="single" w:sz="4" w:space="0" w:color="auto"/>
            </w:tcBorders>
            <w:shd w:val="clear" w:color="auto" w:fill="auto"/>
            <w:vAlign w:val="center"/>
            <w:hideMark/>
          </w:tcPr>
          <w:p w14:paraId="26FB7DB3"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SEMA, FAS, Idesam, CI-BR, FVA &amp; IPAM will support and supervise all activities</w:t>
            </w:r>
          </w:p>
        </w:tc>
        <w:tc>
          <w:tcPr>
            <w:tcW w:w="302" w:type="pct"/>
            <w:tcBorders>
              <w:top w:val="nil"/>
              <w:left w:val="nil"/>
              <w:bottom w:val="single" w:sz="4" w:space="0" w:color="auto"/>
              <w:right w:val="single" w:sz="4" w:space="0" w:color="auto"/>
            </w:tcBorders>
            <w:shd w:val="clear" w:color="auto" w:fill="auto"/>
            <w:vAlign w:val="center"/>
            <w:hideMark/>
          </w:tcPr>
          <w:p w14:paraId="1911F55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2.070 </w:t>
            </w:r>
          </w:p>
        </w:tc>
        <w:tc>
          <w:tcPr>
            <w:tcW w:w="478" w:type="pct"/>
            <w:tcBorders>
              <w:top w:val="nil"/>
              <w:left w:val="nil"/>
              <w:bottom w:val="single" w:sz="4" w:space="0" w:color="auto"/>
              <w:right w:val="single" w:sz="4" w:space="0" w:color="auto"/>
            </w:tcBorders>
            <w:shd w:val="clear" w:color="auto" w:fill="auto"/>
            <w:vAlign w:val="center"/>
            <w:hideMark/>
          </w:tcPr>
          <w:p w14:paraId="60FE2F7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2.070 </w:t>
            </w:r>
          </w:p>
        </w:tc>
        <w:tc>
          <w:tcPr>
            <w:tcW w:w="439" w:type="pct"/>
            <w:tcBorders>
              <w:top w:val="nil"/>
              <w:left w:val="nil"/>
              <w:bottom w:val="single" w:sz="4" w:space="0" w:color="auto"/>
              <w:right w:val="single" w:sz="4" w:space="0" w:color="auto"/>
            </w:tcBorders>
            <w:shd w:val="clear" w:color="auto" w:fill="auto"/>
            <w:vAlign w:val="center"/>
            <w:hideMark/>
          </w:tcPr>
          <w:p w14:paraId="126F19A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514" w:type="pct"/>
            <w:tcBorders>
              <w:top w:val="nil"/>
              <w:left w:val="nil"/>
              <w:bottom w:val="single" w:sz="4" w:space="0" w:color="auto"/>
              <w:right w:val="single" w:sz="4" w:space="0" w:color="auto"/>
            </w:tcBorders>
            <w:shd w:val="clear" w:color="auto" w:fill="auto"/>
            <w:vAlign w:val="center"/>
            <w:hideMark/>
          </w:tcPr>
          <w:p w14:paraId="4B3720E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4.140 </w:t>
            </w:r>
          </w:p>
        </w:tc>
        <w:tc>
          <w:tcPr>
            <w:tcW w:w="68" w:type="pct"/>
            <w:tcBorders>
              <w:top w:val="nil"/>
              <w:left w:val="nil"/>
              <w:bottom w:val="single" w:sz="4" w:space="0" w:color="auto"/>
              <w:right w:val="single" w:sz="4" w:space="0" w:color="auto"/>
            </w:tcBorders>
            <w:shd w:val="clear" w:color="000000" w:fill="D9D9D9"/>
            <w:vAlign w:val="center"/>
            <w:hideMark/>
          </w:tcPr>
          <w:p w14:paraId="1CF75CCC"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58AFCE2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06" w:type="pct"/>
            <w:tcBorders>
              <w:top w:val="nil"/>
              <w:left w:val="nil"/>
              <w:bottom w:val="single" w:sz="4" w:space="0" w:color="auto"/>
              <w:right w:val="single" w:sz="4" w:space="0" w:color="auto"/>
            </w:tcBorders>
            <w:shd w:val="clear" w:color="auto" w:fill="auto"/>
            <w:vAlign w:val="center"/>
            <w:hideMark/>
          </w:tcPr>
          <w:p w14:paraId="6B83C7E3"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381" w:type="pct"/>
            <w:tcBorders>
              <w:top w:val="nil"/>
              <w:left w:val="nil"/>
              <w:bottom w:val="single" w:sz="4" w:space="0" w:color="auto"/>
              <w:right w:val="single" w:sz="4" w:space="0" w:color="auto"/>
            </w:tcBorders>
            <w:shd w:val="clear" w:color="auto" w:fill="auto"/>
            <w:vAlign w:val="center"/>
            <w:hideMark/>
          </w:tcPr>
          <w:p w14:paraId="399851F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69" w:type="pct"/>
            <w:tcBorders>
              <w:top w:val="nil"/>
              <w:left w:val="nil"/>
              <w:bottom w:val="single" w:sz="4" w:space="0" w:color="auto"/>
              <w:right w:val="single" w:sz="4" w:space="0" w:color="auto"/>
            </w:tcBorders>
            <w:shd w:val="clear" w:color="000000" w:fill="D9D9D9"/>
            <w:noWrap/>
            <w:vAlign w:val="bottom"/>
            <w:hideMark/>
          </w:tcPr>
          <w:p w14:paraId="238E40F0"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235DEB7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9.140 </w:t>
            </w:r>
          </w:p>
        </w:tc>
      </w:tr>
      <w:tr w:rsidR="0094134E" w:rsidRPr="002F595E" w14:paraId="298028CF" w14:textId="77777777" w:rsidTr="007678F1">
        <w:trPr>
          <w:trHeight w:val="310"/>
          <w:jc w:val="center"/>
        </w:trPr>
        <w:tc>
          <w:tcPr>
            <w:tcW w:w="606" w:type="pct"/>
            <w:tcBorders>
              <w:top w:val="nil"/>
              <w:left w:val="single" w:sz="4" w:space="0" w:color="auto"/>
              <w:bottom w:val="single" w:sz="4" w:space="0" w:color="auto"/>
              <w:right w:val="single" w:sz="4" w:space="0" w:color="auto"/>
            </w:tcBorders>
            <w:shd w:val="clear" w:color="000000" w:fill="D9D9D9"/>
            <w:vAlign w:val="center"/>
            <w:hideMark/>
          </w:tcPr>
          <w:p w14:paraId="14ADDB27"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Subtotal Output 4</w:t>
            </w:r>
          </w:p>
        </w:tc>
        <w:tc>
          <w:tcPr>
            <w:tcW w:w="504" w:type="pct"/>
            <w:tcBorders>
              <w:top w:val="nil"/>
              <w:left w:val="nil"/>
              <w:bottom w:val="single" w:sz="4" w:space="0" w:color="auto"/>
              <w:right w:val="single" w:sz="4" w:space="0" w:color="auto"/>
            </w:tcBorders>
            <w:shd w:val="clear" w:color="000000" w:fill="D9D9D9"/>
            <w:vAlign w:val="center"/>
            <w:hideMark/>
          </w:tcPr>
          <w:p w14:paraId="6CBD1326"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85" w:type="pct"/>
            <w:tcBorders>
              <w:top w:val="nil"/>
              <w:left w:val="nil"/>
              <w:bottom w:val="single" w:sz="4" w:space="0" w:color="auto"/>
              <w:right w:val="single" w:sz="4" w:space="0" w:color="auto"/>
            </w:tcBorders>
            <w:shd w:val="clear" w:color="000000" w:fill="D9D9D9"/>
            <w:vAlign w:val="center"/>
            <w:hideMark/>
          </w:tcPr>
          <w:p w14:paraId="2C948A8C"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302" w:type="pct"/>
            <w:tcBorders>
              <w:top w:val="nil"/>
              <w:left w:val="nil"/>
              <w:bottom w:val="single" w:sz="4" w:space="0" w:color="auto"/>
              <w:right w:val="single" w:sz="4" w:space="0" w:color="auto"/>
            </w:tcBorders>
            <w:shd w:val="clear" w:color="000000" w:fill="D9D9D9"/>
            <w:vAlign w:val="center"/>
            <w:hideMark/>
          </w:tcPr>
          <w:p w14:paraId="5993EC82"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59.470 </w:t>
            </w:r>
          </w:p>
        </w:tc>
        <w:tc>
          <w:tcPr>
            <w:tcW w:w="478" w:type="pct"/>
            <w:tcBorders>
              <w:top w:val="nil"/>
              <w:left w:val="nil"/>
              <w:bottom w:val="single" w:sz="4" w:space="0" w:color="auto"/>
              <w:right w:val="single" w:sz="4" w:space="0" w:color="auto"/>
            </w:tcBorders>
            <w:shd w:val="clear" w:color="000000" w:fill="D9D9D9"/>
            <w:vAlign w:val="center"/>
            <w:hideMark/>
          </w:tcPr>
          <w:p w14:paraId="1AE5144A"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2.070 </w:t>
            </w:r>
          </w:p>
        </w:tc>
        <w:tc>
          <w:tcPr>
            <w:tcW w:w="439" w:type="pct"/>
            <w:tcBorders>
              <w:top w:val="nil"/>
              <w:left w:val="nil"/>
              <w:bottom w:val="single" w:sz="4" w:space="0" w:color="auto"/>
              <w:right w:val="single" w:sz="4" w:space="0" w:color="auto"/>
            </w:tcBorders>
            <w:shd w:val="clear" w:color="000000" w:fill="D9D9D9"/>
            <w:vAlign w:val="center"/>
            <w:hideMark/>
          </w:tcPr>
          <w:p w14:paraId="6148254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   </w:t>
            </w:r>
          </w:p>
        </w:tc>
        <w:tc>
          <w:tcPr>
            <w:tcW w:w="514" w:type="pct"/>
            <w:tcBorders>
              <w:top w:val="nil"/>
              <w:left w:val="nil"/>
              <w:bottom w:val="single" w:sz="4" w:space="0" w:color="auto"/>
              <w:right w:val="single" w:sz="4" w:space="0" w:color="auto"/>
            </w:tcBorders>
            <w:shd w:val="clear" w:color="000000" w:fill="D9D9D9"/>
            <w:vAlign w:val="center"/>
            <w:hideMark/>
          </w:tcPr>
          <w:p w14:paraId="27CB4986"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61.540 </w:t>
            </w:r>
          </w:p>
        </w:tc>
        <w:tc>
          <w:tcPr>
            <w:tcW w:w="68" w:type="pct"/>
            <w:tcBorders>
              <w:top w:val="nil"/>
              <w:left w:val="nil"/>
              <w:bottom w:val="single" w:sz="4" w:space="0" w:color="auto"/>
              <w:right w:val="single" w:sz="4" w:space="0" w:color="auto"/>
            </w:tcBorders>
            <w:shd w:val="clear" w:color="000000" w:fill="D9D9D9"/>
            <w:vAlign w:val="center"/>
            <w:hideMark/>
          </w:tcPr>
          <w:p w14:paraId="3CD051A7"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06" w:type="pct"/>
            <w:tcBorders>
              <w:top w:val="nil"/>
              <w:left w:val="nil"/>
              <w:bottom w:val="single" w:sz="4" w:space="0" w:color="auto"/>
              <w:right w:val="single" w:sz="4" w:space="0" w:color="auto"/>
            </w:tcBorders>
            <w:shd w:val="clear" w:color="000000" w:fill="D9D9D9"/>
            <w:vAlign w:val="center"/>
            <w:hideMark/>
          </w:tcPr>
          <w:p w14:paraId="1ED94172"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   </w:t>
            </w:r>
          </w:p>
        </w:tc>
        <w:tc>
          <w:tcPr>
            <w:tcW w:w="406" w:type="pct"/>
            <w:tcBorders>
              <w:top w:val="nil"/>
              <w:left w:val="nil"/>
              <w:bottom w:val="single" w:sz="4" w:space="0" w:color="auto"/>
              <w:right w:val="single" w:sz="4" w:space="0" w:color="auto"/>
            </w:tcBorders>
            <w:shd w:val="clear" w:color="000000" w:fill="D9D9D9"/>
            <w:vAlign w:val="center"/>
            <w:hideMark/>
          </w:tcPr>
          <w:p w14:paraId="0FB07AB9"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17.500 </w:t>
            </w:r>
          </w:p>
        </w:tc>
        <w:tc>
          <w:tcPr>
            <w:tcW w:w="381" w:type="pct"/>
            <w:tcBorders>
              <w:top w:val="nil"/>
              <w:left w:val="nil"/>
              <w:bottom w:val="single" w:sz="4" w:space="0" w:color="auto"/>
              <w:right w:val="single" w:sz="4" w:space="0" w:color="auto"/>
            </w:tcBorders>
            <w:shd w:val="clear" w:color="000000" w:fill="D9D9D9"/>
            <w:vAlign w:val="center"/>
            <w:hideMark/>
          </w:tcPr>
          <w:p w14:paraId="0060C98D"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17.500 </w:t>
            </w:r>
          </w:p>
        </w:tc>
        <w:tc>
          <w:tcPr>
            <w:tcW w:w="69" w:type="pct"/>
            <w:tcBorders>
              <w:top w:val="nil"/>
              <w:left w:val="nil"/>
              <w:bottom w:val="single" w:sz="4" w:space="0" w:color="auto"/>
              <w:right w:val="single" w:sz="4" w:space="0" w:color="auto"/>
            </w:tcBorders>
            <w:shd w:val="clear" w:color="000000" w:fill="D9D9D9"/>
            <w:noWrap/>
            <w:vAlign w:val="bottom"/>
            <w:hideMark/>
          </w:tcPr>
          <w:p w14:paraId="1C20DE7F"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000000" w:fill="D9D9D9"/>
            <w:vAlign w:val="center"/>
            <w:hideMark/>
          </w:tcPr>
          <w:p w14:paraId="3404716D"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79.040 </w:t>
            </w:r>
          </w:p>
        </w:tc>
      </w:tr>
      <w:tr w:rsidR="00B9166A" w:rsidRPr="002F595E" w14:paraId="691DF460" w14:textId="77777777" w:rsidTr="000C49CE">
        <w:trPr>
          <w:trHeight w:val="580"/>
          <w:jc w:val="center"/>
        </w:trPr>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34AA483E" w14:textId="77777777" w:rsidR="002F595E" w:rsidRPr="00C35EAD" w:rsidRDefault="002F595E" w:rsidP="002F595E">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5. Fundraising for REDD+ and forest </w:t>
            </w:r>
            <w:r w:rsidRPr="00C35EAD">
              <w:rPr>
                <w:rFonts w:ascii="Calibri" w:eastAsia="Times New Roman" w:hAnsi="Calibri" w:cs="Calibri"/>
                <w:color w:val="000000"/>
                <w:lang w:val="en-GB" w:eastAsia="pt-BR"/>
              </w:rPr>
              <w:lastRenderedPageBreak/>
              <w:t>conservation in Amazonas</w:t>
            </w:r>
          </w:p>
        </w:tc>
        <w:tc>
          <w:tcPr>
            <w:tcW w:w="504" w:type="pct"/>
            <w:tcBorders>
              <w:top w:val="nil"/>
              <w:left w:val="nil"/>
              <w:bottom w:val="single" w:sz="4" w:space="0" w:color="auto"/>
              <w:right w:val="single" w:sz="4" w:space="0" w:color="auto"/>
            </w:tcBorders>
            <w:shd w:val="clear" w:color="auto" w:fill="auto"/>
            <w:vAlign w:val="center"/>
            <w:hideMark/>
          </w:tcPr>
          <w:p w14:paraId="03A25176"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lastRenderedPageBreak/>
              <w:t xml:space="preserve">i.       Identify major stakeholders (supporters, </w:t>
            </w:r>
            <w:r w:rsidRPr="00C35EAD">
              <w:rPr>
                <w:rFonts w:ascii="Calibri" w:eastAsia="Times New Roman" w:hAnsi="Calibri" w:cs="Calibri"/>
                <w:color w:val="000000"/>
                <w:lang w:val="en-GB" w:eastAsia="pt-BR"/>
              </w:rPr>
              <w:lastRenderedPageBreak/>
              <w:t>funders, donors) for REDD+ and forest conservation</w:t>
            </w:r>
          </w:p>
        </w:tc>
        <w:tc>
          <w:tcPr>
            <w:tcW w:w="485" w:type="pct"/>
            <w:tcBorders>
              <w:top w:val="nil"/>
              <w:left w:val="nil"/>
              <w:bottom w:val="single" w:sz="4" w:space="0" w:color="auto"/>
              <w:right w:val="single" w:sz="4" w:space="0" w:color="auto"/>
            </w:tcBorders>
            <w:shd w:val="clear" w:color="auto" w:fill="auto"/>
            <w:vAlign w:val="center"/>
            <w:hideMark/>
          </w:tcPr>
          <w:p w14:paraId="051BD4AB"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lastRenderedPageBreak/>
              <w:t>*direct involvement of all partners led by FAS</w:t>
            </w:r>
          </w:p>
        </w:tc>
        <w:tc>
          <w:tcPr>
            <w:tcW w:w="302" w:type="pct"/>
            <w:tcBorders>
              <w:top w:val="nil"/>
              <w:left w:val="nil"/>
              <w:bottom w:val="single" w:sz="4" w:space="0" w:color="auto"/>
              <w:right w:val="single" w:sz="4" w:space="0" w:color="auto"/>
            </w:tcBorders>
            <w:shd w:val="clear" w:color="auto" w:fill="auto"/>
            <w:vAlign w:val="center"/>
            <w:hideMark/>
          </w:tcPr>
          <w:p w14:paraId="17BA4B76"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   </w:t>
            </w:r>
          </w:p>
        </w:tc>
        <w:tc>
          <w:tcPr>
            <w:tcW w:w="478" w:type="pct"/>
            <w:tcBorders>
              <w:top w:val="nil"/>
              <w:left w:val="nil"/>
              <w:bottom w:val="single" w:sz="4" w:space="0" w:color="auto"/>
              <w:right w:val="single" w:sz="4" w:space="0" w:color="auto"/>
            </w:tcBorders>
            <w:shd w:val="clear" w:color="auto" w:fill="auto"/>
            <w:vAlign w:val="center"/>
            <w:hideMark/>
          </w:tcPr>
          <w:p w14:paraId="60EDAF34" w14:textId="523FBD87" w:rsidR="002F595E" w:rsidRPr="002F595E" w:rsidRDefault="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w:t>
            </w:r>
            <w:r w:rsidR="0094134E">
              <w:rPr>
                <w:rFonts w:ascii="Calibri" w:eastAsia="Times New Roman" w:hAnsi="Calibri" w:cs="Calibri"/>
                <w:color w:val="000000"/>
                <w:lang w:eastAsia="pt-BR"/>
              </w:rPr>
              <w:t>4.441</w:t>
            </w:r>
            <w:r w:rsidRPr="002F595E">
              <w:rPr>
                <w:rFonts w:ascii="Calibri" w:eastAsia="Times New Roman" w:hAnsi="Calibri" w:cs="Calibri"/>
                <w:color w:val="000000"/>
                <w:lang w:eastAsia="pt-BR"/>
              </w:rPr>
              <w:t xml:space="preserve"> </w:t>
            </w:r>
          </w:p>
        </w:tc>
        <w:tc>
          <w:tcPr>
            <w:tcW w:w="439" w:type="pct"/>
            <w:tcBorders>
              <w:top w:val="nil"/>
              <w:left w:val="nil"/>
              <w:bottom w:val="single" w:sz="4" w:space="0" w:color="auto"/>
              <w:right w:val="single" w:sz="4" w:space="0" w:color="auto"/>
            </w:tcBorders>
            <w:shd w:val="clear" w:color="auto" w:fill="auto"/>
            <w:vAlign w:val="center"/>
            <w:hideMark/>
          </w:tcPr>
          <w:p w14:paraId="196746B8" w14:textId="7256C7B2"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9</w:t>
            </w:r>
            <w:r w:rsidR="00CB07F7">
              <w:rPr>
                <w:rFonts w:ascii="Calibri" w:eastAsia="Times New Roman" w:hAnsi="Calibri" w:cs="Calibri"/>
                <w:color w:val="000000"/>
                <w:lang w:eastAsia="pt-BR"/>
              </w:rPr>
              <w:t>0</w:t>
            </w:r>
            <w:r w:rsidRPr="002F595E">
              <w:rPr>
                <w:rFonts w:ascii="Calibri" w:eastAsia="Times New Roman" w:hAnsi="Calibri" w:cs="Calibri"/>
                <w:color w:val="000000"/>
                <w:lang w:eastAsia="pt-BR"/>
              </w:rPr>
              <w:t xml:space="preserve">0 </w:t>
            </w:r>
          </w:p>
        </w:tc>
        <w:tc>
          <w:tcPr>
            <w:tcW w:w="514" w:type="pct"/>
            <w:tcBorders>
              <w:top w:val="nil"/>
              <w:left w:val="nil"/>
              <w:bottom w:val="single" w:sz="4" w:space="0" w:color="auto"/>
              <w:right w:val="single" w:sz="4" w:space="0" w:color="auto"/>
            </w:tcBorders>
            <w:shd w:val="clear" w:color="auto" w:fill="auto"/>
            <w:vAlign w:val="center"/>
            <w:hideMark/>
          </w:tcPr>
          <w:p w14:paraId="2A10B8BE" w14:textId="1F8D6B73" w:rsidR="002F595E" w:rsidRPr="002F595E" w:rsidRDefault="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w:t>
            </w:r>
            <w:r w:rsidR="0094134E">
              <w:rPr>
                <w:rFonts w:ascii="Calibri" w:eastAsia="Times New Roman" w:hAnsi="Calibri" w:cs="Calibri"/>
                <w:color w:val="000000"/>
                <w:lang w:eastAsia="pt-BR"/>
              </w:rPr>
              <w:t>5.371</w:t>
            </w:r>
          </w:p>
        </w:tc>
        <w:tc>
          <w:tcPr>
            <w:tcW w:w="68" w:type="pct"/>
            <w:tcBorders>
              <w:top w:val="nil"/>
              <w:left w:val="nil"/>
              <w:bottom w:val="single" w:sz="4" w:space="0" w:color="auto"/>
              <w:right w:val="single" w:sz="4" w:space="0" w:color="auto"/>
            </w:tcBorders>
            <w:shd w:val="clear" w:color="000000" w:fill="D9D9D9"/>
            <w:vAlign w:val="center"/>
            <w:hideMark/>
          </w:tcPr>
          <w:p w14:paraId="5E8C17D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3F7B12C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406" w:type="pct"/>
            <w:tcBorders>
              <w:top w:val="nil"/>
              <w:left w:val="nil"/>
              <w:bottom w:val="single" w:sz="4" w:space="0" w:color="auto"/>
              <w:right w:val="single" w:sz="4" w:space="0" w:color="auto"/>
            </w:tcBorders>
            <w:shd w:val="clear" w:color="auto" w:fill="auto"/>
            <w:vAlign w:val="center"/>
            <w:hideMark/>
          </w:tcPr>
          <w:p w14:paraId="6F8D4D2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381" w:type="pct"/>
            <w:tcBorders>
              <w:top w:val="nil"/>
              <w:left w:val="nil"/>
              <w:bottom w:val="single" w:sz="4" w:space="0" w:color="auto"/>
              <w:right w:val="single" w:sz="4" w:space="0" w:color="auto"/>
            </w:tcBorders>
            <w:shd w:val="clear" w:color="auto" w:fill="auto"/>
            <w:vAlign w:val="center"/>
            <w:hideMark/>
          </w:tcPr>
          <w:p w14:paraId="1AD6266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10.000 </w:t>
            </w:r>
          </w:p>
        </w:tc>
        <w:tc>
          <w:tcPr>
            <w:tcW w:w="69" w:type="pct"/>
            <w:tcBorders>
              <w:top w:val="nil"/>
              <w:left w:val="nil"/>
              <w:bottom w:val="single" w:sz="4" w:space="0" w:color="auto"/>
              <w:right w:val="single" w:sz="4" w:space="0" w:color="auto"/>
            </w:tcBorders>
            <w:shd w:val="clear" w:color="000000" w:fill="D9D9D9"/>
            <w:noWrap/>
            <w:vAlign w:val="bottom"/>
            <w:hideMark/>
          </w:tcPr>
          <w:p w14:paraId="248C888D"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3E5F4D1C" w14:textId="6C58442D" w:rsidR="002F595E" w:rsidRPr="002F595E" w:rsidRDefault="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w:t>
            </w:r>
            <w:r w:rsidR="00FF1206" w:rsidRPr="002F595E">
              <w:rPr>
                <w:rFonts w:ascii="Calibri" w:eastAsia="Times New Roman" w:hAnsi="Calibri" w:cs="Calibri"/>
                <w:color w:val="000000"/>
                <w:lang w:eastAsia="pt-BR"/>
              </w:rPr>
              <w:t>1</w:t>
            </w:r>
            <w:r w:rsidR="00FF1206">
              <w:rPr>
                <w:rFonts w:ascii="Calibri" w:eastAsia="Times New Roman" w:hAnsi="Calibri" w:cs="Calibri"/>
                <w:color w:val="000000"/>
                <w:lang w:eastAsia="pt-BR"/>
              </w:rPr>
              <w:t>5</w:t>
            </w:r>
            <w:r w:rsidRPr="002F595E">
              <w:rPr>
                <w:rFonts w:ascii="Calibri" w:eastAsia="Times New Roman" w:hAnsi="Calibri" w:cs="Calibri"/>
                <w:color w:val="000000"/>
                <w:lang w:eastAsia="pt-BR"/>
              </w:rPr>
              <w:t>.</w:t>
            </w:r>
            <w:r w:rsidR="00FF1206">
              <w:rPr>
                <w:rFonts w:ascii="Calibri" w:eastAsia="Times New Roman" w:hAnsi="Calibri" w:cs="Calibri"/>
                <w:color w:val="000000"/>
                <w:lang w:eastAsia="pt-BR"/>
              </w:rPr>
              <w:t>371</w:t>
            </w:r>
            <w:r w:rsidR="00FF1206" w:rsidRPr="002F595E">
              <w:rPr>
                <w:rFonts w:ascii="Calibri" w:eastAsia="Times New Roman" w:hAnsi="Calibri" w:cs="Calibri"/>
                <w:color w:val="000000"/>
                <w:lang w:eastAsia="pt-BR"/>
              </w:rPr>
              <w:t xml:space="preserve"> </w:t>
            </w:r>
          </w:p>
        </w:tc>
      </w:tr>
      <w:tr w:rsidR="00B9166A" w:rsidRPr="002F595E" w14:paraId="29A650E8" w14:textId="77777777" w:rsidTr="000C49CE">
        <w:trPr>
          <w:trHeight w:val="580"/>
          <w:jc w:val="center"/>
        </w:trPr>
        <w:tc>
          <w:tcPr>
            <w:tcW w:w="606" w:type="pct"/>
            <w:vMerge/>
            <w:tcBorders>
              <w:top w:val="nil"/>
              <w:left w:val="single" w:sz="4" w:space="0" w:color="auto"/>
              <w:bottom w:val="single" w:sz="4" w:space="0" w:color="000000"/>
              <w:right w:val="single" w:sz="4" w:space="0" w:color="auto"/>
            </w:tcBorders>
            <w:vAlign w:val="center"/>
            <w:hideMark/>
          </w:tcPr>
          <w:p w14:paraId="3D34F279" w14:textId="77777777" w:rsidR="002F595E" w:rsidRPr="002F595E" w:rsidRDefault="002F595E" w:rsidP="002F595E">
            <w:pPr>
              <w:spacing w:after="0" w:line="240" w:lineRule="auto"/>
              <w:rPr>
                <w:rFonts w:ascii="Calibri" w:eastAsia="Times New Roman" w:hAnsi="Calibri" w:cs="Calibri"/>
                <w:color w:val="000000"/>
                <w:lang w:eastAsia="pt-BR"/>
              </w:rPr>
            </w:pPr>
          </w:p>
        </w:tc>
        <w:tc>
          <w:tcPr>
            <w:tcW w:w="504" w:type="pct"/>
            <w:tcBorders>
              <w:top w:val="nil"/>
              <w:left w:val="nil"/>
              <w:bottom w:val="single" w:sz="4" w:space="0" w:color="auto"/>
              <w:right w:val="single" w:sz="4" w:space="0" w:color="auto"/>
            </w:tcBorders>
            <w:shd w:val="clear" w:color="auto" w:fill="auto"/>
            <w:vAlign w:val="center"/>
            <w:hideMark/>
          </w:tcPr>
          <w:p w14:paraId="3346DF81"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Design strategy to approach each one – seeking for opportunities and connections</w:t>
            </w:r>
          </w:p>
        </w:tc>
        <w:tc>
          <w:tcPr>
            <w:tcW w:w="485" w:type="pct"/>
            <w:tcBorders>
              <w:top w:val="nil"/>
              <w:left w:val="nil"/>
              <w:bottom w:val="single" w:sz="4" w:space="0" w:color="auto"/>
              <w:right w:val="single" w:sz="4" w:space="0" w:color="auto"/>
            </w:tcBorders>
            <w:shd w:val="clear" w:color="auto" w:fill="auto"/>
            <w:vAlign w:val="center"/>
            <w:hideMark/>
          </w:tcPr>
          <w:p w14:paraId="40F91FA5" w14:textId="77777777" w:rsidR="002F595E" w:rsidRPr="00C35EAD" w:rsidRDefault="002F595E" w:rsidP="002F595E">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*direct involvement of all partners led by FAS</w:t>
            </w:r>
          </w:p>
        </w:tc>
        <w:tc>
          <w:tcPr>
            <w:tcW w:w="302" w:type="pct"/>
            <w:tcBorders>
              <w:top w:val="nil"/>
              <w:left w:val="nil"/>
              <w:bottom w:val="single" w:sz="4" w:space="0" w:color="auto"/>
              <w:right w:val="single" w:sz="4" w:space="0" w:color="auto"/>
            </w:tcBorders>
            <w:shd w:val="clear" w:color="auto" w:fill="auto"/>
            <w:vAlign w:val="center"/>
            <w:hideMark/>
          </w:tcPr>
          <w:p w14:paraId="303FD73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C35EAD">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   </w:t>
            </w:r>
          </w:p>
        </w:tc>
        <w:tc>
          <w:tcPr>
            <w:tcW w:w="478" w:type="pct"/>
            <w:tcBorders>
              <w:top w:val="nil"/>
              <w:left w:val="nil"/>
              <w:bottom w:val="single" w:sz="4" w:space="0" w:color="auto"/>
              <w:right w:val="single" w:sz="4" w:space="0" w:color="auto"/>
            </w:tcBorders>
            <w:shd w:val="clear" w:color="auto" w:fill="auto"/>
            <w:vAlign w:val="center"/>
            <w:hideMark/>
          </w:tcPr>
          <w:p w14:paraId="1C30C78E" w14:textId="113C5EEC"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w:t>
            </w:r>
            <w:r w:rsidR="0052411E">
              <w:rPr>
                <w:rFonts w:ascii="Calibri" w:eastAsia="Times New Roman" w:hAnsi="Calibri" w:cs="Calibri"/>
                <w:color w:val="000000"/>
                <w:lang w:eastAsia="pt-BR"/>
              </w:rPr>
              <w:t>8</w:t>
            </w:r>
            <w:r w:rsidRPr="002F595E">
              <w:rPr>
                <w:rFonts w:ascii="Calibri" w:eastAsia="Times New Roman" w:hAnsi="Calibri" w:cs="Calibri"/>
                <w:color w:val="000000"/>
                <w:lang w:eastAsia="pt-BR"/>
              </w:rPr>
              <w:t xml:space="preserve">.120 </w:t>
            </w:r>
          </w:p>
        </w:tc>
        <w:tc>
          <w:tcPr>
            <w:tcW w:w="439" w:type="pct"/>
            <w:tcBorders>
              <w:top w:val="nil"/>
              <w:left w:val="nil"/>
              <w:bottom w:val="single" w:sz="4" w:space="0" w:color="auto"/>
              <w:right w:val="single" w:sz="4" w:space="0" w:color="auto"/>
            </w:tcBorders>
            <w:shd w:val="clear" w:color="auto" w:fill="auto"/>
            <w:vAlign w:val="center"/>
            <w:hideMark/>
          </w:tcPr>
          <w:p w14:paraId="16645340" w14:textId="54123EDA"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w:t>
            </w:r>
            <w:r w:rsidR="0052411E">
              <w:rPr>
                <w:rFonts w:ascii="Calibri" w:eastAsia="Times New Roman" w:hAnsi="Calibri" w:cs="Calibri"/>
                <w:color w:val="000000"/>
                <w:lang w:eastAsia="pt-BR"/>
              </w:rPr>
              <w:t>2</w:t>
            </w:r>
            <w:r w:rsidRPr="002F595E">
              <w:rPr>
                <w:rFonts w:ascii="Calibri" w:eastAsia="Times New Roman" w:hAnsi="Calibri" w:cs="Calibri"/>
                <w:color w:val="000000"/>
                <w:lang w:eastAsia="pt-BR"/>
              </w:rPr>
              <w:t xml:space="preserve">.280 </w:t>
            </w:r>
          </w:p>
        </w:tc>
        <w:tc>
          <w:tcPr>
            <w:tcW w:w="514" w:type="pct"/>
            <w:tcBorders>
              <w:top w:val="nil"/>
              <w:left w:val="nil"/>
              <w:bottom w:val="single" w:sz="4" w:space="0" w:color="auto"/>
              <w:right w:val="single" w:sz="4" w:space="0" w:color="auto"/>
            </w:tcBorders>
            <w:shd w:val="clear" w:color="auto" w:fill="auto"/>
            <w:vAlign w:val="center"/>
            <w:hideMark/>
          </w:tcPr>
          <w:p w14:paraId="21DA8EBA" w14:textId="5B021719"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w:t>
            </w:r>
            <w:r w:rsidR="0052411E">
              <w:rPr>
                <w:rFonts w:ascii="Calibri" w:eastAsia="Times New Roman" w:hAnsi="Calibri" w:cs="Calibri"/>
                <w:color w:val="000000"/>
                <w:lang w:eastAsia="pt-BR"/>
              </w:rPr>
              <w:t>0</w:t>
            </w:r>
            <w:r w:rsidRPr="002F595E">
              <w:rPr>
                <w:rFonts w:ascii="Calibri" w:eastAsia="Times New Roman" w:hAnsi="Calibri" w:cs="Calibri"/>
                <w:color w:val="000000"/>
                <w:lang w:eastAsia="pt-BR"/>
              </w:rPr>
              <w:t xml:space="preserve">.400 </w:t>
            </w:r>
          </w:p>
        </w:tc>
        <w:tc>
          <w:tcPr>
            <w:tcW w:w="68" w:type="pct"/>
            <w:tcBorders>
              <w:top w:val="nil"/>
              <w:left w:val="nil"/>
              <w:bottom w:val="single" w:sz="4" w:space="0" w:color="auto"/>
              <w:right w:val="single" w:sz="4" w:space="0" w:color="auto"/>
            </w:tcBorders>
            <w:shd w:val="clear" w:color="000000" w:fill="D9D9D9"/>
            <w:vAlign w:val="center"/>
            <w:hideMark/>
          </w:tcPr>
          <w:p w14:paraId="58A22C3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60863D9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2.500 </w:t>
            </w:r>
          </w:p>
        </w:tc>
        <w:tc>
          <w:tcPr>
            <w:tcW w:w="406" w:type="pct"/>
            <w:tcBorders>
              <w:top w:val="nil"/>
              <w:left w:val="nil"/>
              <w:bottom w:val="single" w:sz="4" w:space="0" w:color="auto"/>
              <w:right w:val="single" w:sz="4" w:space="0" w:color="auto"/>
            </w:tcBorders>
            <w:shd w:val="clear" w:color="auto" w:fill="auto"/>
            <w:vAlign w:val="center"/>
            <w:hideMark/>
          </w:tcPr>
          <w:p w14:paraId="18F602B5"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5.000 </w:t>
            </w:r>
          </w:p>
        </w:tc>
        <w:tc>
          <w:tcPr>
            <w:tcW w:w="381" w:type="pct"/>
            <w:tcBorders>
              <w:top w:val="nil"/>
              <w:left w:val="nil"/>
              <w:bottom w:val="single" w:sz="4" w:space="0" w:color="auto"/>
              <w:right w:val="single" w:sz="4" w:space="0" w:color="auto"/>
            </w:tcBorders>
            <w:shd w:val="clear" w:color="auto" w:fill="auto"/>
            <w:vAlign w:val="center"/>
            <w:hideMark/>
          </w:tcPr>
          <w:p w14:paraId="30D2915A"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7.500 </w:t>
            </w:r>
          </w:p>
        </w:tc>
        <w:tc>
          <w:tcPr>
            <w:tcW w:w="69" w:type="pct"/>
            <w:tcBorders>
              <w:top w:val="nil"/>
              <w:left w:val="nil"/>
              <w:bottom w:val="single" w:sz="4" w:space="0" w:color="auto"/>
              <w:right w:val="single" w:sz="4" w:space="0" w:color="auto"/>
            </w:tcBorders>
            <w:shd w:val="clear" w:color="000000" w:fill="D9D9D9"/>
            <w:noWrap/>
            <w:vAlign w:val="bottom"/>
            <w:hideMark/>
          </w:tcPr>
          <w:p w14:paraId="191EFAFF"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548FBF2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18.900 </w:t>
            </w:r>
          </w:p>
        </w:tc>
      </w:tr>
      <w:tr w:rsidR="0094134E" w:rsidRPr="002F595E" w14:paraId="1F92694E" w14:textId="77777777" w:rsidTr="007678F1">
        <w:trPr>
          <w:trHeight w:val="310"/>
          <w:jc w:val="center"/>
        </w:trPr>
        <w:tc>
          <w:tcPr>
            <w:tcW w:w="606" w:type="pct"/>
            <w:tcBorders>
              <w:top w:val="nil"/>
              <w:left w:val="single" w:sz="4" w:space="0" w:color="auto"/>
              <w:bottom w:val="single" w:sz="4" w:space="0" w:color="auto"/>
              <w:right w:val="single" w:sz="4" w:space="0" w:color="auto"/>
            </w:tcBorders>
            <w:shd w:val="clear" w:color="000000" w:fill="D9D9D9"/>
            <w:vAlign w:val="center"/>
            <w:hideMark/>
          </w:tcPr>
          <w:p w14:paraId="76131A8B"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Subtotal Output 5</w:t>
            </w:r>
          </w:p>
        </w:tc>
        <w:tc>
          <w:tcPr>
            <w:tcW w:w="504" w:type="pct"/>
            <w:tcBorders>
              <w:top w:val="nil"/>
              <w:left w:val="nil"/>
              <w:bottom w:val="single" w:sz="4" w:space="0" w:color="auto"/>
              <w:right w:val="single" w:sz="4" w:space="0" w:color="auto"/>
            </w:tcBorders>
            <w:shd w:val="clear" w:color="000000" w:fill="D9D9D9"/>
            <w:vAlign w:val="center"/>
            <w:hideMark/>
          </w:tcPr>
          <w:p w14:paraId="55EE3756"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85" w:type="pct"/>
            <w:tcBorders>
              <w:top w:val="nil"/>
              <w:left w:val="nil"/>
              <w:bottom w:val="single" w:sz="4" w:space="0" w:color="auto"/>
              <w:right w:val="single" w:sz="4" w:space="0" w:color="auto"/>
            </w:tcBorders>
            <w:shd w:val="clear" w:color="000000" w:fill="D9D9D9"/>
            <w:vAlign w:val="center"/>
            <w:hideMark/>
          </w:tcPr>
          <w:p w14:paraId="2ECDCD5D"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302" w:type="pct"/>
            <w:tcBorders>
              <w:top w:val="nil"/>
              <w:left w:val="nil"/>
              <w:bottom w:val="single" w:sz="4" w:space="0" w:color="auto"/>
              <w:right w:val="single" w:sz="4" w:space="0" w:color="auto"/>
            </w:tcBorders>
            <w:shd w:val="clear" w:color="000000" w:fill="D9D9D9"/>
            <w:vAlign w:val="center"/>
            <w:hideMark/>
          </w:tcPr>
          <w:p w14:paraId="284C2A93" w14:textId="7A3CF51E"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w:t>
            </w:r>
          </w:p>
        </w:tc>
        <w:tc>
          <w:tcPr>
            <w:tcW w:w="478" w:type="pct"/>
            <w:tcBorders>
              <w:top w:val="nil"/>
              <w:left w:val="nil"/>
              <w:bottom w:val="single" w:sz="4" w:space="0" w:color="auto"/>
              <w:right w:val="single" w:sz="4" w:space="0" w:color="auto"/>
            </w:tcBorders>
            <w:shd w:val="clear" w:color="000000" w:fill="D9D9D9"/>
            <w:vAlign w:val="center"/>
            <w:hideMark/>
          </w:tcPr>
          <w:p w14:paraId="7BEEF067" w14:textId="77777777" w:rsidR="0052411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w:t>
            </w:r>
          </w:p>
          <w:p w14:paraId="0D0A0F50" w14:textId="0F947457" w:rsidR="002F595E" w:rsidRPr="002F595E" w:rsidRDefault="00CB07F7" w:rsidP="002F595E">
            <w:pPr>
              <w:spacing w:after="0" w:line="240" w:lineRule="auto"/>
              <w:jc w:val="both"/>
              <w:rPr>
                <w:rFonts w:ascii="Calibri" w:eastAsia="Times New Roman" w:hAnsi="Calibri" w:cs="Calibri"/>
                <w:b/>
                <w:bCs/>
                <w:i/>
                <w:iCs/>
                <w:color w:val="000000"/>
                <w:lang w:eastAsia="pt-BR"/>
              </w:rPr>
            </w:pPr>
            <w:r>
              <w:rPr>
                <w:rFonts w:ascii="Calibri" w:eastAsia="Times New Roman" w:hAnsi="Calibri" w:cs="Calibri"/>
                <w:b/>
                <w:bCs/>
                <w:i/>
                <w:iCs/>
                <w:color w:val="000000"/>
                <w:lang w:eastAsia="pt-BR"/>
              </w:rPr>
              <w:t>11.82</w:t>
            </w:r>
            <w:r w:rsidR="0052411E">
              <w:rPr>
                <w:rFonts w:ascii="Calibri" w:eastAsia="Times New Roman" w:hAnsi="Calibri" w:cs="Calibri"/>
                <w:b/>
                <w:bCs/>
                <w:i/>
                <w:iCs/>
                <w:color w:val="000000"/>
                <w:lang w:eastAsia="pt-BR"/>
              </w:rPr>
              <w:t>0</w:t>
            </w:r>
          </w:p>
        </w:tc>
        <w:tc>
          <w:tcPr>
            <w:tcW w:w="439" w:type="pct"/>
            <w:tcBorders>
              <w:top w:val="nil"/>
              <w:left w:val="nil"/>
              <w:bottom w:val="single" w:sz="4" w:space="0" w:color="auto"/>
              <w:right w:val="single" w:sz="4" w:space="0" w:color="auto"/>
            </w:tcBorders>
            <w:shd w:val="clear" w:color="000000" w:fill="D9D9D9"/>
            <w:vAlign w:val="center"/>
            <w:hideMark/>
          </w:tcPr>
          <w:p w14:paraId="55FA3598" w14:textId="4D3FEB92"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w:t>
            </w:r>
            <w:r w:rsidR="0052411E">
              <w:rPr>
                <w:rFonts w:ascii="Calibri" w:eastAsia="Times New Roman" w:hAnsi="Calibri" w:cs="Calibri"/>
                <w:b/>
                <w:bCs/>
                <w:i/>
                <w:iCs/>
                <w:color w:val="000000"/>
                <w:lang w:eastAsia="pt-BR"/>
              </w:rPr>
              <w:t>3.210</w:t>
            </w:r>
            <w:r w:rsidRPr="002F595E">
              <w:rPr>
                <w:rFonts w:ascii="Calibri" w:eastAsia="Times New Roman" w:hAnsi="Calibri" w:cs="Calibri"/>
                <w:b/>
                <w:bCs/>
                <w:i/>
                <w:iCs/>
                <w:color w:val="000000"/>
                <w:lang w:eastAsia="pt-BR"/>
              </w:rPr>
              <w:t xml:space="preserve"> </w:t>
            </w:r>
          </w:p>
        </w:tc>
        <w:tc>
          <w:tcPr>
            <w:tcW w:w="514" w:type="pct"/>
            <w:tcBorders>
              <w:top w:val="nil"/>
              <w:left w:val="nil"/>
              <w:bottom w:val="single" w:sz="4" w:space="0" w:color="auto"/>
              <w:right w:val="single" w:sz="4" w:space="0" w:color="auto"/>
            </w:tcBorders>
            <w:shd w:val="clear" w:color="000000" w:fill="D9D9D9"/>
            <w:vAlign w:val="center"/>
            <w:hideMark/>
          </w:tcPr>
          <w:p w14:paraId="7AE6F7A2" w14:textId="283D2232"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w:t>
            </w:r>
            <w:r w:rsidR="00CB07F7">
              <w:rPr>
                <w:rFonts w:ascii="Calibri" w:eastAsia="Times New Roman" w:hAnsi="Calibri" w:cs="Calibri"/>
                <w:b/>
                <w:bCs/>
                <w:i/>
                <w:iCs/>
                <w:color w:val="000000"/>
                <w:lang w:eastAsia="pt-BR"/>
              </w:rPr>
              <w:t>15.000</w:t>
            </w:r>
            <w:r w:rsidRPr="002F595E">
              <w:rPr>
                <w:rFonts w:ascii="Calibri" w:eastAsia="Times New Roman" w:hAnsi="Calibri" w:cs="Calibri"/>
                <w:b/>
                <w:bCs/>
                <w:i/>
                <w:iCs/>
                <w:color w:val="000000"/>
                <w:lang w:eastAsia="pt-BR"/>
              </w:rPr>
              <w:t xml:space="preserve"> </w:t>
            </w:r>
          </w:p>
        </w:tc>
        <w:tc>
          <w:tcPr>
            <w:tcW w:w="68" w:type="pct"/>
            <w:tcBorders>
              <w:top w:val="nil"/>
              <w:left w:val="nil"/>
              <w:bottom w:val="single" w:sz="4" w:space="0" w:color="auto"/>
              <w:right w:val="single" w:sz="4" w:space="0" w:color="auto"/>
            </w:tcBorders>
            <w:shd w:val="clear" w:color="000000" w:fill="D9D9D9"/>
            <w:vAlign w:val="center"/>
            <w:hideMark/>
          </w:tcPr>
          <w:p w14:paraId="09B705E1"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06" w:type="pct"/>
            <w:tcBorders>
              <w:top w:val="nil"/>
              <w:left w:val="nil"/>
              <w:bottom w:val="single" w:sz="4" w:space="0" w:color="auto"/>
              <w:right w:val="single" w:sz="4" w:space="0" w:color="auto"/>
            </w:tcBorders>
            <w:shd w:val="clear" w:color="000000" w:fill="D9D9D9"/>
            <w:vAlign w:val="center"/>
            <w:hideMark/>
          </w:tcPr>
          <w:p w14:paraId="4D693E50"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14.000 </w:t>
            </w:r>
          </w:p>
        </w:tc>
        <w:tc>
          <w:tcPr>
            <w:tcW w:w="406" w:type="pct"/>
            <w:tcBorders>
              <w:top w:val="nil"/>
              <w:left w:val="nil"/>
              <w:bottom w:val="single" w:sz="4" w:space="0" w:color="auto"/>
              <w:right w:val="single" w:sz="4" w:space="0" w:color="auto"/>
            </w:tcBorders>
            <w:shd w:val="clear" w:color="000000" w:fill="D9D9D9"/>
            <w:vAlign w:val="center"/>
            <w:hideMark/>
          </w:tcPr>
          <w:p w14:paraId="59885808"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20.000 </w:t>
            </w:r>
          </w:p>
        </w:tc>
        <w:tc>
          <w:tcPr>
            <w:tcW w:w="381" w:type="pct"/>
            <w:tcBorders>
              <w:top w:val="nil"/>
              <w:left w:val="nil"/>
              <w:bottom w:val="single" w:sz="4" w:space="0" w:color="auto"/>
              <w:right w:val="single" w:sz="4" w:space="0" w:color="auto"/>
            </w:tcBorders>
            <w:shd w:val="clear" w:color="000000" w:fill="D9D9D9"/>
            <w:vAlign w:val="center"/>
            <w:hideMark/>
          </w:tcPr>
          <w:p w14:paraId="5EA603F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34.000 </w:t>
            </w:r>
          </w:p>
        </w:tc>
        <w:tc>
          <w:tcPr>
            <w:tcW w:w="69" w:type="pct"/>
            <w:tcBorders>
              <w:top w:val="nil"/>
              <w:left w:val="nil"/>
              <w:bottom w:val="single" w:sz="4" w:space="0" w:color="auto"/>
              <w:right w:val="single" w:sz="4" w:space="0" w:color="auto"/>
            </w:tcBorders>
            <w:shd w:val="clear" w:color="000000" w:fill="D9D9D9"/>
            <w:noWrap/>
            <w:vAlign w:val="bottom"/>
            <w:hideMark/>
          </w:tcPr>
          <w:p w14:paraId="21F4265B"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000000" w:fill="D9D9D9"/>
            <w:vAlign w:val="center"/>
            <w:hideMark/>
          </w:tcPr>
          <w:p w14:paraId="2E7026EF"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86.560 </w:t>
            </w:r>
          </w:p>
        </w:tc>
      </w:tr>
      <w:tr w:rsidR="007678F1" w:rsidRPr="002F595E" w14:paraId="025FA573" w14:textId="77777777" w:rsidTr="000C49CE">
        <w:trPr>
          <w:trHeight w:val="310"/>
          <w:jc w:val="center"/>
        </w:trPr>
        <w:tc>
          <w:tcPr>
            <w:tcW w:w="606" w:type="pct"/>
            <w:tcBorders>
              <w:top w:val="nil"/>
              <w:left w:val="single" w:sz="4" w:space="0" w:color="auto"/>
              <w:bottom w:val="single" w:sz="4" w:space="0" w:color="auto"/>
              <w:right w:val="single" w:sz="4" w:space="0" w:color="auto"/>
            </w:tcBorders>
            <w:shd w:val="clear" w:color="auto" w:fill="auto"/>
            <w:vAlign w:val="center"/>
            <w:hideMark/>
          </w:tcPr>
          <w:p w14:paraId="4EDE9DF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6. Independent evaluation</w:t>
            </w:r>
          </w:p>
        </w:tc>
        <w:tc>
          <w:tcPr>
            <w:tcW w:w="504" w:type="pct"/>
            <w:tcBorders>
              <w:top w:val="nil"/>
              <w:left w:val="nil"/>
              <w:bottom w:val="single" w:sz="4" w:space="0" w:color="auto"/>
              <w:right w:val="single" w:sz="4" w:space="0" w:color="auto"/>
            </w:tcBorders>
            <w:shd w:val="clear" w:color="auto" w:fill="auto"/>
            <w:vAlign w:val="center"/>
            <w:hideMark/>
          </w:tcPr>
          <w:p w14:paraId="4D5E00C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i. evaluate project's outputs</w:t>
            </w:r>
          </w:p>
        </w:tc>
        <w:tc>
          <w:tcPr>
            <w:tcW w:w="485" w:type="pct"/>
            <w:tcBorders>
              <w:top w:val="nil"/>
              <w:left w:val="nil"/>
              <w:bottom w:val="single" w:sz="4" w:space="0" w:color="auto"/>
              <w:right w:val="single" w:sz="4" w:space="0" w:color="auto"/>
            </w:tcBorders>
            <w:shd w:val="clear" w:color="auto" w:fill="auto"/>
            <w:vAlign w:val="center"/>
            <w:hideMark/>
          </w:tcPr>
          <w:p w14:paraId="2A502D5B"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N/A</w:t>
            </w:r>
          </w:p>
        </w:tc>
        <w:tc>
          <w:tcPr>
            <w:tcW w:w="302" w:type="pct"/>
            <w:tcBorders>
              <w:top w:val="nil"/>
              <w:left w:val="nil"/>
              <w:bottom w:val="single" w:sz="4" w:space="0" w:color="auto"/>
              <w:right w:val="single" w:sz="4" w:space="0" w:color="auto"/>
            </w:tcBorders>
            <w:shd w:val="clear" w:color="auto" w:fill="auto"/>
            <w:vAlign w:val="center"/>
            <w:hideMark/>
          </w:tcPr>
          <w:p w14:paraId="60E8C0D7"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78" w:type="pct"/>
            <w:tcBorders>
              <w:top w:val="nil"/>
              <w:left w:val="nil"/>
              <w:bottom w:val="single" w:sz="4" w:space="0" w:color="auto"/>
              <w:right w:val="single" w:sz="4" w:space="0" w:color="auto"/>
            </w:tcBorders>
            <w:shd w:val="clear" w:color="auto" w:fill="auto"/>
            <w:vAlign w:val="center"/>
            <w:hideMark/>
          </w:tcPr>
          <w:p w14:paraId="5C3AEE91"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   </w:t>
            </w:r>
          </w:p>
        </w:tc>
        <w:tc>
          <w:tcPr>
            <w:tcW w:w="439" w:type="pct"/>
            <w:tcBorders>
              <w:top w:val="nil"/>
              <w:left w:val="nil"/>
              <w:bottom w:val="single" w:sz="4" w:space="0" w:color="auto"/>
              <w:right w:val="single" w:sz="4" w:space="0" w:color="auto"/>
            </w:tcBorders>
            <w:shd w:val="clear" w:color="auto" w:fill="auto"/>
            <w:vAlign w:val="center"/>
            <w:hideMark/>
          </w:tcPr>
          <w:p w14:paraId="5BDF112F"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3.950 </w:t>
            </w:r>
          </w:p>
        </w:tc>
        <w:tc>
          <w:tcPr>
            <w:tcW w:w="514" w:type="pct"/>
            <w:tcBorders>
              <w:top w:val="nil"/>
              <w:left w:val="nil"/>
              <w:bottom w:val="single" w:sz="4" w:space="0" w:color="auto"/>
              <w:right w:val="single" w:sz="4" w:space="0" w:color="auto"/>
            </w:tcBorders>
            <w:shd w:val="clear" w:color="auto" w:fill="auto"/>
            <w:vAlign w:val="center"/>
            <w:hideMark/>
          </w:tcPr>
          <w:p w14:paraId="17A3101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3.950 </w:t>
            </w:r>
          </w:p>
        </w:tc>
        <w:tc>
          <w:tcPr>
            <w:tcW w:w="68" w:type="pct"/>
            <w:tcBorders>
              <w:top w:val="nil"/>
              <w:left w:val="nil"/>
              <w:bottom w:val="single" w:sz="4" w:space="0" w:color="auto"/>
              <w:right w:val="single" w:sz="4" w:space="0" w:color="auto"/>
            </w:tcBorders>
            <w:shd w:val="clear" w:color="000000" w:fill="D9D9D9"/>
            <w:vAlign w:val="center"/>
            <w:hideMark/>
          </w:tcPr>
          <w:p w14:paraId="65AE12C8"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w:t>
            </w:r>
          </w:p>
        </w:tc>
        <w:tc>
          <w:tcPr>
            <w:tcW w:w="406" w:type="pct"/>
            <w:tcBorders>
              <w:top w:val="nil"/>
              <w:left w:val="nil"/>
              <w:bottom w:val="single" w:sz="4" w:space="0" w:color="auto"/>
              <w:right w:val="single" w:sz="4" w:space="0" w:color="auto"/>
            </w:tcBorders>
            <w:shd w:val="clear" w:color="auto" w:fill="auto"/>
            <w:vAlign w:val="center"/>
            <w:hideMark/>
          </w:tcPr>
          <w:p w14:paraId="62137239"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2.500 </w:t>
            </w:r>
          </w:p>
        </w:tc>
        <w:tc>
          <w:tcPr>
            <w:tcW w:w="406" w:type="pct"/>
            <w:tcBorders>
              <w:top w:val="nil"/>
              <w:left w:val="nil"/>
              <w:bottom w:val="single" w:sz="4" w:space="0" w:color="auto"/>
              <w:right w:val="single" w:sz="4" w:space="0" w:color="auto"/>
            </w:tcBorders>
            <w:shd w:val="clear" w:color="auto" w:fill="auto"/>
            <w:vAlign w:val="center"/>
            <w:hideMark/>
          </w:tcPr>
          <w:p w14:paraId="1F11E04E"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3.200 </w:t>
            </w:r>
          </w:p>
        </w:tc>
        <w:tc>
          <w:tcPr>
            <w:tcW w:w="381" w:type="pct"/>
            <w:tcBorders>
              <w:top w:val="nil"/>
              <w:left w:val="nil"/>
              <w:bottom w:val="single" w:sz="4" w:space="0" w:color="auto"/>
              <w:right w:val="single" w:sz="4" w:space="0" w:color="auto"/>
            </w:tcBorders>
            <w:shd w:val="clear" w:color="auto" w:fill="auto"/>
            <w:vAlign w:val="center"/>
            <w:hideMark/>
          </w:tcPr>
          <w:p w14:paraId="0BD6E3E2"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5.700 </w:t>
            </w:r>
          </w:p>
        </w:tc>
        <w:tc>
          <w:tcPr>
            <w:tcW w:w="69" w:type="pct"/>
            <w:tcBorders>
              <w:top w:val="nil"/>
              <w:left w:val="nil"/>
              <w:bottom w:val="single" w:sz="4" w:space="0" w:color="auto"/>
              <w:right w:val="single" w:sz="4" w:space="0" w:color="auto"/>
            </w:tcBorders>
            <w:shd w:val="clear" w:color="000000" w:fill="D9D9D9"/>
            <w:noWrap/>
            <w:vAlign w:val="bottom"/>
            <w:hideMark/>
          </w:tcPr>
          <w:p w14:paraId="4DF11CE2"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auto" w:fill="auto"/>
            <w:vAlign w:val="center"/>
            <w:hideMark/>
          </w:tcPr>
          <w:p w14:paraId="35EDE464"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9.650 </w:t>
            </w:r>
          </w:p>
        </w:tc>
      </w:tr>
      <w:tr w:rsidR="007678F1" w:rsidRPr="00FC40ED" w14:paraId="3490A6A7" w14:textId="77777777" w:rsidTr="000C49CE">
        <w:trPr>
          <w:trHeight w:val="310"/>
          <w:jc w:val="center"/>
        </w:trPr>
        <w:tc>
          <w:tcPr>
            <w:tcW w:w="606" w:type="pct"/>
            <w:tcBorders>
              <w:top w:val="nil"/>
              <w:left w:val="single" w:sz="4" w:space="0" w:color="auto"/>
              <w:bottom w:val="single" w:sz="4" w:space="0" w:color="auto"/>
              <w:right w:val="single" w:sz="4" w:space="0" w:color="auto"/>
            </w:tcBorders>
            <w:shd w:val="clear" w:color="auto" w:fill="auto"/>
            <w:vAlign w:val="center"/>
          </w:tcPr>
          <w:p w14:paraId="7888F4FC" w14:textId="65B66FDD" w:rsidR="00FC40ED" w:rsidRPr="002F595E" w:rsidRDefault="00FC40ED" w:rsidP="002F595E">
            <w:pPr>
              <w:spacing w:after="0" w:line="240" w:lineRule="auto"/>
              <w:jc w:val="both"/>
              <w:rPr>
                <w:rFonts w:ascii="Calibri" w:eastAsia="Times New Roman" w:hAnsi="Calibri" w:cs="Calibri"/>
                <w:color w:val="000000"/>
                <w:lang w:eastAsia="pt-BR"/>
              </w:rPr>
            </w:pPr>
            <w:r w:rsidRPr="00C01FF3">
              <w:rPr>
                <w:rFonts w:ascii="Calibri" w:eastAsia="Times New Roman" w:hAnsi="Calibri" w:cs="Calibri"/>
                <w:bCs/>
                <w:color w:val="000000"/>
                <w:lang w:val="en-GB" w:eastAsia="pt-BR"/>
              </w:rPr>
              <w:t>7. Gender specialist</w:t>
            </w:r>
          </w:p>
        </w:tc>
        <w:tc>
          <w:tcPr>
            <w:tcW w:w="504" w:type="pct"/>
            <w:tcBorders>
              <w:top w:val="nil"/>
              <w:left w:val="nil"/>
              <w:bottom w:val="single" w:sz="4" w:space="0" w:color="auto"/>
              <w:right w:val="single" w:sz="4" w:space="0" w:color="auto"/>
            </w:tcBorders>
            <w:shd w:val="clear" w:color="auto" w:fill="auto"/>
            <w:vAlign w:val="center"/>
          </w:tcPr>
          <w:p w14:paraId="392B5C10" w14:textId="20AE39DC" w:rsidR="00FC40ED" w:rsidRPr="000C49CE" w:rsidRDefault="00FC40ED" w:rsidP="002F595E">
            <w:pPr>
              <w:spacing w:after="0" w:line="240" w:lineRule="auto"/>
              <w:jc w:val="both"/>
              <w:rPr>
                <w:rFonts w:ascii="Calibri" w:eastAsia="Times New Roman" w:hAnsi="Calibri" w:cs="Calibri"/>
                <w:color w:val="000000"/>
                <w:lang w:val="en-GB" w:eastAsia="pt-BR"/>
              </w:rPr>
            </w:pPr>
            <w:r w:rsidRPr="000C49CE">
              <w:rPr>
                <w:rFonts w:ascii="Calibri" w:eastAsia="Times New Roman" w:hAnsi="Calibri" w:cs="Calibri"/>
                <w:color w:val="000000"/>
                <w:lang w:val="en-GB" w:eastAsia="pt-BR"/>
              </w:rPr>
              <w:t xml:space="preserve">i. </w:t>
            </w:r>
            <w:r>
              <w:rPr>
                <w:rFonts w:ascii="Calibri" w:eastAsia="Times New Roman" w:hAnsi="Calibri" w:cs="Calibri"/>
                <w:color w:val="000000"/>
                <w:lang w:val="en-GB" w:eastAsia="pt-BR"/>
              </w:rPr>
              <w:t>develop a plan of action to include gender balance strategy within the project’s activities</w:t>
            </w:r>
          </w:p>
        </w:tc>
        <w:tc>
          <w:tcPr>
            <w:tcW w:w="485" w:type="pct"/>
            <w:tcBorders>
              <w:top w:val="nil"/>
              <w:left w:val="nil"/>
              <w:bottom w:val="single" w:sz="4" w:space="0" w:color="auto"/>
              <w:right w:val="single" w:sz="4" w:space="0" w:color="auto"/>
            </w:tcBorders>
            <w:shd w:val="clear" w:color="auto" w:fill="auto"/>
            <w:vAlign w:val="center"/>
          </w:tcPr>
          <w:p w14:paraId="4F7796AC" w14:textId="6571AE02"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N/A</w:t>
            </w:r>
          </w:p>
        </w:tc>
        <w:tc>
          <w:tcPr>
            <w:tcW w:w="302" w:type="pct"/>
            <w:tcBorders>
              <w:top w:val="nil"/>
              <w:left w:val="nil"/>
              <w:bottom w:val="single" w:sz="4" w:space="0" w:color="auto"/>
              <w:right w:val="single" w:sz="4" w:space="0" w:color="auto"/>
            </w:tcBorders>
            <w:shd w:val="clear" w:color="auto" w:fill="auto"/>
            <w:vAlign w:val="center"/>
          </w:tcPr>
          <w:p w14:paraId="39DC1B8D" w14:textId="609B51AF"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$ 10.000</w:t>
            </w:r>
          </w:p>
        </w:tc>
        <w:tc>
          <w:tcPr>
            <w:tcW w:w="478" w:type="pct"/>
            <w:tcBorders>
              <w:top w:val="nil"/>
              <w:left w:val="nil"/>
              <w:bottom w:val="single" w:sz="4" w:space="0" w:color="auto"/>
              <w:right w:val="single" w:sz="4" w:space="0" w:color="auto"/>
            </w:tcBorders>
            <w:shd w:val="clear" w:color="auto" w:fill="auto"/>
            <w:vAlign w:val="center"/>
          </w:tcPr>
          <w:p w14:paraId="4C19CC9C" w14:textId="5C2295C0"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c>
          <w:tcPr>
            <w:tcW w:w="439" w:type="pct"/>
            <w:tcBorders>
              <w:top w:val="nil"/>
              <w:left w:val="nil"/>
              <w:bottom w:val="single" w:sz="4" w:space="0" w:color="auto"/>
              <w:right w:val="single" w:sz="4" w:space="0" w:color="auto"/>
            </w:tcBorders>
            <w:shd w:val="clear" w:color="auto" w:fill="auto"/>
            <w:vAlign w:val="center"/>
          </w:tcPr>
          <w:p w14:paraId="14CB5517" w14:textId="571F779C"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c>
          <w:tcPr>
            <w:tcW w:w="514" w:type="pct"/>
            <w:tcBorders>
              <w:top w:val="nil"/>
              <w:left w:val="nil"/>
              <w:bottom w:val="single" w:sz="4" w:space="0" w:color="auto"/>
              <w:right w:val="single" w:sz="4" w:space="0" w:color="auto"/>
            </w:tcBorders>
            <w:shd w:val="clear" w:color="auto" w:fill="auto"/>
            <w:vAlign w:val="center"/>
          </w:tcPr>
          <w:p w14:paraId="578C13B8" w14:textId="61D1C076"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c>
          <w:tcPr>
            <w:tcW w:w="68" w:type="pct"/>
            <w:tcBorders>
              <w:top w:val="nil"/>
              <w:left w:val="nil"/>
              <w:bottom w:val="single" w:sz="4" w:space="0" w:color="auto"/>
              <w:right w:val="single" w:sz="4" w:space="0" w:color="auto"/>
            </w:tcBorders>
            <w:shd w:val="clear" w:color="000000" w:fill="D9D9D9"/>
            <w:vAlign w:val="center"/>
          </w:tcPr>
          <w:p w14:paraId="33DD54CF" w14:textId="77777777" w:rsidR="00FC40ED" w:rsidRPr="000C49CE" w:rsidRDefault="00FC40ED" w:rsidP="002F595E">
            <w:pPr>
              <w:spacing w:after="0" w:line="240" w:lineRule="auto"/>
              <w:jc w:val="both"/>
              <w:rPr>
                <w:rFonts w:ascii="Calibri" w:eastAsia="Times New Roman" w:hAnsi="Calibri" w:cs="Calibri"/>
                <w:b/>
                <w:bCs/>
                <w:i/>
                <w:iCs/>
                <w:color w:val="000000"/>
                <w:lang w:val="en-GB" w:eastAsia="pt-BR"/>
              </w:rPr>
            </w:pPr>
          </w:p>
        </w:tc>
        <w:tc>
          <w:tcPr>
            <w:tcW w:w="406" w:type="pct"/>
            <w:tcBorders>
              <w:top w:val="nil"/>
              <w:left w:val="nil"/>
              <w:bottom w:val="single" w:sz="4" w:space="0" w:color="auto"/>
              <w:right w:val="single" w:sz="4" w:space="0" w:color="auto"/>
            </w:tcBorders>
            <w:shd w:val="clear" w:color="auto" w:fill="auto"/>
            <w:vAlign w:val="center"/>
          </w:tcPr>
          <w:p w14:paraId="4D0B504E" w14:textId="6D3FC084"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c>
          <w:tcPr>
            <w:tcW w:w="406" w:type="pct"/>
            <w:tcBorders>
              <w:top w:val="nil"/>
              <w:left w:val="nil"/>
              <w:bottom w:val="single" w:sz="4" w:space="0" w:color="auto"/>
              <w:right w:val="single" w:sz="4" w:space="0" w:color="auto"/>
            </w:tcBorders>
            <w:shd w:val="clear" w:color="auto" w:fill="auto"/>
            <w:vAlign w:val="center"/>
          </w:tcPr>
          <w:p w14:paraId="4614A8A3" w14:textId="07BCCDFB"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c>
          <w:tcPr>
            <w:tcW w:w="381" w:type="pct"/>
            <w:tcBorders>
              <w:top w:val="nil"/>
              <w:left w:val="nil"/>
              <w:bottom w:val="single" w:sz="4" w:space="0" w:color="auto"/>
              <w:right w:val="single" w:sz="4" w:space="0" w:color="auto"/>
            </w:tcBorders>
            <w:shd w:val="clear" w:color="auto" w:fill="auto"/>
            <w:vAlign w:val="center"/>
          </w:tcPr>
          <w:p w14:paraId="21964910" w14:textId="64AD219E"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c>
          <w:tcPr>
            <w:tcW w:w="69" w:type="pct"/>
            <w:tcBorders>
              <w:top w:val="nil"/>
              <w:left w:val="nil"/>
              <w:bottom w:val="single" w:sz="4" w:space="0" w:color="auto"/>
              <w:right w:val="single" w:sz="4" w:space="0" w:color="auto"/>
            </w:tcBorders>
            <w:shd w:val="clear" w:color="000000" w:fill="D9D9D9"/>
            <w:noWrap/>
            <w:vAlign w:val="bottom"/>
          </w:tcPr>
          <w:p w14:paraId="1D7DA81B" w14:textId="77777777" w:rsidR="00FC40ED" w:rsidRPr="000C49CE" w:rsidRDefault="00FC40ED" w:rsidP="002F595E">
            <w:pPr>
              <w:spacing w:after="0" w:line="240" w:lineRule="auto"/>
              <w:rPr>
                <w:rFonts w:ascii="Calibri" w:eastAsia="Times New Roman" w:hAnsi="Calibri" w:cs="Calibri"/>
                <w:color w:val="000000"/>
                <w:sz w:val="24"/>
                <w:szCs w:val="24"/>
                <w:lang w:val="en-GB" w:eastAsia="pt-BR"/>
              </w:rPr>
            </w:pPr>
          </w:p>
        </w:tc>
        <w:tc>
          <w:tcPr>
            <w:tcW w:w="342" w:type="pct"/>
            <w:tcBorders>
              <w:top w:val="nil"/>
              <w:left w:val="nil"/>
              <w:bottom w:val="single" w:sz="4" w:space="0" w:color="auto"/>
              <w:right w:val="single" w:sz="4" w:space="0" w:color="auto"/>
            </w:tcBorders>
            <w:shd w:val="clear" w:color="auto" w:fill="auto"/>
            <w:vAlign w:val="center"/>
          </w:tcPr>
          <w:p w14:paraId="78A6DD9C" w14:textId="7BD2F7B5" w:rsidR="00FC40ED" w:rsidRPr="000C49CE" w:rsidRDefault="00FC40ED" w:rsidP="002F595E">
            <w:pPr>
              <w:spacing w:after="0" w:line="240" w:lineRule="auto"/>
              <w:jc w:val="both"/>
              <w:rPr>
                <w:rFonts w:ascii="Calibri" w:eastAsia="Times New Roman" w:hAnsi="Calibri" w:cs="Calibri"/>
                <w:color w:val="000000"/>
                <w:lang w:val="en-GB" w:eastAsia="pt-BR"/>
              </w:rPr>
            </w:pPr>
            <w:r>
              <w:rPr>
                <w:rFonts w:ascii="Calibri" w:eastAsia="Times New Roman" w:hAnsi="Calibri" w:cs="Calibri"/>
                <w:color w:val="000000"/>
                <w:lang w:val="en-GB" w:eastAsia="pt-BR"/>
              </w:rPr>
              <w:t>$ -</w:t>
            </w:r>
          </w:p>
        </w:tc>
      </w:tr>
      <w:tr w:rsidR="0094134E" w:rsidRPr="002F595E" w14:paraId="1972576D" w14:textId="77777777" w:rsidTr="007678F1">
        <w:trPr>
          <w:trHeight w:val="310"/>
          <w:jc w:val="center"/>
        </w:trPr>
        <w:tc>
          <w:tcPr>
            <w:tcW w:w="606" w:type="pct"/>
            <w:tcBorders>
              <w:top w:val="nil"/>
              <w:left w:val="single" w:sz="4" w:space="0" w:color="auto"/>
              <w:bottom w:val="single" w:sz="4" w:space="0" w:color="auto"/>
              <w:right w:val="single" w:sz="4" w:space="0" w:color="auto"/>
            </w:tcBorders>
            <w:shd w:val="clear" w:color="000000" w:fill="D9D9D9"/>
            <w:vAlign w:val="center"/>
            <w:hideMark/>
          </w:tcPr>
          <w:p w14:paraId="2A5AED71" w14:textId="77777777" w:rsidR="002F595E" w:rsidRPr="000C49CE" w:rsidRDefault="002F595E" w:rsidP="002F595E">
            <w:pPr>
              <w:spacing w:after="0" w:line="240" w:lineRule="auto"/>
              <w:jc w:val="both"/>
              <w:rPr>
                <w:rFonts w:ascii="Calibri" w:eastAsia="Times New Roman" w:hAnsi="Calibri" w:cs="Calibri"/>
                <w:b/>
                <w:bCs/>
                <w:color w:val="000000"/>
                <w:lang w:val="en-GB" w:eastAsia="pt-BR"/>
              </w:rPr>
            </w:pPr>
            <w:r w:rsidRPr="000C49CE">
              <w:rPr>
                <w:rFonts w:ascii="Calibri" w:eastAsia="Times New Roman" w:hAnsi="Calibri" w:cs="Calibri"/>
                <w:b/>
                <w:bCs/>
                <w:color w:val="000000"/>
                <w:lang w:val="en-GB" w:eastAsia="pt-BR"/>
              </w:rPr>
              <w:t>Direct administration costs</w:t>
            </w:r>
          </w:p>
        </w:tc>
        <w:tc>
          <w:tcPr>
            <w:tcW w:w="989" w:type="pct"/>
            <w:gridSpan w:val="2"/>
            <w:tcBorders>
              <w:top w:val="single" w:sz="4" w:space="0" w:color="auto"/>
              <w:left w:val="nil"/>
              <w:bottom w:val="single" w:sz="4" w:space="0" w:color="auto"/>
              <w:right w:val="single" w:sz="4" w:space="0" w:color="000000"/>
            </w:tcBorders>
            <w:shd w:val="clear" w:color="000000" w:fill="D9D9D9"/>
            <w:vAlign w:val="center"/>
            <w:hideMark/>
          </w:tcPr>
          <w:p w14:paraId="7D53D886" w14:textId="77777777" w:rsidR="002F595E" w:rsidRPr="000C49CE" w:rsidRDefault="002F595E" w:rsidP="002F595E">
            <w:pPr>
              <w:spacing w:after="0" w:line="240" w:lineRule="auto"/>
              <w:jc w:val="center"/>
              <w:rPr>
                <w:rFonts w:ascii="Calibri" w:eastAsia="Times New Roman" w:hAnsi="Calibri" w:cs="Calibri"/>
                <w:color w:val="000000"/>
                <w:lang w:val="en-GB" w:eastAsia="pt-BR"/>
              </w:rPr>
            </w:pPr>
            <w:r w:rsidRPr="000C49CE">
              <w:rPr>
                <w:rFonts w:ascii="Calibri" w:eastAsia="Times New Roman" w:hAnsi="Calibri" w:cs="Calibri"/>
                <w:color w:val="000000"/>
                <w:lang w:val="en-GB" w:eastAsia="pt-BR"/>
              </w:rPr>
              <w:t>Administrative management, taxes &amp; fees</w:t>
            </w:r>
          </w:p>
        </w:tc>
        <w:tc>
          <w:tcPr>
            <w:tcW w:w="302" w:type="pct"/>
            <w:tcBorders>
              <w:top w:val="nil"/>
              <w:left w:val="nil"/>
              <w:bottom w:val="single" w:sz="4" w:space="0" w:color="auto"/>
              <w:right w:val="single" w:sz="4" w:space="0" w:color="auto"/>
            </w:tcBorders>
            <w:shd w:val="clear" w:color="000000" w:fill="D9D9D9"/>
            <w:vAlign w:val="center"/>
            <w:hideMark/>
          </w:tcPr>
          <w:p w14:paraId="14A680AC" w14:textId="4C55B00E" w:rsidR="002F595E" w:rsidRPr="000C49CE" w:rsidRDefault="002F595E">
            <w:pPr>
              <w:spacing w:after="0" w:line="240" w:lineRule="auto"/>
              <w:jc w:val="both"/>
              <w:rPr>
                <w:rFonts w:ascii="Calibri" w:eastAsia="Times New Roman" w:hAnsi="Calibri" w:cs="Calibri"/>
                <w:color w:val="000000"/>
                <w:lang w:val="en-GB" w:eastAsia="pt-BR"/>
              </w:rPr>
            </w:pPr>
            <w:r w:rsidRPr="000C49CE">
              <w:rPr>
                <w:rFonts w:ascii="Calibri" w:eastAsia="Times New Roman" w:hAnsi="Calibri" w:cs="Calibri"/>
                <w:color w:val="000000"/>
                <w:lang w:val="en-GB" w:eastAsia="pt-BR"/>
              </w:rPr>
              <w:t xml:space="preserve"> $              1</w:t>
            </w:r>
            <w:r w:rsidR="0094134E">
              <w:rPr>
                <w:rFonts w:ascii="Calibri" w:eastAsia="Times New Roman" w:hAnsi="Calibri" w:cs="Calibri"/>
                <w:color w:val="000000"/>
                <w:lang w:val="en-GB" w:eastAsia="pt-BR"/>
              </w:rPr>
              <w:t>6.283</w:t>
            </w:r>
            <w:r w:rsidRPr="000C49CE">
              <w:rPr>
                <w:rFonts w:ascii="Calibri" w:eastAsia="Times New Roman" w:hAnsi="Calibri" w:cs="Calibri"/>
                <w:color w:val="000000"/>
                <w:lang w:val="en-GB" w:eastAsia="pt-BR"/>
              </w:rPr>
              <w:t xml:space="preserve"> </w:t>
            </w:r>
          </w:p>
        </w:tc>
        <w:tc>
          <w:tcPr>
            <w:tcW w:w="478" w:type="pct"/>
            <w:tcBorders>
              <w:top w:val="nil"/>
              <w:left w:val="nil"/>
              <w:bottom w:val="single" w:sz="4" w:space="0" w:color="auto"/>
              <w:right w:val="single" w:sz="4" w:space="0" w:color="auto"/>
            </w:tcBorders>
            <w:shd w:val="clear" w:color="000000" w:fill="D9D9D9"/>
            <w:vAlign w:val="center"/>
            <w:hideMark/>
          </w:tcPr>
          <w:p w14:paraId="52A300DA" w14:textId="0E4FE567" w:rsidR="002F595E" w:rsidRPr="000C49CE" w:rsidRDefault="002F595E">
            <w:pPr>
              <w:spacing w:after="0" w:line="240" w:lineRule="auto"/>
              <w:jc w:val="both"/>
              <w:rPr>
                <w:rFonts w:ascii="Calibri" w:eastAsia="Times New Roman" w:hAnsi="Calibri" w:cs="Calibri"/>
                <w:color w:val="000000"/>
                <w:lang w:val="en-GB" w:eastAsia="pt-BR"/>
              </w:rPr>
            </w:pPr>
            <w:r w:rsidRPr="000C49CE">
              <w:rPr>
                <w:rFonts w:ascii="Calibri" w:eastAsia="Times New Roman" w:hAnsi="Calibri" w:cs="Calibri"/>
                <w:color w:val="000000"/>
                <w:lang w:val="en-GB" w:eastAsia="pt-BR"/>
              </w:rPr>
              <w:t xml:space="preserve"> $           </w:t>
            </w:r>
            <w:r w:rsidR="0094134E">
              <w:rPr>
                <w:rFonts w:ascii="Calibri" w:eastAsia="Times New Roman" w:hAnsi="Calibri" w:cs="Calibri"/>
                <w:color w:val="000000"/>
                <w:lang w:val="en-GB" w:eastAsia="pt-BR"/>
              </w:rPr>
              <w:t>5.709</w:t>
            </w:r>
          </w:p>
        </w:tc>
        <w:tc>
          <w:tcPr>
            <w:tcW w:w="439" w:type="pct"/>
            <w:tcBorders>
              <w:top w:val="nil"/>
              <w:left w:val="nil"/>
              <w:bottom w:val="single" w:sz="4" w:space="0" w:color="auto"/>
              <w:right w:val="single" w:sz="4" w:space="0" w:color="auto"/>
            </w:tcBorders>
            <w:shd w:val="clear" w:color="000000" w:fill="D9D9D9"/>
            <w:vAlign w:val="center"/>
            <w:hideMark/>
          </w:tcPr>
          <w:p w14:paraId="52649824" w14:textId="2A204B81" w:rsidR="002F595E" w:rsidRPr="002F595E" w:rsidRDefault="002F595E">
            <w:pPr>
              <w:spacing w:after="0" w:line="240" w:lineRule="auto"/>
              <w:jc w:val="both"/>
              <w:rPr>
                <w:rFonts w:ascii="Calibri" w:eastAsia="Times New Roman" w:hAnsi="Calibri" w:cs="Calibri"/>
                <w:color w:val="000000"/>
                <w:lang w:eastAsia="pt-BR"/>
              </w:rPr>
            </w:pPr>
            <w:r w:rsidRPr="000C49CE">
              <w:rPr>
                <w:rFonts w:ascii="Calibri" w:eastAsia="Times New Roman" w:hAnsi="Calibri" w:cs="Calibri"/>
                <w:color w:val="000000"/>
                <w:lang w:val="en-GB" w:eastAsia="pt-BR"/>
              </w:rPr>
              <w:t xml:space="preserve"> </w:t>
            </w:r>
            <w:r w:rsidRPr="002F595E">
              <w:rPr>
                <w:rFonts w:ascii="Calibri" w:eastAsia="Times New Roman" w:hAnsi="Calibri" w:cs="Calibri"/>
                <w:color w:val="000000"/>
                <w:lang w:eastAsia="pt-BR"/>
              </w:rPr>
              <w:t xml:space="preserve">$           </w:t>
            </w:r>
            <w:r w:rsidR="0094134E">
              <w:rPr>
                <w:rFonts w:ascii="Calibri" w:eastAsia="Times New Roman" w:hAnsi="Calibri" w:cs="Calibri"/>
                <w:color w:val="000000"/>
                <w:lang w:eastAsia="pt-BR"/>
              </w:rPr>
              <w:t>2.372</w:t>
            </w:r>
          </w:p>
        </w:tc>
        <w:tc>
          <w:tcPr>
            <w:tcW w:w="514" w:type="pct"/>
            <w:tcBorders>
              <w:top w:val="nil"/>
              <w:left w:val="nil"/>
              <w:bottom w:val="single" w:sz="4" w:space="0" w:color="auto"/>
              <w:right w:val="single" w:sz="4" w:space="0" w:color="auto"/>
            </w:tcBorders>
            <w:shd w:val="clear" w:color="000000" w:fill="D9D9D9"/>
            <w:vAlign w:val="center"/>
            <w:hideMark/>
          </w:tcPr>
          <w:p w14:paraId="782D7AF6" w14:textId="33FD5859" w:rsidR="002F595E" w:rsidRPr="002F595E" w:rsidRDefault="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xml:space="preserve"> $     2</w:t>
            </w:r>
            <w:r w:rsidR="0094134E">
              <w:rPr>
                <w:rFonts w:ascii="Calibri" w:eastAsia="Times New Roman" w:hAnsi="Calibri" w:cs="Calibri"/>
                <w:color w:val="000000"/>
                <w:lang w:eastAsia="pt-BR"/>
              </w:rPr>
              <w:t>4.364</w:t>
            </w:r>
            <w:r w:rsidRPr="002F595E">
              <w:rPr>
                <w:rFonts w:ascii="Calibri" w:eastAsia="Times New Roman" w:hAnsi="Calibri" w:cs="Calibri"/>
                <w:color w:val="000000"/>
                <w:lang w:eastAsia="pt-BR"/>
              </w:rPr>
              <w:t xml:space="preserve"> </w:t>
            </w:r>
          </w:p>
        </w:tc>
        <w:tc>
          <w:tcPr>
            <w:tcW w:w="68" w:type="pct"/>
            <w:tcBorders>
              <w:top w:val="nil"/>
              <w:left w:val="nil"/>
              <w:bottom w:val="single" w:sz="4" w:space="0" w:color="auto"/>
              <w:right w:val="single" w:sz="4" w:space="0" w:color="auto"/>
            </w:tcBorders>
            <w:shd w:val="clear" w:color="000000" w:fill="D9D9D9"/>
            <w:vAlign w:val="center"/>
            <w:hideMark/>
          </w:tcPr>
          <w:p w14:paraId="03D32010"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06" w:type="pct"/>
            <w:tcBorders>
              <w:top w:val="nil"/>
              <w:left w:val="nil"/>
              <w:bottom w:val="single" w:sz="4" w:space="0" w:color="auto"/>
              <w:right w:val="single" w:sz="4" w:space="0" w:color="auto"/>
            </w:tcBorders>
            <w:shd w:val="clear" w:color="000000" w:fill="D9D9D9"/>
            <w:vAlign w:val="center"/>
            <w:hideMark/>
          </w:tcPr>
          <w:p w14:paraId="5581C07B"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   </w:t>
            </w:r>
          </w:p>
        </w:tc>
        <w:tc>
          <w:tcPr>
            <w:tcW w:w="406" w:type="pct"/>
            <w:tcBorders>
              <w:top w:val="nil"/>
              <w:left w:val="nil"/>
              <w:bottom w:val="single" w:sz="4" w:space="0" w:color="auto"/>
              <w:right w:val="single" w:sz="4" w:space="0" w:color="auto"/>
            </w:tcBorders>
            <w:shd w:val="clear" w:color="000000" w:fill="D9D9D9"/>
            <w:vAlign w:val="center"/>
            <w:hideMark/>
          </w:tcPr>
          <w:p w14:paraId="6DC21123"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   </w:t>
            </w:r>
          </w:p>
        </w:tc>
        <w:tc>
          <w:tcPr>
            <w:tcW w:w="381" w:type="pct"/>
            <w:tcBorders>
              <w:top w:val="nil"/>
              <w:left w:val="nil"/>
              <w:bottom w:val="single" w:sz="4" w:space="0" w:color="auto"/>
              <w:right w:val="single" w:sz="4" w:space="0" w:color="auto"/>
            </w:tcBorders>
            <w:shd w:val="clear" w:color="000000" w:fill="D9D9D9"/>
            <w:vAlign w:val="center"/>
            <w:hideMark/>
          </w:tcPr>
          <w:p w14:paraId="49185F7B"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   </w:t>
            </w:r>
          </w:p>
        </w:tc>
        <w:tc>
          <w:tcPr>
            <w:tcW w:w="69" w:type="pct"/>
            <w:tcBorders>
              <w:top w:val="nil"/>
              <w:left w:val="nil"/>
              <w:bottom w:val="single" w:sz="4" w:space="0" w:color="auto"/>
              <w:right w:val="single" w:sz="4" w:space="0" w:color="auto"/>
            </w:tcBorders>
            <w:shd w:val="clear" w:color="000000" w:fill="D9D9D9"/>
            <w:noWrap/>
            <w:vAlign w:val="bottom"/>
            <w:hideMark/>
          </w:tcPr>
          <w:p w14:paraId="4713BD96" w14:textId="77777777" w:rsidR="002F595E" w:rsidRPr="002F595E" w:rsidRDefault="002F595E" w:rsidP="002F595E">
            <w:pPr>
              <w:spacing w:after="0" w:line="240" w:lineRule="auto"/>
              <w:rPr>
                <w:rFonts w:ascii="Calibri" w:eastAsia="Times New Roman" w:hAnsi="Calibri" w:cs="Calibri"/>
                <w:color w:val="000000"/>
                <w:sz w:val="24"/>
                <w:szCs w:val="24"/>
                <w:lang w:eastAsia="pt-BR"/>
              </w:rPr>
            </w:pPr>
            <w:r w:rsidRPr="002F595E">
              <w:rPr>
                <w:rFonts w:ascii="Calibri" w:eastAsia="Times New Roman" w:hAnsi="Calibri" w:cs="Calibri"/>
                <w:color w:val="000000"/>
                <w:sz w:val="24"/>
                <w:szCs w:val="24"/>
                <w:lang w:eastAsia="pt-BR"/>
              </w:rPr>
              <w:t> </w:t>
            </w:r>
          </w:p>
        </w:tc>
        <w:tc>
          <w:tcPr>
            <w:tcW w:w="342" w:type="pct"/>
            <w:tcBorders>
              <w:top w:val="nil"/>
              <w:left w:val="nil"/>
              <w:bottom w:val="single" w:sz="4" w:space="0" w:color="auto"/>
              <w:right w:val="single" w:sz="4" w:space="0" w:color="auto"/>
            </w:tcBorders>
            <w:shd w:val="clear" w:color="000000" w:fill="D9D9D9"/>
            <w:vAlign w:val="center"/>
            <w:hideMark/>
          </w:tcPr>
          <w:p w14:paraId="5B5CFD68" w14:textId="5AB5B05D" w:rsidR="002F595E" w:rsidRPr="002F595E" w:rsidRDefault="002F595E">
            <w:pPr>
              <w:spacing w:after="0" w:line="240" w:lineRule="auto"/>
              <w:jc w:val="both"/>
              <w:rPr>
                <w:rFonts w:ascii="Calibri" w:eastAsia="Times New Roman" w:hAnsi="Calibri" w:cs="Calibri"/>
                <w:b/>
                <w:bCs/>
                <w:i/>
                <w:iCs/>
                <w:color w:val="000000"/>
                <w:lang w:eastAsia="pt-BR"/>
              </w:rPr>
            </w:pPr>
            <w:r w:rsidRPr="002F595E">
              <w:rPr>
                <w:rFonts w:ascii="Calibri" w:eastAsia="Times New Roman" w:hAnsi="Calibri" w:cs="Calibri"/>
                <w:b/>
                <w:bCs/>
                <w:i/>
                <w:iCs/>
                <w:color w:val="000000"/>
                <w:lang w:eastAsia="pt-BR"/>
              </w:rPr>
              <w:t xml:space="preserve"> $  2</w:t>
            </w:r>
            <w:r w:rsidR="00FF1206">
              <w:rPr>
                <w:rFonts w:ascii="Calibri" w:eastAsia="Times New Roman" w:hAnsi="Calibri" w:cs="Calibri"/>
                <w:b/>
                <w:bCs/>
                <w:i/>
                <w:iCs/>
                <w:color w:val="000000"/>
                <w:lang w:eastAsia="pt-BR"/>
              </w:rPr>
              <w:t>4</w:t>
            </w:r>
            <w:r w:rsidRPr="002F595E">
              <w:rPr>
                <w:rFonts w:ascii="Calibri" w:eastAsia="Times New Roman" w:hAnsi="Calibri" w:cs="Calibri"/>
                <w:b/>
                <w:bCs/>
                <w:i/>
                <w:iCs/>
                <w:color w:val="000000"/>
                <w:lang w:eastAsia="pt-BR"/>
              </w:rPr>
              <w:t>.</w:t>
            </w:r>
            <w:r w:rsidR="00FF1206">
              <w:rPr>
                <w:rFonts w:ascii="Calibri" w:eastAsia="Times New Roman" w:hAnsi="Calibri" w:cs="Calibri"/>
                <w:b/>
                <w:bCs/>
                <w:i/>
                <w:iCs/>
                <w:color w:val="000000"/>
                <w:lang w:eastAsia="pt-BR"/>
              </w:rPr>
              <w:t>364</w:t>
            </w:r>
            <w:r w:rsidR="00FF1206" w:rsidRPr="002F595E">
              <w:rPr>
                <w:rFonts w:ascii="Calibri" w:eastAsia="Times New Roman" w:hAnsi="Calibri" w:cs="Calibri"/>
                <w:b/>
                <w:bCs/>
                <w:i/>
                <w:iCs/>
                <w:color w:val="000000"/>
                <w:lang w:eastAsia="pt-BR"/>
              </w:rPr>
              <w:t xml:space="preserve"> </w:t>
            </w:r>
          </w:p>
        </w:tc>
      </w:tr>
      <w:tr w:rsidR="007678F1" w:rsidRPr="002F595E" w14:paraId="5137753C" w14:textId="77777777" w:rsidTr="000C49CE">
        <w:trPr>
          <w:trHeight w:val="310"/>
          <w:jc w:val="center"/>
        </w:trPr>
        <w:tc>
          <w:tcPr>
            <w:tcW w:w="606" w:type="pct"/>
            <w:tcBorders>
              <w:top w:val="nil"/>
              <w:left w:val="nil"/>
              <w:bottom w:val="nil"/>
              <w:right w:val="nil"/>
            </w:tcBorders>
            <w:shd w:val="clear" w:color="auto" w:fill="auto"/>
            <w:noWrap/>
            <w:vAlign w:val="bottom"/>
            <w:hideMark/>
          </w:tcPr>
          <w:p w14:paraId="52909F81" w14:textId="77777777" w:rsidR="002F595E" w:rsidRPr="002F595E" w:rsidRDefault="002F595E" w:rsidP="002F595E">
            <w:pPr>
              <w:spacing w:after="0" w:line="240" w:lineRule="auto"/>
              <w:jc w:val="both"/>
              <w:rPr>
                <w:rFonts w:ascii="Calibri" w:eastAsia="Times New Roman" w:hAnsi="Calibri" w:cs="Calibri"/>
                <w:b/>
                <w:bCs/>
                <w:i/>
                <w:iCs/>
                <w:color w:val="000000"/>
                <w:lang w:eastAsia="pt-BR"/>
              </w:rPr>
            </w:pPr>
          </w:p>
        </w:tc>
        <w:tc>
          <w:tcPr>
            <w:tcW w:w="504" w:type="pct"/>
            <w:tcBorders>
              <w:top w:val="nil"/>
              <w:left w:val="nil"/>
              <w:bottom w:val="nil"/>
              <w:right w:val="nil"/>
            </w:tcBorders>
            <w:shd w:val="clear" w:color="auto" w:fill="auto"/>
            <w:noWrap/>
            <w:vAlign w:val="bottom"/>
            <w:hideMark/>
          </w:tcPr>
          <w:p w14:paraId="1143E677"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485" w:type="pct"/>
            <w:tcBorders>
              <w:top w:val="nil"/>
              <w:left w:val="nil"/>
              <w:bottom w:val="nil"/>
              <w:right w:val="nil"/>
            </w:tcBorders>
            <w:shd w:val="clear" w:color="auto" w:fill="auto"/>
            <w:noWrap/>
            <w:vAlign w:val="bottom"/>
            <w:hideMark/>
          </w:tcPr>
          <w:p w14:paraId="74ED2B75"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302" w:type="pct"/>
            <w:tcBorders>
              <w:top w:val="nil"/>
              <w:left w:val="nil"/>
              <w:bottom w:val="nil"/>
              <w:right w:val="nil"/>
            </w:tcBorders>
            <w:shd w:val="clear" w:color="auto" w:fill="auto"/>
            <w:noWrap/>
            <w:vAlign w:val="bottom"/>
            <w:hideMark/>
          </w:tcPr>
          <w:p w14:paraId="49A92B9A"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478" w:type="pct"/>
            <w:tcBorders>
              <w:top w:val="nil"/>
              <w:left w:val="nil"/>
              <w:bottom w:val="nil"/>
              <w:right w:val="nil"/>
            </w:tcBorders>
            <w:shd w:val="clear" w:color="auto" w:fill="auto"/>
            <w:noWrap/>
            <w:vAlign w:val="bottom"/>
            <w:hideMark/>
          </w:tcPr>
          <w:p w14:paraId="79FA95C6"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439" w:type="pct"/>
            <w:tcBorders>
              <w:top w:val="nil"/>
              <w:left w:val="nil"/>
              <w:bottom w:val="nil"/>
              <w:right w:val="nil"/>
            </w:tcBorders>
            <w:shd w:val="clear" w:color="auto" w:fill="auto"/>
            <w:noWrap/>
            <w:vAlign w:val="bottom"/>
            <w:hideMark/>
          </w:tcPr>
          <w:p w14:paraId="1D50BD2D"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514" w:type="pct"/>
            <w:tcBorders>
              <w:top w:val="nil"/>
              <w:left w:val="nil"/>
              <w:bottom w:val="nil"/>
              <w:right w:val="nil"/>
            </w:tcBorders>
            <w:shd w:val="clear" w:color="auto" w:fill="auto"/>
            <w:noWrap/>
            <w:vAlign w:val="bottom"/>
            <w:hideMark/>
          </w:tcPr>
          <w:p w14:paraId="3D761EB8"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68" w:type="pct"/>
            <w:tcBorders>
              <w:top w:val="nil"/>
              <w:left w:val="nil"/>
              <w:bottom w:val="nil"/>
              <w:right w:val="nil"/>
            </w:tcBorders>
            <w:shd w:val="clear" w:color="auto" w:fill="auto"/>
            <w:noWrap/>
            <w:vAlign w:val="bottom"/>
            <w:hideMark/>
          </w:tcPr>
          <w:p w14:paraId="77855B99"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406" w:type="pct"/>
            <w:tcBorders>
              <w:top w:val="nil"/>
              <w:left w:val="nil"/>
              <w:bottom w:val="nil"/>
              <w:right w:val="nil"/>
            </w:tcBorders>
            <w:shd w:val="clear" w:color="auto" w:fill="auto"/>
            <w:noWrap/>
            <w:vAlign w:val="bottom"/>
            <w:hideMark/>
          </w:tcPr>
          <w:p w14:paraId="5217E5DB"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406" w:type="pct"/>
            <w:tcBorders>
              <w:top w:val="nil"/>
              <w:left w:val="nil"/>
              <w:bottom w:val="nil"/>
              <w:right w:val="nil"/>
            </w:tcBorders>
            <w:shd w:val="clear" w:color="auto" w:fill="auto"/>
            <w:noWrap/>
            <w:vAlign w:val="bottom"/>
            <w:hideMark/>
          </w:tcPr>
          <w:p w14:paraId="79D9E456"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381" w:type="pct"/>
            <w:tcBorders>
              <w:top w:val="nil"/>
              <w:left w:val="nil"/>
              <w:bottom w:val="nil"/>
              <w:right w:val="nil"/>
            </w:tcBorders>
            <w:shd w:val="clear" w:color="auto" w:fill="auto"/>
            <w:noWrap/>
            <w:vAlign w:val="bottom"/>
            <w:hideMark/>
          </w:tcPr>
          <w:p w14:paraId="3719B905"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69" w:type="pct"/>
            <w:tcBorders>
              <w:top w:val="nil"/>
              <w:left w:val="nil"/>
              <w:bottom w:val="nil"/>
              <w:right w:val="nil"/>
            </w:tcBorders>
            <w:shd w:val="clear" w:color="auto" w:fill="auto"/>
            <w:noWrap/>
            <w:vAlign w:val="bottom"/>
            <w:hideMark/>
          </w:tcPr>
          <w:p w14:paraId="70DBBF5E"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c>
          <w:tcPr>
            <w:tcW w:w="342" w:type="pct"/>
            <w:tcBorders>
              <w:top w:val="nil"/>
              <w:left w:val="nil"/>
              <w:bottom w:val="nil"/>
              <w:right w:val="nil"/>
            </w:tcBorders>
            <w:shd w:val="clear" w:color="auto" w:fill="auto"/>
            <w:noWrap/>
            <w:vAlign w:val="bottom"/>
            <w:hideMark/>
          </w:tcPr>
          <w:p w14:paraId="39496F16" w14:textId="77777777" w:rsidR="002F595E" w:rsidRPr="002F595E" w:rsidRDefault="002F595E" w:rsidP="002F595E">
            <w:pPr>
              <w:spacing w:after="0" w:line="240" w:lineRule="auto"/>
              <w:rPr>
                <w:rFonts w:ascii="Times New Roman" w:eastAsia="Times New Roman" w:hAnsi="Times New Roman" w:cs="Times New Roman"/>
                <w:sz w:val="20"/>
                <w:szCs w:val="20"/>
                <w:lang w:eastAsia="pt-BR"/>
              </w:rPr>
            </w:pPr>
          </w:p>
        </w:tc>
      </w:tr>
      <w:tr w:rsidR="0094134E" w:rsidRPr="002F595E" w14:paraId="6695897D" w14:textId="77777777" w:rsidTr="007678F1">
        <w:trPr>
          <w:trHeight w:val="310"/>
          <w:jc w:val="center"/>
        </w:trPr>
        <w:tc>
          <w:tcPr>
            <w:tcW w:w="606"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57995B42" w14:textId="77777777" w:rsidR="002F595E" w:rsidRPr="002F595E" w:rsidRDefault="002F595E" w:rsidP="002F595E">
            <w:pPr>
              <w:spacing w:after="0" w:line="240" w:lineRule="auto"/>
              <w:jc w:val="both"/>
              <w:rPr>
                <w:rFonts w:ascii="Calibri" w:eastAsia="Times New Roman" w:hAnsi="Calibri" w:cs="Calibri"/>
                <w:b/>
                <w:bCs/>
                <w:color w:val="000000"/>
                <w:lang w:eastAsia="pt-BR"/>
              </w:rPr>
            </w:pPr>
            <w:r w:rsidRPr="002F595E">
              <w:rPr>
                <w:rFonts w:ascii="Calibri" w:eastAsia="Times New Roman" w:hAnsi="Calibri" w:cs="Calibri"/>
                <w:b/>
                <w:bCs/>
                <w:color w:val="000000"/>
                <w:lang w:eastAsia="pt-BR"/>
              </w:rPr>
              <w:t xml:space="preserve">Grand Total </w:t>
            </w:r>
          </w:p>
        </w:tc>
        <w:tc>
          <w:tcPr>
            <w:tcW w:w="504" w:type="pct"/>
            <w:tcBorders>
              <w:top w:val="single" w:sz="4" w:space="0" w:color="auto"/>
              <w:left w:val="nil"/>
              <w:bottom w:val="single" w:sz="4" w:space="0" w:color="auto"/>
              <w:right w:val="single" w:sz="4" w:space="0" w:color="auto"/>
            </w:tcBorders>
            <w:shd w:val="clear" w:color="000000" w:fill="C6E0B4"/>
            <w:vAlign w:val="center"/>
            <w:hideMark/>
          </w:tcPr>
          <w:p w14:paraId="314ED25D"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485" w:type="pct"/>
            <w:tcBorders>
              <w:top w:val="single" w:sz="4" w:space="0" w:color="auto"/>
              <w:left w:val="nil"/>
              <w:bottom w:val="single" w:sz="4" w:space="0" w:color="auto"/>
              <w:right w:val="single" w:sz="4" w:space="0" w:color="auto"/>
            </w:tcBorders>
            <w:shd w:val="clear" w:color="000000" w:fill="C6E0B4"/>
            <w:vAlign w:val="center"/>
            <w:hideMark/>
          </w:tcPr>
          <w:p w14:paraId="37E8F607" w14:textId="77777777" w:rsidR="002F595E" w:rsidRPr="002F595E" w:rsidRDefault="002F595E" w:rsidP="002F595E">
            <w:pPr>
              <w:spacing w:after="0" w:line="240" w:lineRule="auto"/>
              <w:jc w:val="both"/>
              <w:rPr>
                <w:rFonts w:ascii="Calibri" w:eastAsia="Times New Roman" w:hAnsi="Calibri" w:cs="Calibri"/>
                <w:color w:val="000000"/>
                <w:lang w:eastAsia="pt-BR"/>
              </w:rPr>
            </w:pPr>
            <w:r w:rsidRPr="002F595E">
              <w:rPr>
                <w:rFonts w:ascii="Calibri" w:eastAsia="Times New Roman" w:hAnsi="Calibri" w:cs="Calibri"/>
                <w:color w:val="000000"/>
                <w:lang w:eastAsia="pt-BR"/>
              </w:rPr>
              <w:t> </w:t>
            </w:r>
          </w:p>
        </w:tc>
        <w:tc>
          <w:tcPr>
            <w:tcW w:w="302" w:type="pct"/>
            <w:tcBorders>
              <w:top w:val="single" w:sz="4" w:space="0" w:color="auto"/>
              <w:left w:val="nil"/>
              <w:bottom w:val="single" w:sz="4" w:space="0" w:color="auto"/>
              <w:right w:val="single" w:sz="4" w:space="0" w:color="auto"/>
            </w:tcBorders>
            <w:shd w:val="clear" w:color="000000" w:fill="C6E0B4"/>
            <w:vAlign w:val="center"/>
          </w:tcPr>
          <w:p w14:paraId="7F3345E1" w14:textId="073BB655"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$ 248.903</w:t>
            </w:r>
          </w:p>
        </w:tc>
        <w:tc>
          <w:tcPr>
            <w:tcW w:w="478" w:type="pct"/>
            <w:tcBorders>
              <w:top w:val="single" w:sz="4" w:space="0" w:color="auto"/>
              <w:left w:val="nil"/>
              <w:bottom w:val="single" w:sz="4" w:space="0" w:color="auto"/>
              <w:right w:val="single" w:sz="4" w:space="0" w:color="auto"/>
            </w:tcBorders>
            <w:shd w:val="clear" w:color="000000" w:fill="C6E0B4"/>
            <w:vAlign w:val="center"/>
          </w:tcPr>
          <w:p w14:paraId="6D0CB2AF" w14:textId="18CE867D"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$ 87.270</w:t>
            </w:r>
          </w:p>
        </w:tc>
        <w:tc>
          <w:tcPr>
            <w:tcW w:w="439" w:type="pct"/>
            <w:tcBorders>
              <w:top w:val="single" w:sz="4" w:space="0" w:color="auto"/>
              <w:left w:val="nil"/>
              <w:bottom w:val="single" w:sz="4" w:space="0" w:color="auto"/>
              <w:right w:val="single" w:sz="4" w:space="0" w:color="auto"/>
            </w:tcBorders>
            <w:shd w:val="clear" w:color="000000" w:fill="C6E0B4"/>
            <w:vAlign w:val="center"/>
          </w:tcPr>
          <w:p w14:paraId="1B2FDDC9" w14:textId="460A384F"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$ 36.251</w:t>
            </w:r>
          </w:p>
        </w:tc>
        <w:tc>
          <w:tcPr>
            <w:tcW w:w="514" w:type="pct"/>
            <w:tcBorders>
              <w:top w:val="single" w:sz="4" w:space="0" w:color="auto"/>
              <w:left w:val="nil"/>
              <w:bottom w:val="single" w:sz="4" w:space="0" w:color="auto"/>
              <w:right w:val="single" w:sz="4" w:space="0" w:color="auto"/>
            </w:tcBorders>
            <w:shd w:val="clear" w:color="000000" w:fill="C6E0B4"/>
            <w:vAlign w:val="center"/>
          </w:tcPr>
          <w:p w14:paraId="165C2564" w14:textId="4524CE3F"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$ 372.425</w:t>
            </w:r>
          </w:p>
        </w:tc>
        <w:tc>
          <w:tcPr>
            <w:tcW w:w="68" w:type="pct"/>
            <w:tcBorders>
              <w:top w:val="single" w:sz="4" w:space="0" w:color="auto"/>
              <w:left w:val="nil"/>
              <w:bottom w:val="single" w:sz="4" w:space="0" w:color="auto"/>
              <w:right w:val="single" w:sz="4" w:space="0" w:color="auto"/>
            </w:tcBorders>
            <w:shd w:val="clear" w:color="000000" w:fill="C6E0B4"/>
            <w:vAlign w:val="center"/>
          </w:tcPr>
          <w:p w14:paraId="681317BC" w14:textId="3009223A" w:rsidR="002F595E" w:rsidRPr="007678F1" w:rsidRDefault="002F595E" w:rsidP="002F595E">
            <w:pPr>
              <w:spacing w:after="0" w:line="240" w:lineRule="auto"/>
              <w:jc w:val="both"/>
              <w:rPr>
                <w:rFonts w:ascii="Calibri" w:eastAsia="Times New Roman" w:hAnsi="Calibri" w:cs="Calibri"/>
                <w:color w:val="000000"/>
                <w:lang w:eastAsia="pt-BR"/>
              </w:rPr>
            </w:pPr>
          </w:p>
        </w:tc>
        <w:tc>
          <w:tcPr>
            <w:tcW w:w="406" w:type="pct"/>
            <w:tcBorders>
              <w:top w:val="single" w:sz="4" w:space="0" w:color="auto"/>
              <w:left w:val="nil"/>
              <w:bottom w:val="single" w:sz="4" w:space="0" w:color="auto"/>
              <w:right w:val="single" w:sz="4" w:space="0" w:color="auto"/>
            </w:tcBorders>
            <w:shd w:val="clear" w:color="000000" w:fill="C6E0B4"/>
            <w:vAlign w:val="center"/>
          </w:tcPr>
          <w:p w14:paraId="3F828028" w14:textId="6972CEA7"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$ 35.500</w:t>
            </w:r>
          </w:p>
        </w:tc>
        <w:tc>
          <w:tcPr>
            <w:tcW w:w="406" w:type="pct"/>
            <w:tcBorders>
              <w:top w:val="single" w:sz="4" w:space="0" w:color="auto"/>
              <w:left w:val="nil"/>
              <w:bottom w:val="single" w:sz="4" w:space="0" w:color="auto"/>
              <w:right w:val="single" w:sz="4" w:space="0" w:color="auto"/>
            </w:tcBorders>
            <w:shd w:val="clear" w:color="000000" w:fill="C6E0B4"/>
            <w:vAlign w:val="center"/>
          </w:tcPr>
          <w:p w14:paraId="0C7B57D9" w14:textId="746ED6B9"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$ 112.700</w:t>
            </w:r>
          </w:p>
        </w:tc>
        <w:tc>
          <w:tcPr>
            <w:tcW w:w="381" w:type="pct"/>
            <w:tcBorders>
              <w:top w:val="single" w:sz="4" w:space="0" w:color="auto"/>
              <w:left w:val="nil"/>
              <w:bottom w:val="single" w:sz="4" w:space="0" w:color="auto"/>
              <w:right w:val="single" w:sz="4" w:space="0" w:color="auto"/>
            </w:tcBorders>
            <w:shd w:val="clear" w:color="000000" w:fill="C6E0B4"/>
            <w:vAlign w:val="center"/>
          </w:tcPr>
          <w:p w14:paraId="72E5E716" w14:textId="5B307349"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$ 148.200</w:t>
            </w:r>
          </w:p>
        </w:tc>
        <w:tc>
          <w:tcPr>
            <w:tcW w:w="69" w:type="pct"/>
            <w:tcBorders>
              <w:top w:val="single" w:sz="4" w:space="0" w:color="auto"/>
              <w:left w:val="nil"/>
              <w:bottom w:val="single" w:sz="4" w:space="0" w:color="auto"/>
              <w:right w:val="single" w:sz="4" w:space="0" w:color="auto"/>
            </w:tcBorders>
            <w:shd w:val="clear" w:color="000000" w:fill="C6E0B4"/>
            <w:noWrap/>
            <w:vAlign w:val="bottom"/>
          </w:tcPr>
          <w:p w14:paraId="78DF2D3A" w14:textId="6CC3AFED" w:rsidR="002F595E" w:rsidRPr="007678F1" w:rsidRDefault="002F595E" w:rsidP="002F595E">
            <w:pPr>
              <w:spacing w:after="0" w:line="240" w:lineRule="auto"/>
              <w:rPr>
                <w:rFonts w:ascii="Calibri" w:eastAsia="Times New Roman" w:hAnsi="Calibri" w:cs="Calibri"/>
                <w:color w:val="000000"/>
                <w:sz w:val="24"/>
                <w:szCs w:val="24"/>
                <w:lang w:eastAsia="pt-BR"/>
              </w:rPr>
            </w:pPr>
          </w:p>
        </w:tc>
        <w:tc>
          <w:tcPr>
            <w:tcW w:w="342" w:type="pct"/>
            <w:tcBorders>
              <w:top w:val="single" w:sz="4" w:space="0" w:color="auto"/>
              <w:left w:val="nil"/>
              <w:bottom w:val="single" w:sz="4" w:space="0" w:color="auto"/>
              <w:right w:val="single" w:sz="4" w:space="0" w:color="auto"/>
            </w:tcBorders>
            <w:shd w:val="clear" w:color="000000" w:fill="C6E0B4"/>
            <w:vAlign w:val="center"/>
          </w:tcPr>
          <w:p w14:paraId="24D6FC30" w14:textId="2A411355" w:rsidR="002F595E" w:rsidRPr="007678F1" w:rsidRDefault="00FF1206" w:rsidP="002F595E">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$ 520.625</w:t>
            </w:r>
          </w:p>
        </w:tc>
      </w:tr>
    </w:tbl>
    <w:p w14:paraId="5724CA6B" w14:textId="77777777" w:rsidR="002F595E" w:rsidRDefault="002F595E" w:rsidP="00E73C81">
      <w:pPr>
        <w:rPr>
          <w:lang w:val="en-GB"/>
        </w:rPr>
      </w:pPr>
    </w:p>
    <w:p w14:paraId="239CC1F1" w14:textId="68136753" w:rsidR="00C02D44" w:rsidRDefault="00C02D44" w:rsidP="00C35EAD">
      <w:pPr>
        <w:pStyle w:val="Heading1"/>
        <w:numPr>
          <w:ilvl w:val="0"/>
          <w:numId w:val="13"/>
        </w:numPr>
        <w:jc w:val="both"/>
        <w:rPr>
          <w:lang w:val="en-GB"/>
        </w:rPr>
      </w:pPr>
      <w:bookmarkStart w:id="18" w:name="_Toc517617424"/>
      <w:r>
        <w:rPr>
          <w:lang w:val="en-GB"/>
        </w:rPr>
        <w:lastRenderedPageBreak/>
        <w:t>Activity per partner</w:t>
      </w:r>
      <w:bookmarkEnd w:id="18"/>
    </w:p>
    <w:tbl>
      <w:tblPr>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4053"/>
        <w:gridCol w:w="1374"/>
        <w:gridCol w:w="1607"/>
        <w:gridCol w:w="1576"/>
        <w:gridCol w:w="1487"/>
        <w:gridCol w:w="1442"/>
        <w:gridCol w:w="1508"/>
      </w:tblGrid>
      <w:tr w:rsidR="00C02D44" w:rsidRPr="00C35EAD" w14:paraId="1BD20380" w14:textId="4A04A8F3" w:rsidTr="00C35EAD">
        <w:trPr>
          <w:trHeight w:val="20"/>
          <w:jc w:val="center"/>
        </w:trPr>
        <w:tc>
          <w:tcPr>
            <w:tcW w:w="6600" w:type="dxa"/>
            <w:gridSpan w:val="2"/>
            <w:shd w:val="clear" w:color="auto" w:fill="auto"/>
            <w:vAlign w:val="center"/>
          </w:tcPr>
          <w:p w14:paraId="0FE33E19" w14:textId="505CFDEC" w:rsidR="00C02D44" w:rsidRPr="00C35EAD" w:rsidRDefault="00C02D44" w:rsidP="00881613">
            <w:pPr>
              <w:spacing w:after="0" w:line="240" w:lineRule="auto"/>
              <w:jc w:val="both"/>
              <w:rPr>
                <w:rFonts w:ascii="Calibri" w:eastAsia="Times New Roman" w:hAnsi="Calibri" w:cs="Calibri"/>
                <w:b/>
                <w:bCs/>
                <w:color w:val="000000"/>
                <w:lang w:val="en-GB" w:eastAsia="pt-BR"/>
              </w:rPr>
            </w:pPr>
          </w:p>
        </w:tc>
        <w:tc>
          <w:tcPr>
            <w:tcW w:w="8994" w:type="dxa"/>
            <w:gridSpan w:val="6"/>
          </w:tcPr>
          <w:p w14:paraId="2FD25B54" w14:textId="3925F8C4" w:rsidR="00C02D44" w:rsidRPr="00C35EAD" w:rsidRDefault="00C02D44"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PARTNERS</w:t>
            </w:r>
          </w:p>
        </w:tc>
      </w:tr>
      <w:tr w:rsidR="00C02D44" w:rsidRPr="00C35EAD" w14:paraId="4BB1D251" w14:textId="77777777" w:rsidTr="00C35EAD">
        <w:trPr>
          <w:trHeight w:val="20"/>
          <w:jc w:val="center"/>
        </w:trPr>
        <w:tc>
          <w:tcPr>
            <w:tcW w:w="2547" w:type="dxa"/>
            <w:shd w:val="clear" w:color="auto" w:fill="auto"/>
            <w:vAlign w:val="center"/>
          </w:tcPr>
          <w:p w14:paraId="33F10C3E" w14:textId="357A6C9F" w:rsidR="00881613" w:rsidRPr="00C35EAD" w:rsidRDefault="00881613" w:rsidP="00C35EAD">
            <w:pPr>
              <w:spacing w:after="0" w:line="240" w:lineRule="auto"/>
              <w:jc w:val="center"/>
              <w:rPr>
                <w:rFonts w:ascii="Calibri" w:eastAsia="Times New Roman" w:hAnsi="Calibri" w:cs="Calibri"/>
                <w:b/>
                <w:bCs/>
                <w:color w:val="000000"/>
                <w:lang w:val="en-GB" w:eastAsia="pt-BR"/>
              </w:rPr>
            </w:pPr>
            <w:r w:rsidRPr="00C35EAD">
              <w:rPr>
                <w:rFonts w:ascii="Calibri" w:eastAsia="Times New Roman" w:hAnsi="Calibri" w:cs="Calibri"/>
                <w:b/>
                <w:bCs/>
                <w:color w:val="000000"/>
                <w:lang w:val="en-GB" w:eastAsia="pt-BR"/>
              </w:rPr>
              <w:t>Output</w:t>
            </w:r>
          </w:p>
        </w:tc>
        <w:tc>
          <w:tcPr>
            <w:tcW w:w="4053" w:type="dxa"/>
            <w:shd w:val="clear" w:color="auto" w:fill="auto"/>
            <w:vAlign w:val="center"/>
          </w:tcPr>
          <w:p w14:paraId="416F6996" w14:textId="34A5DBF7" w:rsidR="00881613" w:rsidRPr="00C35EAD" w:rsidRDefault="00881613" w:rsidP="00C35EAD">
            <w:pPr>
              <w:spacing w:after="0" w:line="240" w:lineRule="auto"/>
              <w:jc w:val="center"/>
              <w:rPr>
                <w:rFonts w:ascii="Calibri" w:eastAsia="Times New Roman" w:hAnsi="Calibri" w:cs="Calibri"/>
                <w:b/>
                <w:bCs/>
                <w:color w:val="000000"/>
                <w:lang w:val="en-GB" w:eastAsia="pt-BR"/>
              </w:rPr>
            </w:pPr>
            <w:r w:rsidRPr="00C35EAD">
              <w:rPr>
                <w:rFonts w:ascii="Calibri" w:eastAsia="Times New Roman" w:hAnsi="Calibri" w:cs="Calibri"/>
                <w:b/>
                <w:bCs/>
                <w:color w:val="000000"/>
                <w:lang w:val="en-GB" w:eastAsia="pt-BR"/>
              </w:rPr>
              <w:t>Activities</w:t>
            </w:r>
          </w:p>
        </w:tc>
        <w:tc>
          <w:tcPr>
            <w:tcW w:w="1374" w:type="dxa"/>
            <w:vAlign w:val="center"/>
          </w:tcPr>
          <w:p w14:paraId="6A3268C5" w14:textId="72B5473C" w:rsidR="00881613" w:rsidRPr="00C35EAD" w:rsidRDefault="00881613"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FAS</w:t>
            </w:r>
          </w:p>
        </w:tc>
        <w:tc>
          <w:tcPr>
            <w:tcW w:w="1607" w:type="dxa"/>
            <w:vAlign w:val="center"/>
          </w:tcPr>
          <w:p w14:paraId="2AEA4022" w14:textId="24538AA8" w:rsidR="00881613" w:rsidRPr="00C35EAD" w:rsidRDefault="00881613"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FAS &gt; SEMA</w:t>
            </w:r>
          </w:p>
        </w:tc>
        <w:tc>
          <w:tcPr>
            <w:tcW w:w="1576" w:type="dxa"/>
            <w:vAlign w:val="center"/>
          </w:tcPr>
          <w:p w14:paraId="77AB27C6" w14:textId="1ACC4FC4" w:rsidR="00881613" w:rsidRPr="00C35EAD" w:rsidRDefault="00881613"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IDESAM</w:t>
            </w:r>
          </w:p>
        </w:tc>
        <w:tc>
          <w:tcPr>
            <w:tcW w:w="1487" w:type="dxa"/>
            <w:vAlign w:val="center"/>
          </w:tcPr>
          <w:p w14:paraId="7C21C572" w14:textId="091E2057" w:rsidR="00881613" w:rsidRPr="00C35EAD" w:rsidRDefault="00881613"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CI-BR</w:t>
            </w:r>
          </w:p>
        </w:tc>
        <w:tc>
          <w:tcPr>
            <w:tcW w:w="1442" w:type="dxa"/>
            <w:vAlign w:val="center"/>
          </w:tcPr>
          <w:p w14:paraId="070A135B" w14:textId="22AEE28B" w:rsidR="00881613" w:rsidRDefault="00881613"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FVA</w:t>
            </w:r>
          </w:p>
        </w:tc>
        <w:tc>
          <w:tcPr>
            <w:tcW w:w="1508" w:type="dxa"/>
            <w:vAlign w:val="center"/>
          </w:tcPr>
          <w:p w14:paraId="36A0A39F" w14:textId="57BA4107" w:rsidR="00881613" w:rsidRPr="00C35EAD" w:rsidRDefault="00881613" w:rsidP="00C35EAD">
            <w:pPr>
              <w:spacing w:after="0" w:line="240" w:lineRule="auto"/>
              <w:jc w:val="center"/>
              <w:rPr>
                <w:rFonts w:ascii="Calibri" w:eastAsia="Times New Roman" w:hAnsi="Calibri" w:cs="Calibri"/>
                <w:b/>
                <w:bCs/>
                <w:color w:val="000000"/>
                <w:lang w:val="en-GB" w:eastAsia="pt-BR"/>
              </w:rPr>
            </w:pPr>
            <w:r>
              <w:rPr>
                <w:rFonts w:ascii="Calibri" w:eastAsia="Times New Roman" w:hAnsi="Calibri" w:cs="Calibri"/>
                <w:b/>
                <w:bCs/>
                <w:color w:val="000000"/>
                <w:lang w:val="en-GB" w:eastAsia="pt-BR"/>
              </w:rPr>
              <w:t>FAS &gt; Specialised consultancy</w:t>
            </w:r>
          </w:p>
        </w:tc>
      </w:tr>
      <w:tr w:rsidR="00C02D44" w:rsidRPr="00C35EAD" w14:paraId="5ED98BFF" w14:textId="34067251" w:rsidTr="00C35EAD">
        <w:trPr>
          <w:trHeight w:val="20"/>
          <w:jc w:val="center"/>
        </w:trPr>
        <w:tc>
          <w:tcPr>
            <w:tcW w:w="2547" w:type="dxa"/>
            <w:vMerge w:val="restart"/>
            <w:shd w:val="clear" w:color="auto" w:fill="auto"/>
            <w:vAlign w:val="center"/>
            <w:hideMark/>
          </w:tcPr>
          <w:p w14:paraId="62DD04BD" w14:textId="77777777" w:rsidR="00881613" w:rsidRPr="00C35EAD" w:rsidRDefault="00881613" w:rsidP="00881613">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1. Approval of legal instruments for the State REDD+ Plan and the benefit sharing mechanism under the LSA</w:t>
            </w:r>
          </w:p>
        </w:tc>
        <w:tc>
          <w:tcPr>
            <w:tcW w:w="4053" w:type="dxa"/>
            <w:shd w:val="clear" w:color="auto" w:fill="auto"/>
            <w:vAlign w:val="center"/>
            <w:hideMark/>
          </w:tcPr>
          <w:p w14:paraId="540BAC30"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       Draft the decree</w:t>
            </w:r>
          </w:p>
        </w:tc>
        <w:tc>
          <w:tcPr>
            <w:tcW w:w="1374" w:type="dxa"/>
            <w:shd w:val="clear" w:color="auto" w:fill="E36C0A" w:themeFill="accent6" w:themeFillShade="BF"/>
          </w:tcPr>
          <w:p w14:paraId="514EADC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7FEF818A" w14:textId="2B254ED9"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45B7319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067CDFF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01146A9F"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765C6E3B" w14:textId="28954212"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456914C3" w14:textId="52FDC159" w:rsidTr="00C35EAD">
        <w:trPr>
          <w:trHeight w:val="20"/>
          <w:jc w:val="center"/>
        </w:trPr>
        <w:tc>
          <w:tcPr>
            <w:tcW w:w="2547" w:type="dxa"/>
            <w:vMerge/>
            <w:vAlign w:val="center"/>
            <w:hideMark/>
          </w:tcPr>
          <w:p w14:paraId="5ADC9851"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5BCC3DBB"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Present and discuss the draft version in public consultations, FAMC, specific meetings and workshops</w:t>
            </w:r>
          </w:p>
        </w:tc>
        <w:tc>
          <w:tcPr>
            <w:tcW w:w="1374" w:type="dxa"/>
            <w:shd w:val="clear" w:color="auto" w:fill="E36C0A" w:themeFill="accent6" w:themeFillShade="BF"/>
          </w:tcPr>
          <w:p w14:paraId="4F0955FB"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788D69EB" w14:textId="526D880E"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6F646E7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348D081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649E6B8B"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6BEF4D2B" w14:textId="074B08D4"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52F937FC" w14:textId="567062A8" w:rsidTr="00C35EAD">
        <w:trPr>
          <w:trHeight w:val="20"/>
          <w:jc w:val="center"/>
        </w:trPr>
        <w:tc>
          <w:tcPr>
            <w:tcW w:w="2547" w:type="dxa"/>
            <w:vMerge/>
            <w:vAlign w:val="center"/>
            <w:hideMark/>
          </w:tcPr>
          <w:p w14:paraId="6B4E50E8"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3682CCD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iii.       Engage with the State House of Representatives to approve the decree</w:t>
            </w:r>
          </w:p>
        </w:tc>
        <w:tc>
          <w:tcPr>
            <w:tcW w:w="1374" w:type="dxa"/>
          </w:tcPr>
          <w:p w14:paraId="55F99D2C"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058605F3" w14:textId="3434504E"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1C541AB6"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63509D76"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42B894D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3085A092" w14:textId="2C909BDF"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C35EAD" w14:paraId="11582C80" w14:textId="116DDD34" w:rsidTr="00C35EAD">
        <w:trPr>
          <w:trHeight w:val="20"/>
          <w:jc w:val="center"/>
        </w:trPr>
        <w:tc>
          <w:tcPr>
            <w:tcW w:w="2547" w:type="dxa"/>
            <w:vMerge/>
            <w:vAlign w:val="center"/>
            <w:hideMark/>
          </w:tcPr>
          <w:p w14:paraId="3DE59D42"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2CCEB73B"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Monitoring</w:t>
            </w:r>
          </w:p>
        </w:tc>
        <w:tc>
          <w:tcPr>
            <w:tcW w:w="1374" w:type="dxa"/>
            <w:shd w:val="clear" w:color="auto" w:fill="E36C0A" w:themeFill="accent6" w:themeFillShade="BF"/>
          </w:tcPr>
          <w:p w14:paraId="41355ED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468572F4" w14:textId="640F7CD8"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27180702"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shd w:val="clear" w:color="auto" w:fill="E36C0A" w:themeFill="accent6" w:themeFillShade="BF"/>
          </w:tcPr>
          <w:p w14:paraId="1F55D669"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shd w:val="clear" w:color="auto" w:fill="E36C0A" w:themeFill="accent6" w:themeFillShade="BF"/>
          </w:tcPr>
          <w:p w14:paraId="2921F59E"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3ECBD767" w14:textId="3E324230"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3B047B8C" w14:textId="2D135725" w:rsidTr="00C35EAD">
        <w:trPr>
          <w:trHeight w:val="20"/>
          <w:jc w:val="center"/>
        </w:trPr>
        <w:tc>
          <w:tcPr>
            <w:tcW w:w="2547" w:type="dxa"/>
            <w:vMerge w:val="restart"/>
            <w:shd w:val="clear" w:color="auto" w:fill="auto"/>
            <w:vAlign w:val="center"/>
            <w:hideMark/>
          </w:tcPr>
          <w:p w14:paraId="12C323F5" w14:textId="77777777" w:rsidR="00881613" w:rsidRPr="00C35EAD" w:rsidRDefault="00881613" w:rsidP="00881613">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2. Public consultations (including to local communities) and safeguards workshops</w:t>
            </w:r>
          </w:p>
        </w:tc>
        <w:tc>
          <w:tcPr>
            <w:tcW w:w="4053" w:type="dxa"/>
            <w:shd w:val="clear" w:color="auto" w:fill="auto"/>
            <w:vAlign w:val="center"/>
            <w:hideMark/>
          </w:tcPr>
          <w:p w14:paraId="6347228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       Design the strategy and the methodology of public consultations and workshops</w:t>
            </w:r>
          </w:p>
        </w:tc>
        <w:tc>
          <w:tcPr>
            <w:tcW w:w="1374" w:type="dxa"/>
            <w:shd w:val="clear" w:color="auto" w:fill="E36C0A" w:themeFill="accent6" w:themeFillShade="BF"/>
          </w:tcPr>
          <w:p w14:paraId="5B64EF32"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430A37F8" w14:textId="3783EE9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07098238"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5238E8B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0AECA97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5A030047" w14:textId="16D8817F"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1D8AE849" w14:textId="402E9BD4" w:rsidTr="00C35EAD">
        <w:trPr>
          <w:trHeight w:val="20"/>
          <w:jc w:val="center"/>
        </w:trPr>
        <w:tc>
          <w:tcPr>
            <w:tcW w:w="2547" w:type="dxa"/>
            <w:vMerge/>
            <w:vAlign w:val="center"/>
            <w:hideMark/>
          </w:tcPr>
          <w:p w14:paraId="36046FEB"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63465DD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Draft a preliminary version for discussion based on others’ experiences and references</w:t>
            </w:r>
          </w:p>
        </w:tc>
        <w:tc>
          <w:tcPr>
            <w:tcW w:w="1374" w:type="dxa"/>
          </w:tcPr>
          <w:p w14:paraId="0F16ACD2"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1CD30681" w14:textId="4A3930EC"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1C4EFB5C"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113EF9C6"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704A5A8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571CED67" w14:textId="342E539C"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C35EAD" w14:paraId="7D76567E" w14:textId="0BCC7D03" w:rsidTr="00C35EAD">
        <w:trPr>
          <w:trHeight w:val="20"/>
          <w:jc w:val="center"/>
        </w:trPr>
        <w:tc>
          <w:tcPr>
            <w:tcW w:w="2547" w:type="dxa"/>
            <w:vMerge/>
            <w:vAlign w:val="center"/>
            <w:hideMark/>
          </w:tcPr>
          <w:p w14:paraId="74FDF090"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4D02BF6B"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iii.       Organise workshops</w:t>
            </w:r>
          </w:p>
        </w:tc>
        <w:tc>
          <w:tcPr>
            <w:tcW w:w="1374" w:type="dxa"/>
            <w:shd w:val="clear" w:color="auto" w:fill="E36C0A" w:themeFill="accent6" w:themeFillShade="BF"/>
          </w:tcPr>
          <w:p w14:paraId="75439AA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1D8BFEF8" w14:textId="73F0BB05"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34373DC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1417DD7D"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2A615BF9"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3EE4817B" w14:textId="6F805C49"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0FC0B552" w14:textId="5F4817A9" w:rsidTr="00C35EAD">
        <w:trPr>
          <w:trHeight w:val="20"/>
          <w:jc w:val="center"/>
        </w:trPr>
        <w:tc>
          <w:tcPr>
            <w:tcW w:w="2547" w:type="dxa"/>
            <w:vMerge/>
            <w:vAlign w:val="center"/>
            <w:hideMark/>
          </w:tcPr>
          <w:p w14:paraId="3FE10BD2"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378F4E6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iv.       Revisit versions and update them with new inputs from public consultations</w:t>
            </w:r>
          </w:p>
        </w:tc>
        <w:tc>
          <w:tcPr>
            <w:tcW w:w="1374" w:type="dxa"/>
          </w:tcPr>
          <w:p w14:paraId="631D067C"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769A7A60" w14:textId="3D9047BE"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4616099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6A0C778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7A04AC1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6BC08F46" w14:textId="7412383F"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03FB885C" w14:textId="55456B50" w:rsidTr="00C35EAD">
        <w:trPr>
          <w:trHeight w:val="20"/>
          <w:jc w:val="center"/>
        </w:trPr>
        <w:tc>
          <w:tcPr>
            <w:tcW w:w="2547" w:type="dxa"/>
            <w:vMerge/>
            <w:vAlign w:val="center"/>
            <w:hideMark/>
          </w:tcPr>
          <w:p w14:paraId="6EF8B8B8"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56D351F2"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v.       Consolidate a version to be presented in official fora</w:t>
            </w:r>
          </w:p>
        </w:tc>
        <w:tc>
          <w:tcPr>
            <w:tcW w:w="1374" w:type="dxa"/>
          </w:tcPr>
          <w:p w14:paraId="59CF1A81"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342DA7BD" w14:textId="6B8EA14E"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4C9ABA3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23F1332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72C35751"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6332B1B4" w14:textId="204ADB14"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6E06B2E1" w14:textId="2AD837D5" w:rsidTr="00C35EAD">
        <w:trPr>
          <w:trHeight w:val="20"/>
          <w:jc w:val="center"/>
        </w:trPr>
        <w:tc>
          <w:tcPr>
            <w:tcW w:w="2547" w:type="dxa"/>
            <w:vMerge/>
            <w:vAlign w:val="center"/>
            <w:hideMark/>
          </w:tcPr>
          <w:p w14:paraId="63AAE3EC"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2DF6BEE9"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vi.       Include reviewed within the decree to be approved</w:t>
            </w:r>
          </w:p>
        </w:tc>
        <w:tc>
          <w:tcPr>
            <w:tcW w:w="1374" w:type="dxa"/>
          </w:tcPr>
          <w:p w14:paraId="1039FFDF"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5BFF2CD1" w14:textId="7938B9BA"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6930D00C"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3A306560"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6AA591B6"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43E2C05E" w14:textId="4AF9C273"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C35EAD" w14:paraId="6FD04005" w14:textId="6CFAB5C1" w:rsidTr="00C35EAD">
        <w:trPr>
          <w:trHeight w:val="20"/>
          <w:jc w:val="center"/>
        </w:trPr>
        <w:tc>
          <w:tcPr>
            <w:tcW w:w="2547" w:type="dxa"/>
            <w:vMerge/>
            <w:vAlign w:val="center"/>
            <w:hideMark/>
          </w:tcPr>
          <w:p w14:paraId="12095176"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0A86C8C1"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Monitoring </w:t>
            </w:r>
          </w:p>
        </w:tc>
        <w:tc>
          <w:tcPr>
            <w:tcW w:w="1374" w:type="dxa"/>
            <w:shd w:val="clear" w:color="auto" w:fill="E36C0A" w:themeFill="accent6" w:themeFillShade="BF"/>
          </w:tcPr>
          <w:p w14:paraId="23C1A2D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7BCC379B" w14:textId="1C19C5B0"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72DBCFE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shd w:val="clear" w:color="auto" w:fill="E36C0A" w:themeFill="accent6" w:themeFillShade="BF"/>
          </w:tcPr>
          <w:p w14:paraId="42746EF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shd w:val="clear" w:color="auto" w:fill="E36C0A" w:themeFill="accent6" w:themeFillShade="BF"/>
          </w:tcPr>
          <w:p w14:paraId="196F8ADF"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691BA49F" w14:textId="6CD3EE72"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4E38BDE9" w14:textId="1893F88E" w:rsidTr="00C35EAD">
        <w:trPr>
          <w:trHeight w:val="20"/>
          <w:jc w:val="center"/>
        </w:trPr>
        <w:tc>
          <w:tcPr>
            <w:tcW w:w="2547" w:type="dxa"/>
            <w:vMerge w:val="restart"/>
            <w:shd w:val="clear" w:color="auto" w:fill="auto"/>
            <w:vAlign w:val="center"/>
            <w:hideMark/>
          </w:tcPr>
          <w:p w14:paraId="6D5DF398" w14:textId="77777777" w:rsidR="00881613" w:rsidRPr="00C35EAD" w:rsidRDefault="00881613" w:rsidP="00881613">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3. Technical design for REDD+ (baseline, MRV procedures, nesting with </w:t>
            </w:r>
            <w:r w:rsidRPr="00C35EAD">
              <w:rPr>
                <w:rFonts w:ascii="Calibri" w:eastAsia="Times New Roman" w:hAnsi="Calibri" w:cs="Calibri"/>
                <w:color w:val="000000"/>
                <w:lang w:val="en-GB" w:eastAsia="pt-BR"/>
              </w:rPr>
              <w:lastRenderedPageBreak/>
              <w:t>national accounting and registry)</w:t>
            </w:r>
          </w:p>
        </w:tc>
        <w:tc>
          <w:tcPr>
            <w:tcW w:w="4053" w:type="dxa"/>
            <w:shd w:val="clear" w:color="auto" w:fill="auto"/>
            <w:vAlign w:val="center"/>
            <w:hideMark/>
          </w:tcPr>
          <w:p w14:paraId="48570A7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lastRenderedPageBreak/>
              <w:t>i.       Define technical assumptions and parameters (e.g., reference level, criteria &amp; balance of allocation)</w:t>
            </w:r>
          </w:p>
        </w:tc>
        <w:tc>
          <w:tcPr>
            <w:tcW w:w="1374" w:type="dxa"/>
            <w:shd w:val="clear" w:color="auto" w:fill="E36C0A" w:themeFill="accent6" w:themeFillShade="BF"/>
          </w:tcPr>
          <w:p w14:paraId="61A0847C"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56032927" w14:textId="0783AD6B"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559ADE9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286DF51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1955C33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7FB31E39" w14:textId="42F3AD8D"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010092CC" w14:textId="159B6B38" w:rsidTr="00C35EAD">
        <w:trPr>
          <w:trHeight w:val="20"/>
          <w:jc w:val="center"/>
        </w:trPr>
        <w:tc>
          <w:tcPr>
            <w:tcW w:w="2547" w:type="dxa"/>
            <w:vMerge/>
            <w:vAlign w:val="center"/>
            <w:hideMark/>
          </w:tcPr>
          <w:p w14:paraId="71DA6F34"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63E91CB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Design MRV system integrated with ones already in place (PPCDAM, INPE etc)</w:t>
            </w:r>
          </w:p>
        </w:tc>
        <w:tc>
          <w:tcPr>
            <w:tcW w:w="1374" w:type="dxa"/>
            <w:shd w:val="clear" w:color="auto" w:fill="E36C0A" w:themeFill="accent6" w:themeFillShade="BF"/>
          </w:tcPr>
          <w:p w14:paraId="49B0735A"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2AF2E5B0" w14:textId="6607861A"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5F1B67B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3BE1AC24"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33D4CC0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066CF639" w14:textId="0A2E7896"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17BEBF5B" w14:textId="1D2EA8FF" w:rsidTr="00C35EAD">
        <w:trPr>
          <w:trHeight w:val="20"/>
          <w:jc w:val="center"/>
        </w:trPr>
        <w:tc>
          <w:tcPr>
            <w:tcW w:w="2547" w:type="dxa"/>
            <w:vMerge/>
            <w:vAlign w:val="center"/>
            <w:hideMark/>
          </w:tcPr>
          <w:p w14:paraId="0E0C538F"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09EE5851"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iii.       Update and improve the REDD+ registry system</w:t>
            </w:r>
          </w:p>
        </w:tc>
        <w:tc>
          <w:tcPr>
            <w:tcW w:w="1374" w:type="dxa"/>
            <w:shd w:val="clear" w:color="auto" w:fill="E36C0A" w:themeFill="accent6" w:themeFillShade="BF"/>
          </w:tcPr>
          <w:p w14:paraId="4CC7C155"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2D03FB61" w14:textId="114630B8"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61101DB9"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1A5E98F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0E5B95BD"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221612A2" w14:textId="05A4624B"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C35EAD" w14:paraId="4E95BC0A" w14:textId="43D59C14" w:rsidTr="00C35EAD">
        <w:trPr>
          <w:trHeight w:val="20"/>
          <w:jc w:val="center"/>
        </w:trPr>
        <w:tc>
          <w:tcPr>
            <w:tcW w:w="2547" w:type="dxa"/>
            <w:vMerge/>
            <w:vAlign w:val="center"/>
            <w:hideMark/>
          </w:tcPr>
          <w:p w14:paraId="0BBFD06E"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58ABB6E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Monitoring </w:t>
            </w:r>
          </w:p>
        </w:tc>
        <w:tc>
          <w:tcPr>
            <w:tcW w:w="1374" w:type="dxa"/>
            <w:shd w:val="clear" w:color="auto" w:fill="E36C0A" w:themeFill="accent6" w:themeFillShade="BF"/>
          </w:tcPr>
          <w:p w14:paraId="03DA0B30"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0E6C65BF" w14:textId="2650C674"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413715C9"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shd w:val="clear" w:color="auto" w:fill="E36C0A" w:themeFill="accent6" w:themeFillShade="BF"/>
          </w:tcPr>
          <w:p w14:paraId="62977D6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shd w:val="clear" w:color="auto" w:fill="E36C0A" w:themeFill="accent6" w:themeFillShade="BF"/>
          </w:tcPr>
          <w:p w14:paraId="2094DB0F"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74D19330" w14:textId="6A8C39DE"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64DA6846" w14:textId="339392FD" w:rsidTr="00C35EAD">
        <w:trPr>
          <w:trHeight w:val="20"/>
          <w:jc w:val="center"/>
        </w:trPr>
        <w:tc>
          <w:tcPr>
            <w:tcW w:w="2547" w:type="dxa"/>
            <w:vMerge w:val="restart"/>
            <w:shd w:val="clear" w:color="auto" w:fill="auto"/>
            <w:vAlign w:val="center"/>
            <w:hideMark/>
          </w:tcPr>
          <w:p w14:paraId="4B61EDEA" w14:textId="77777777" w:rsidR="00881613" w:rsidRPr="00C35EAD" w:rsidRDefault="00881613" w:rsidP="00881613">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4. Technical and financial approaches to pilot sustainable productive systems at Apuí and RDS Juma</w:t>
            </w:r>
          </w:p>
        </w:tc>
        <w:tc>
          <w:tcPr>
            <w:tcW w:w="4053" w:type="dxa"/>
            <w:shd w:val="clear" w:color="auto" w:fill="auto"/>
            <w:vAlign w:val="center"/>
            <w:hideMark/>
          </w:tcPr>
          <w:p w14:paraId="06F0F457" w14:textId="55E6274D" w:rsidR="00881613" w:rsidRPr="00C35EAD" w:rsidRDefault="00881613" w:rsidP="00307DEC">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i.       </w:t>
            </w:r>
            <w:r w:rsidR="00307DEC">
              <w:rPr>
                <w:rFonts w:ascii="Calibri" w:eastAsia="Times New Roman" w:hAnsi="Calibri" w:cs="Calibri"/>
                <w:color w:val="000000"/>
                <w:lang w:val="en-GB" w:eastAsia="pt-BR"/>
              </w:rPr>
              <w:t>A</w:t>
            </w:r>
            <w:r w:rsidRPr="00C35EAD">
              <w:rPr>
                <w:rFonts w:ascii="Calibri" w:eastAsia="Times New Roman" w:hAnsi="Calibri" w:cs="Calibri"/>
                <w:color w:val="000000"/>
                <w:lang w:val="en-GB" w:eastAsia="pt-BR"/>
              </w:rPr>
              <w:t>ssess two projects encompassing different variables (geography, social and economic aspects etc.)</w:t>
            </w:r>
          </w:p>
        </w:tc>
        <w:tc>
          <w:tcPr>
            <w:tcW w:w="1374" w:type="dxa"/>
            <w:shd w:val="clear" w:color="auto" w:fill="E36C0A" w:themeFill="accent6" w:themeFillShade="BF"/>
          </w:tcPr>
          <w:p w14:paraId="2CFACCF6"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6A2F3F5B" w14:textId="6C98622A"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30955251"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5B61D674"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1E813B0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3F7AD3E5" w14:textId="3771A986"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27369C7A" w14:textId="661FC5D1" w:rsidTr="00C35EAD">
        <w:trPr>
          <w:trHeight w:val="20"/>
          <w:jc w:val="center"/>
        </w:trPr>
        <w:tc>
          <w:tcPr>
            <w:tcW w:w="2547" w:type="dxa"/>
            <w:vMerge/>
            <w:vAlign w:val="center"/>
            <w:hideMark/>
          </w:tcPr>
          <w:p w14:paraId="29DF27E3"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7109FCDD"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Design and define a business plan for each area considering LSA and its related regulations</w:t>
            </w:r>
          </w:p>
        </w:tc>
        <w:tc>
          <w:tcPr>
            <w:tcW w:w="1374" w:type="dxa"/>
            <w:shd w:val="clear" w:color="auto" w:fill="E36C0A" w:themeFill="accent6" w:themeFillShade="BF"/>
          </w:tcPr>
          <w:p w14:paraId="07539247"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29130FB4" w14:textId="2C95BBD5"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38FC135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164BE908"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51520F0D"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6BF4C3A8" w14:textId="5EC1F147"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C35EAD" w14:paraId="47B8A246" w14:textId="2802F0FB" w:rsidTr="00C35EAD">
        <w:trPr>
          <w:trHeight w:val="20"/>
          <w:jc w:val="center"/>
        </w:trPr>
        <w:tc>
          <w:tcPr>
            <w:tcW w:w="2547" w:type="dxa"/>
            <w:vMerge/>
            <w:vAlign w:val="center"/>
            <w:hideMark/>
          </w:tcPr>
          <w:p w14:paraId="751DC743"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12725878"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Monitoring </w:t>
            </w:r>
          </w:p>
        </w:tc>
        <w:tc>
          <w:tcPr>
            <w:tcW w:w="1374" w:type="dxa"/>
            <w:shd w:val="clear" w:color="auto" w:fill="E36C0A" w:themeFill="accent6" w:themeFillShade="BF"/>
          </w:tcPr>
          <w:p w14:paraId="4DC9045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634569FC" w14:textId="2C1F749A"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38C2D69A"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shd w:val="clear" w:color="auto" w:fill="E36C0A" w:themeFill="accent6" w:themeFillShade="BF"/>
          </w:tcPr>
          <w:p w14:paraId="648EAD64"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shd w:val="clear" w:color="auto" w:fill="E36C0A" w:themeFill="accent6" w:themeFillShade="BF"/>
          </w:tcPr>
          <w:p w14:paraId="4430E79E"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13E384DC" w14:textId="541852E4"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13C3EF45" w14:textId="261F5242" w:rsidTr="00C35EAD">
        <w:trPr>
          <w:trHeight w:val="20"/>
          <w:jc w:val="center"/>
        </w:trPr>
        <w:tc>
          <w:tcPr>
            <w:tcW w:w="2547" w:type="dxa"/>
            <w:vMerge w:val="restart"/>
            <w:shd w:val="clear" w:color="auto" w:fill="auto"/>
            <w:vAlign w:val="center"/>
            <w:hideMark/>
          </w:tcPr>
          <w:p w14:paraId="6C571AC6" w14:textId="77777777" w:rsidR="00881613" w:rsidRPr="00C35EAD" w:rsidRDefault="00881613" w:rsidP="00881613">
            <w:pPr>
              <w:spacing w:after="0" w:line="240" w:lineRule="auto"/>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5. Fundraising for REDD+ and forest conservation in Amazonas</w:t>
            </w:r>
          </w:p>
        </w:tc>
        <w:tc>
          <w:tcPr>
            <w:tcW w:w="4053" w:type="dxa"/>
            <w:shd w:val="clear" w:color="auto" w:fill="auto"/>
            <w:vAlign w:val="center"/>
            <w:hideMark/>
          </w:tcPr>
          <w:p w14:paraId="64AB1EA8"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       Identify major stakeholders (supporters, funders, donors) for REDD+ and forest conservation</w:t>
            </w:r>
          </w:p>
        </w:tc>
        <w:tc>
          <w:tcPr>
            <w:tcW w:w="1374" w:type="dxa"/>
            <w:shd w:val="clear" w:color="auto" w:fill="E36C0A" w:themeFill="accent6" w:themeFillShade="BF"/>
          </w:tcPr>
          <w:p w14:paraId="5ACD1BD2"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4D33E507" w14:textId="374E883B"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5F6C6F8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49121F2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416BFB2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1AA37456" w14:textId="71CC3075"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63661A71" w14:textId="0BB2D03A" w:rsidTr="00C35EAD">
        <w:trPr>
          <w:trHeight w:val="20"/>
          <w:jc w:val="center"/>
        </w:trPr>
        <w:tc>
          <w:tcPr>
            <w:tcW w:w="2547" w:type="dxa"/>
            <w:vMerge/>
            <w:vAlign w:val="center"/>
            <w:hideMark/>
          </w:tcPr>
          <w:p w14:paraId="5EBEF48B"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5EB8677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       Design strategy to approach each one – seeking for opportunities and connections</w:t>
            </w:r>
          </w:p>
        </w:tc>
        <w:tc>
          <w:tcPr>
            <w:tcW w:w="1374" w:type="dxa"/>
            <w:shd w:val="clear" w:color="auto" w:fill="E36C0A" w:themeFill="accent6" w:themeFillShade="BF"/>
          </w:tcPr>
          <w:p w14:paraId="6B1A231D"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473026E1" w14:textId="09B11FB5"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21344303"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0FB8E31D"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39571A61"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65EAF166" w14:textId="668FE528"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70DD5EF6" w14:textId="013BB5F8" w:rsidTr="00C35EAD">
        <w:trPr>
          <w:trHeight w:val="20"/>
          <w:jc w:val="center"/>
        </w:trPr>
        <w:tc>
          <w:tcPr>
            <w:tcW w:w="2547" w:type="dxa"/>
            <w:vMerge/>
            <w:vAlign w:val="center"/>
            <w:hideMark/>
          </w:tcPr>
          <w:p w14:paraId="5F115590"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370C6076"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iii.       Organise specific events for donors and funders</w:t>
            </w:r>
          </w:p>
        </w:tc>
        <w:tc>
          <w:tcPr>
            <w:tcW w:w="1374" w:type="dxa"/>
            <w:shd w:val="clear" w:color="auto" w:fill="E36C0A" w:themeFill="accent6" w:themeFillShade="BF"/>
          </w:tcPr>
          <w:p w14:paraId="040DB58C"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2E448FE4" w14:textId="64C210DC"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0A544F97"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2BB1084F"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3E66F0A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6AC08B63" w14:textId="5D9BD5D3"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B9166A" w14:paraId="20BBF4DA" w14:textId="77B039D1" w:rsidTr="00C35EAD">
        <w:trPr>
          <w:trHeight w:val="20"/>
          <w:jc w:val="center"/>
        </w:trPr>
        <w:tc>
          <w:tcPr>
            <w:tcW w:w="2547" w:type="dxa"/>
            <w:vMerge/>
            <w:vAlign w:val="center"/>
            <w:hideMark/>
          </w:tcPr>
          <w:p w14:paraId="77910A3C"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12429E34"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iv.       Attend to events, seminars and conferences to engage with potential supporters</w:t>
            </w:r>
          </w:p>
        </w:tc>
        <w:tc>
          <w:tcPr>
            <w:tcW w:w="1374" w:type="dxa"/>
            <w:shd w:val="clear" w:color="auto" w:fill="E36C0A" w:themeFill="accent6" w:themeFillShade="BF"/>
          </w:tcPr>
          <w:p w14:paraId="4D0FB91D"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607" w:type="dxa"/>
          </w:tcPr>
          <w:p w14:paraId="13662468" w14:textId="1CFA655F"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tcPr>
          <w:p w14:paraId="7EC43261"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tcPr>
          <w:p w14:paraId="12B9BEFE"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tcPr>
          <w:p w14:paraId="19272705"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08" w:type="dxa"/>
          </w:tcPr>
          <w:p w14:paraId="3EA6FEF6" w14:textId="0E2AC07D" w:rsidR="00881613" w:rsidRPr="00C35EAD" w:rsidRDefault="00881613" w:rsidP="00881613">
            <w:pPr>
              <w:spacing w:after="0" w:line="240" w:lineRule="auto"/>
              <w:jc w:val="both"/>
              <w:rPr>
                <w:rFonts w:ascii="Calibri" w:eastAsia="Times New Roman" w:hAnsi="Calibri" w:cs="Calibri"/>
                <w:color w:val="000000"/>
                <w:lang w:val="en-GB" w:eastAsia="pt-BR"/>
              </w:rPr>
            </w:pPr>
          </w:p>
        </w:tc>
      </w:tr>
      <w:tr w:rsidR="00C02D44" w:rsidRPr="00C35EAD" w14:paraId="3B510E0C" w14:textId="278FFCE9" w:rsidTr="00C35EAD">
        <w:trPr>
          <w:trHeight w:val="20"/>
          <w:jc w:val="center"/>
        </w:trPr>
        <w:tc>
          <w:tcPr>
            <w:tcW w:w="2547" w:type="dxa"/>
            <w:vMerge/>
            <w:vAlign w:val="center"/>
            <w:hideMark/>
          </w:tcPr>
          <w:p w14:paraId="65AD1F5E" w14:textId="77777777" w:rsidR="00881613" w:rsidRPr="00C35EAD" w:rsidRDefault="00881613" w:rsidP="00881613">
            <w:pPr>
              <w:spacing w:after="0" w:line="240" w:lineRule="auto"/>
              <w:rPr>
                <w:rFonts w:ascii="Calibri" w:eastAsia="Times New Roman" w:hAnsi="Calibri" w:cs="Calibri"/>
                <w:color w:val="000000"/>
                <w:lang w:val="en-GB" w:eastAsia="pt-BR"/>
              </w:rPr>
            </w:pPr>
          </w:p>
        </w:tc>
        <w:tc>
          <w:tcPr>
            <w:tcW w:w="4053" w:type="dxa"/>
            <w:shd w:val="clear" w:color="auto" w:fill="auto"/>
            <w:vAlign w:val="center"/>
            <w:hideMark/>
          </w:tcPr>
          <w:p w14:paraId="3D9940A0"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r w:rsidRPr="00C35EAD">
              <w:rPr>
                <w:rFonts w:ascii="Calibri" w:eastAsia="Times New Roman" w:hAnsi="Calibri" w:cs="Calibri"/>
                <w:color w:val="000000"/>
                <w:lang w:val="en-GB" w:eastAsia="pt-BR"/>
              </w:rPr>
              <w:t xml:space="preserve">Monitoring </w:t>
            </w:r>
          </w:p>
        </w:tc>
        <w:tc>
          <w:tcPr>
            <w:tcW w:w="1374" w:type="dxa"/>
            <w:shd w:val="clear" w:color="auto" w:fill="E36C0A" w:themeFill="accent6" w:themeFillShade="BF"/>
          </w:tcPr>
          <w:p w14:paraId="2348ED50"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607" w:type="dxa"/>
            <w:shd w:val="clear" w:color="auto" w:fill="E36C0A" w:themeFill="accent6" w:themeFillShade="BF"/>
          </w:tcPr>
          <w:p w14:paraId="2801F2C1" w14:textId="6F3D71F0"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576" w:type="dxa"/>
            <w:shd w:val="clear" w:color="auto" w:fill="E36C0A" w:themeFill="accent6" w:themeFillShade="BF"/>
          </w:tcPr>
          <w:p w14:paraId="3730A168"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87" w:type="dxa"/>
            <w:shd w:val="clear" w:color="auto" w:fill="E36C0A" w:themeFill="accent6" w:themeFillShade="BF"/>
          </w:tcPr>
          <w:p w14:paraId="1FBF18DC" w14:textId="77777777" w:rsidR="00881613" w:rsidRPr="00C35EAD" w:rsidRDefault="00881613" w:rsidP="00881613">
            <w:pPr>
              <w:spacing w:after="0" w:line="240" w:lineRule="auto"/>
              <w:jc w:val="both"/>
              <w:rPr>
                <w:rFonts w:ascii="Calibri" w:eastAsia="Times New Roman" w:hAnsi="Calibri" w:cs="Calibri"/>
                <w:color w:val="000000"/>
                <w:lang w:val="en-GB" w:eastAsia="pt-BR"/>
              </w:rPr>
            </w:pPr>
          </w:p>
        </w:tc>
        <w:tc>
          <w:tcPr>
            <w:tcW w:w="1442" w:type="dxa"/>
            <w:shd w:val="clear" w:color="auto" w:fill="E36C0A" w:themeFill="accent6" w:themeFillShade="BF"/>
          </w:tcPr>
          <w:p w14:paraId="32B18596" w14:textId="77777777" w:rsidR="00881613" w:rsidRPr="00E73C81" w:rsidRDefault="00881613" w:rsidP="00881613">
            <w:pPr>
              <w:spacing w:after="0" w:line="240" w:lineRule="auto"/>
              <w:jc w:val="both"/>
              <w:rPr>
                <w:rFonts w:ascii="Calibri" w:eastAsia="Times New Roman" w:hAnsi="Calibri" w:cs="Calibri"/>
                <w:color w:val="000000"/>
                <w:lang w:val="en-GB" w:eastAsia="pt-BR"/>
              </w:rPr>
            </w:pPr>
          </w:p>
        </w:tc>
        <w:tc>
          <w:tcPr>
            <w:tcW w:w="1508" w:type="dxa"/>
            <w:shd w:val="clear" w:color="auto" w:fill="E36C0A" w:themeFill="accent6" w:themeFillShade="BF"/>
          </w:tcPr>
          <w:p w14:paraId="59E62C71" w14:textId="0E10B9B8" w:rsidR="00881613" w:rsidRPr="00C35EAD" w:rsidRDefault="00881613" w:rsidP="00881613">
            <w:pPr>
              <w:spacing w:after="0" w:line="240" w:lineRule="auto"/>
              <w:jc w:val="both"/>
              <w:rPr>
                <w:rFonts w:ascii="Calibri" w:eastAsia="Times New Roman" w:hAnsi="Calibri" w:cs="Calibri"/>
                <w:color w:val="000000"/>
                <w:lang w:val="en-GB" w:eastAsia="pt-BR"/>
              </w:rPr>
            </w:pPr>
          </w:p>
        </w:tc>
      </w:tr>
    </w:tbl>
    <w:p w14:paraId="0CC3223B" w14:textId="77777777" w:rsidR="00881613" w:rsidRPr="006F1649" w:rsidRDefault="00881613" w:rsidP="006F1649">
      <w:pPr>
        <w:rPr>
          <w:lang w:val="en-GB"/>
        </w:rPr>
      </w:pPr>
    </w:p>
    <w:sectPr w:rsidR="00881613" w:rsidRPr="006F1649" w:rsidSect="006F1649">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EE9E3" w14:textId="77777777" w:rsidR="009060CD" w:rsidRDefault="009060CD" w:rsidP="00334D29">
      <w:pPr>
        <w:spacing w:after="0" w:line="240" w:lineRule="auto"/>
      </w:pPr>
      <w:r>
        <w:separator/>
      </w:r>
    </w:p>
  </w:endnote>
  <w:endnote w:type="continuationSeparator" w:id="0">
    <w:p w14:paraId="456DA1FD" w14:textId="77777777" w:rsidR="009060CD" w:rsidRDefault="009060CD" w:rsidP="0033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GB"/>
      </w:rPr>
      <w:id w:val="1301116195"/>
      <w:docPartObj>
        <w:docPartGallery w:val="Page Numbers (Bottom of Page)"/>
        <w:docPartUnique/>
      </w:docPartObj>
    </w:sdtPr>
    <w:sdtEndPr/>
    <w:sdtContent>
      <w:sdt>
        <w:sdtPr>
          <w:rPr>
            <w:lang w:val="en-GB"/>
          </w:rPr>
          <w:id w:val="1728636285"/>
          <w:docPartObj>
            <w:docPartGallery w:val="Page Numbers (Top of Page)"/>
            <w:docPartUnique/>
          </w:docPartObj>
        </w:sdtPr>
        <w:sdtEndPr/>
        <w:sdtContent>
          <w:p w14:paraId="4BD8BA56" w14:textId="3DF64956" w:rsidR="00EE45E2" w:rsidRPr="002277A6" w:rsidRDefault="00EE45E2">
            <w:pPr>
              <w:pStyle w:val="Footer"/>
              <w:jc w:val="center"/>
              <w:rPr>
                <w:lang w:val="en-GB"/>
              </w:rPr>
            </w:pPr>
            <w:r w:rsidRPr="002277A6">
              <w:rPr>
                <w:lang w:val="en-GB"/>
              </w:rPr>
              <w:t xml:space="preserve">Page </w:t>
            </w:r>
            <w:r w:rsidRPr="002277A6">
              <w:rPr>
                <w:b/>
                <w:bCs/>
                <w:sz w:val="24"/>
                <w:szCs w:val="24"/>
                <w:lang w:val="en-GB"/>
              </w:rPr>
              <w:fldChar w:fldCharType="begin"/>
            </w:r>
            <w:r w:rsidRPr="002277A6">
              <w:rPr>
                <w:b/>
                <w:bCs/>
                <w:lang w:val="en-GB"/>
              </w:rPr>
              <w:instrText>PAGE</w:instrText>
            </w:r>
            <w:r w:rsidRPr="002277A6">
              <w:rPr>
                <w:b/>
                <w:bCs/>
                <w:sz w:val="24"/>
                <w:szCs w:val="24"/>
                <w:lang w:val="en-GB"/>
              </w:rPr>
              <w:fldChar w:fldCharType="separate"/>
            </w:r>
            <w:r w:rsidR="00FF1206">
              <w:rPr>
                <w:b/>
                <w:bCs/>
                <w:noProof/>
                <w:lang w:val="en-GB"/>
              </w:rPr>
              <w:t>32</w:t>
            </w:r>
            <w:r w:rsidRPr="002277A6">
              <w:rPr>
                <w:b/>
                <w:bCs/>
                <w:sz w:val="24"/>
                <w:szCs w:val="24"/>
                <w:lang w:val="en-GB"/>
              </w:rPr>
              <w:fldChar w:fldCharType="end"/>
            </w:r>
            <w:r w:rsidRPr="002277A6">
              <w:rPr>
                <w:lang w:val="en-GB"/>
              </w:rPr>
              <w:t xml:space="preserve"> of </w:t>
            </w:r>
            <w:r w:rsidRPr="002277A6">
              <w:rPr>
                <w:b/>
                <w:bCs/>
                <w:sz w:val="24"/>
                <w:szCs w:val="24"/>
                <w:lang w:val="en-GB"/>
              </w:rPr>
              <w:fldChar w:fldCharType="begin"/>
            </w:r>
            <w:r w:rsidRPr="002277A6">
              <w:rPr>
                <w:b/>
                <w:bCs/>
                <w:lang w:val="en-GB"/>
              </w:rPr>
              <w:instrText>NUMPAGES</w:instrText>
            </w:r>
            <w:r w:rsidRPr="002277A6">
              <w:rPr>
                <w:b/>
                <w:bCs/>
                <w:sz w:val="24"/>
                <w:szCs w:val="24"/>
                <w:lang w:val="en-GB"/>
              </w:rPr>
              <w:fldChar w:fldCharType="separate"/>
            </w:r>
            <w:r w:rsidR="00FF1206">
              <w:rPr>
                <w:b/>
                <w:bCs/>
                <w:noProof/>
                <w:lang w:val="en-GB"/>
              </w:rPr>
              <w:t>33</w:t>
            </w:r>
            <w:r w:rsidRPr="002277A6">
              <w:rPr>
                <w:b/>
                <w:bCs/>
                <w:sz w:val="24"/>
                <w:szCs w:val="24"/>
                <w:lang w:val="en-GB"/>
              </w:rPr>
              <w:fldChar w:fldCharType="end"/>
            </w:r>
          </w:p>
        </w:sdtContent>
      </w:sdt>
    </w:sdtContent>
  </w:sdt>
  <w:p w14:paraId="2ED04775" w14:textId="77777777" w:rsidR="00EE45E2" w:rsidRDefault="00EE4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9307B" w14:textId="77777777" w:rsidR="009060CD" w:rsidRDefault="009060CD" w:rsidP="00334D29">
      <w:pPr>
        <w:spacing w:after="0" w:line="240" w:lineRule="auto"/>
      </w:pPr>
      <w:r>
        <w:separator/>
      </w:r>
    </w:p>
  </w:footnote>
  <w:footnote w:type="continuationSeparator" w:id="0">
    <w:p w14:paraId="1C0B91CF" w14:textId="77777777" w:rsidR="009060CD" w:rsidRDefault="009060CD" w:rsidP="00334D29">
      <w:pPr>
        <w:spacing w:after="0" w:line="240" w:lineRule="auto"/>
      </w:pPr>
      <w:r>
        <w:continuationSeparator/>
      </w:r>
    </w:p>
  </w:footnote>
  <w:footnote w:id="1">
    <w:p w14:paraId="72C85F19" w14:textId="09E80154" w:rsidR="00EE45E2" w:rsidRDefault="00EE45E2">
      <w:pPr>
        <w:pStyle w:val="FootnoteText"/>
      </w:pPr>
      <w:r>
        <w:rPr>
          <w:rStyle w:val="FootnoteReference"/>
        </w:rPr>
        <w:footnoteRef/>
      </w:r>
      <w:hyperlink r:id="rId1" w:history="1">
        <w:r w:rsidRPr="002C18F7">
          <w:rPr>
            <w:rStyle w:val="Hyperlink"/>
          </w:rPr>
          <w:t>http://meioambiente.am.gov.br/wp-content/uploads/2018/03/Lei-Estadual-4.266-PESA.pdf</w:t>
        </w:r>
      </w:hyperlink>
      <w:r>
        <w:t xml:space="preserve"> </w:t>
      </w:r>
    </w:p>
  </w:footnote>
  <w:footnote w:id="2">
    <w:p w14:paraId="062EFCAA" w14:textId="5A725569" w:rsidR="00EE45E2" w:rsidRDefault="00EE45E2">
      <w:pPr>
        <w:pStyle w:val="FootnoteText"/>
      </w:pPr>
      <w:r>
        <w:rPr>
          <w:rStyle w:val="FootnoteReference"/>
        </w:rPr>
        <w:footnoteRef/>
      </w:r>
      <w:r>
        <w:t xml:space="preserve"> </w:t>
      </w:r>
      <w:hyperlink r:id="rId2" w:history="1">
        <w:r w:rsidRPr="002C18F7">
          <w:rPr>
            <w:rStyle w:val="Hyperlink"/>
          </w:rPr>
          <w:t>http://meioambiente.am.gov.br/wp-content/uploads/2018/03/lista_municipios_prioritarios_AML_2017.pdf</w:t>
        </w:r>
      </w:hyperlink>
    </w:p>
  </w:footnote>
  <w:footnote w:id="3">
    <w:p w14:paraId="35FB9519" w14:textId="33AE7552" w:rsidR="00EE45E2" w:rsidRPr="00C35EAD" w:rsidRDefault="00EE45E2">
      <w:pPr>
        <w:pStyle w:val="FootnoteText"/>
        <w:rPr>
          <w:lang w:val="en-GB"/>
        </w:rPr>
      </w:pPr>
      <w:r>
        <w:rPr>
          <w:rStyle w:val="FootnoteReference"/>
        </w:rPr>
        <w:footnoteRef/>
      </w:r>
      <w:r w:rsidRPr="00C35EAD">
        <w:rPr>
          <w:lang w:val="en-GB"/>
        </w:rPr>
        <w:t xml:space="preserve"> </w:t>
      </w:r>
      <w:r>
        <w:rPr>
          <w:lang w:val="en-GB"/>
        </w:rPr>
        <w:t>An average of 90% of directed beneficiary is women. Men are directed beneficiaries in exceptions such as widowhood.</w:t>
      </w:r>
    </w:p>
  </w:footnote>
  <w:footnote w:id="4">
    <w:p w14:paraId="7BBDE11F" w14:textId="77777777" w:rsidR="00EE45E2" w:rsidRDefault="00EE45E2" w:rsidP="00AF04FB">
      <w:pPr>
        <w:pStyle w:val="FootnoteText"/>
        <w:rPr>
          <w:lang w:val="en-US"/>
        </w:rPr>
      </w:pPr>
      <w:r>
        <w:rPr>
          <w:rStyle w:val="FootnoteReference"/>
        </w:rPr>
        <w:footnoteRef/>
      </w:r>
      <w:r>
        <w:rPr>
          <w:lang w:val="en-US"/>
        </w:rPr>
        <w:t xml:space="preserve"> Monthly data updated in </w:t>
      </w:r>
      <w:hyperlink r:id="rId3" w:history="1">
        <w:r>
          <w:rPr>
            <w:rStyle w:val="Hyperlink"/>
            <w:lang w:val="en-US"/>
          </w:rPr>
          <w:t>http://fas-amazonas.org/transparencia</w:t>
        </w:r>
      </w:hyperlink>
      <w:r>
        <w:rPr>
          <w:lang w:val="en-US"/>
        </w:rPr>
        <w:t xml:space="preserve">. </w:t>
      </w:r>
    </w:p>
  </w:footnote>
  <w:footnote w:id="5">
    <w:p w14:paraId="4F4C476E" w14:textId="3E93ACE6" w:rsidR="00EE45E2" w:rsidRPr="00C35EAD" w:rsidRDefault="00EE45E2">
      <w:pPr>
        <w:pStyle w:val="FootnoteText"/>
        <w:rPr>
          <w:lang w:val="en-US"/>
        </w:rPr>
      </w:pPr>
      <w:r>
        <w:rPr>
          <w:rStyle w:val="FootnoteReference"/>
        </w:rPr>
        <w:footnoteRef/>
      </w:r>
      <w:r w:rsidRPr="00C35EAD">
        <w:rPr>
          <w:lang w:val="en-US"/>
        </w:rPr>
        <w:t xml:space="preserve"> </w:t>
      </w:r>
      <w:r>
        <w:rPr>
          <w:lang w:val="en-US"/>
        </w:rPr>
        <w:t>One of the first REDD+ certificate transaction made in the Amazon within a public-private arrangement.</w:t>
      </w:r>
    </w:p>
  </w:footnote>
  <w:footnote w:id="6">
    <w:p w14:paraId="2E64A3B6" w14:textId="77777777" w:rsidR="00EE45E2" w:rsidRPr="00330433" w:rsidRDefault="00EE45E2" w:rsidP="00330433">
      <w:pPr>
        <w:pStyle w:val="FootnoteText"/>
        <w:rPr>
          <w:lang w:val="en-US"/>
        </w:rPr>
      </w:pPr>
      <w:r>
        <w:rPr>
          <w:rStyle w:val="FootnoteReference"/>
        </w:rPr>
        <w:footnoteRef/>
      </w:r>
      <w:r w:rsidRPr="00330433">
        <w:rPr>
          <w:lang w:val="en-US"/>
        </w:rPr>
        <w:t xml:space="preserve"> </w:t>
      </w:r>
      <w:hyperlink r:id="rId4" w:history="1">
        <w:r w:rsidRPr="00330433">
          <w:rPr>
            <w:rStyle w:val="Hyperlink"/>
            <w:lang w:val="en-US"/>
          </w:rPr>
          <w:t>http://www.planalto.gov.br/ccivil_03/_ato2011-2014/2012/lei/L12651compilado.htm</w:t>
        </w:r>
      </w:hyperlink>
      <w:r w:rsidRPr="00330433">
        <w:rPr>
          <w:lang w:val="en-US"/>
        </w:rPr>
        <w:t xml:space="preserve">. </w:t>
      </w:r>
    </w:p>
  </w:footnote>
  <w:footnote w:id="7">
    <w:p w14:paraId="65E945B9" w14:textId="77777777" w:rsidR="00EE45E2" w:rsidRPr="00330433" w:rsidRDefault="00EE45E2" w:rsidP="00330433">
      <w:pPr>
        <w:pStyle w:val="FootnoteText"/>
        <w:rPr>
          <w:lang w:val="en-US"/>
        </w:rPr>
      </w:pPr>
      <w:r>
        <w:rPr>
          <w:rStyle w:val="FootnoteReference"/>
        </w:rPr>
        <w:footnoteRef/>
      </w:r>
      <w:r w:rsidRPr="00330433">
        <w:rPr>
          <w:lang w:val="en-US"/>
        </w:rPr>
        <w:t xml:space="preserve"> </w:t>
      </w:r>
      <w:hyperlink r:id="rId5" w:history="1">
        <w:r w:rsidRPr="00330433">
          <w:rPr>
            <w:rStyle w:val="Hyperlink"/>
            <w:lang w:val="en-US"/>
          </w:rPr>
          <w:t>http://www.planalto.gov.br/ccivil_03/_ato2007-2010/2009/lei/l12187.htm</w:t>
        </w:r>
      </w:hyperlink>
      <w:r w:rsidRPr="00330433">
        <w:rPr>
          <w:lang w:val="en-US"/>
        </w:rPr>
        <w:t xml:space="preserve">. </w:t>
      </w:r>
    </w:p>
  </w:footnote>
  <w:footnote w:id="8">
    <w:p w14:paraId="6B68805A" w14:textId="248F20A9" w:rsidR="00EE45E2" w:rsidRPr="00C35EAD" w:rsidRDefault="00EE45E2">
      <w:pPr>
        <w:pStyle w:val="FootnoteText"/>
        <w:rPr>
          <w:lang w:val="en-US"/>
        </w:rPr>
      </w:pPr>
      <w:r>
        <w:rPr>
          <w:rStyle w:val="FootnoteReference"/>
        </w:rPr>
        <w:footnoteRef/>
      </w:r>
      <w:r w:rsidRPr="00C35EAD">
        <w:rPr>
          <w:lang w:val="en-US"/>
        </w:rPr>
        <w:t xml:space="preserve"> </w:t>
      </w:r>
      <w:hyperlink r:id="rId6" w:history="1">
        <w:r w:rsidRPr="002B64DE">
          <w:rPr>
            <w:rStyle w:val="Hyperlink"/>
            <w:lang w:val="en-US"/>
          </w:rPr>
          <w:t>http://www.mma.gov.br/informma/item/616-preven%C3%A7%C3%A3o-e-controle-do-desmatamento-na-amaz%C3%B4nia</w:t>
        </w:r>
      </w:hyperlink>
      <w:r>
        <w:rPr>
          <w:lang w:val="en-US"/>
        </w:rPr>
        <w:t xml:space="preserve">. </w:t>
      </w:r>
    </w:p>
  </w:footnote>
  <w:footnote w:id="9">
    <w:p w14:paraId="4124A46C" w14:textId="77777777" w:rsidR="00EE45E2" w:rsidRPr="00330433" w:rsidRDefault="00EE45E2" w:rsidP="00330433">
      <w:pPr>
        <w:pStyle w:val="FootnoteText"/>
        <w:rPr>
          <w:lang w:val="en-US"/>
        </w:rPr>
      </w:pPr>
      <w:r>
        <w:rPr>
          <w:rStyle w:val="FootnoteReference"/>
        </w:rPr>
        <w:footnoteRef/>
      </w:r>
      <w:r w:rsidRPr="00330433">
        <w:rPr>
          <w:lang w:val="en-US"/>
        </w:rPr>
        <w:t xml:space="preserve"> </w:t>
      </w:r>
      <w:hyperlink r:id="rId7" w:history="1">
        <w:r w:rsidRPr="00330433">
          <w:rPr>
            <w:rStyle w:val="Hyperlink"/>
            <w:lang w:val="en-US"/>
          </w:rPr>
          <w:t>http://redd.mma.gov.br/pt/estrategia-nacional-para-redd</w:t>
        </w:r>
      </w:hyperlink>
      <w:r w:rsidRPr="00330433">
        <w:rPr>
          <w:lang w:val="en-US"/>
        </w:rPr>
        <w:t xml:space="preserve">. </w:t>
      </w:r>
    </w:p>
  </w:footnote>
  <w:footnote w:id="10">
    <w:p w14:paraId="006CE944" w14:textId="42EE59E3" w:rsidR="00EE45E2" w:rsidRPr="000C49CE" w:rsidRDefault="00EE45E2" w:rsidP="00334D29">
      <w:pPr>
        <w:pStyle w:val="FootnoteText"/>
        <w:rPr>
          <w:lang w:val="fr-FR"/>
        </w:rPr>
      </w:pPr>
      <w:r>
        <w:rPr>
          <w:rStyle w:val="FootnoteReference"/>
        </w:rPr>
        <w:footnoteRef/>
      </w:r>
      <w:r>
        <w:rPr>
          <w:lang w:val="en-US"/>
        </w:rPr>
        <w:t xml:space="preserve"> INPE, 2017. Annual rates of deforestation. </w:t>
      </w:r>
      <w:r w:rsidRPr="000C49CE">
        <w:rPr>
          <w:lang w:val="fr-FR"/>
        </w:rPr>
        <w:t>Available in</w:t>
      </w:r>
    </w:p>
    <w:p w14:paraId="6D3D7B9D" w14:textId="5AFA93DF" w:rsidR="00EE45E2" w:rsidRPr="000C49CE" w:rsidRDefault="009060CD" w:rsidP="00334D29">
      <w:pPr>
        <w:pStyle w:val="FootnoteText"/>
        <w:rPr>
          <w:lang w:val="fr-FR"/>
        </w:rPr>
      </w:pPr>
      <w:hyperlink r:id="rId8" w:history="1">
        <w:r w:rsidR="00EE45E2" w:rsidRPr="000C49CE">
          <w:rPr>
            <w:rStyle w:val="Hyperlink"/>
            <w:lang w:val="fr-FR"/>
          </w:rPr>
          <w:t>http://www.obt.inpe.br/OBT/assuntos/programas/amazonia/prodes</w:t>
        </w:r>
      </w:hyperlink>
      <w:r w:rsidR="00EE45E2" w:rsidRPr="000C49CE">
        <w:rPr>
          <w:lang w:val="fr-FR"/>
        </w:rPr>
        <w:t xml:space="preserve">  </w:t>
      </w:r>
    </w:p>
  </w:footnote>
  <w:footnote w:id="11">
    <w:p w14:paraId="47338C9B" w14:textId="7493DFC3" w:rsidR="00EE45E2" w:rsidRPr="00536DA9" w:rsidRDefault="00EE45E2">
      <w:pPr>
        <w:pStyle w:val="FootnoteText"/>
        <w:rPr>
          <w:lang w:val="en-GB"/>
        </w:rPr>
      </w:pPr>
      <w:r>
        <w:rPr>
          <w:rStyle w:val="FootnoteReference"/>
        </w:rPr>
        <w:footnoteRef/>
      </w:r>
      <w:r w:rsidRPr="00536DA9">
        <w:rPr>
          <w:lang w:val="en-GB"/>
        </w:rPr>
        <w:t xml:space="preserve"> </w:t>
      </w:r>
      <w:r>
        <w:rPr>
          <w:lang w:val="en-GB"/>
        </w:rPr>
        <w:t xml:space="preserve">Free, Prior and Informed Consent is an approach of engagement widely applied in REDD+ programmes and projects that secures the proper participation of locals and key stakeholders within the decision-making process. See more at </w:t>
      </w:r>
      <w:hyperlink r:id="rId9" w:history="1">
        <w:r w:rsidRPr="00587317">
          <w:rPr>
            <w:rStyle w:val="Hyperlink"/>
            <w:lang w:val="en-GB"/>
          </w:rPr>
          <w:t>https://www.uncclearn.org/sites/default/files/inventory/un-redd05.pdf</w:t>
        </w:r>
      </w:hyperlink>
      <w:r>
        <w:rPr>
          <w:lang w:val="en-GB"/>
        </w:rPr>
        <w:t xml:space="preserve"> </w:t>
      </w:r>
    </w:p>
  </w:footnote>
  <w:footnote w:id="12">
    <w:p w14:paraId="395F3C63" w14:textId="14AAEFEE" w:rsidR="00EE45E2" w:rsidRPr="00536DA9" w:rsidRDefault="00EE45E2">
      <w:pPr>
        <w:pStyle w:val="FootnoteText"/>
        <w:rPr>
          <w:lang w:val="en-GB"/>
        </w:rPr>
      </w:pPr>
      <w:r>
        <w:rPr>
          <w:rStyle w:val="FootnoteReference"/>
        </w:rPr>
        <w:footnoteRef/>
      </w:r>
      <w:r w:rsidRPr="00536DA9">
        <w:rPr>
          <w:lang w:val="en-GB"/>
        </w:rPr>
        <w:t xml:space="preserve"> </w:t>
      </w:r>
      <w:r>
        <w:rPr>
          <w:lang w:val="en-GB"/>
        </w:rPr>
        <w:t xml:space="preserve">See more at </w:t>
      </w:r>
      <w:hyperlink r:id="rId10" w:history="1">
        <w:r w:rsidRPr="00587317">
          <w:rPr>
            <w:rStyle w:val="Hyperlink"/>
            <w:lang w:val="en-GB"/>
          </w:rPr>
          <w:t>https://www.un.org/sustainabledevelopment/sustainable-development-goals/</w:t>
        </w:r>
      </w:hyperlink>
      <w:r>
        <w:rPr>
          <w:lang w:val="en-GB"/>
        </w:rPr>
        <w:t xml:space="preserve"> </w:t>
      </w:r>
    </w:p>
  </w:footnote>
  <w:footnote w:id="13">
    <w:p w14:paraId="6909C8C8" w14:textId="00B699DA" w:rsidR="00EE45E2" w:rsidRPr="00536DA9" w:rsidRDefault="00EE45E2">
      <w:pPr>
        <w:pStyle w:val="FootnoteText"/>
        <w:rPr>
          <w:lang w:val="en-GB"/>
        </w:rPr>
      </w:pPr>
      <w:r>
        <w:rPr>
          <w:rStyle w:val="FootnoteReference"/>
        </w:rPr>
        <w:footnoteRef/>
      </w:r>
      <w:r w:rsidRPr="00536DA9">
        <w:rPr>
          <w:lang w:val="en-GB"/>
        </w:rPr>
        <w:t xml:space="preserve"> See more at </w:t>
      </w:r>
      <w:hyperlink r:id="rId11" w:history="1">
        <w:r w:rsidRPr="00536DA9">
          <w:rPr>
            <w:rStyle w:val="Hyperlink"/>
            <w:lang w:val="en-GB"/>
          </w:rPr>
          <w:t>https://www.cbd.int/sp/targets/</w:t>
        </w:r>
      </w:hyperlink>
      <w:r>
        <w:rPr>
          <w:lang w:val="en-GB"/>
        </w:rPr>
        <w:t xml:space="preserve"> </w:t>
      </w:r>
    </w:p>
  </w:footnote>
  <w:footnote w:id="14">
    <w:p w14:paraId="3B81DFC2" w14:textId="77777777" w:rsidR="00EE45E2" w:rsidRPr="00DC4015" w:rsidRDefault="00EE45E2" w:rsidP="008E496D">
      <w:pPr>
        <w:pStyle w:val="FootnoteText"/>
        <w:rPr>
          <w:lang w:val="en-GB"/>
        </w:rPr>
      </w:pPr>
      <w:r>
        <w:rPr>
          <w:rStyle w:val="FootnoteReference"/>
        </w:rPr>
        <w:footnoteRef/>
      </w:r>
      <w:r w:rsidRPr="00DC4015">
        <w:rPr>
          <w:lang w:val="en-GB"/>
        </w:rPr>
        <w:t xml:space="preserve"> More </w:t>
      </w:r>
      <w:r>
        <w:rPr>
          <w:lang w:val="en-GB"/>
        </w:rPr>
        <w:t>at</w:t>
      </w:r>
      <w:r w:rsidRPr="00DC4015">
        <w:rPr>
          <w:lang w:val="en-GB"/>
        </w:rPr>
        <w:t xml:space="preserve"> </w:t>
      </w:r>
      <w:hyperlink r:id="rId12" w:history="1">
        <w:r w:rsidRPr="004B5FBD">
          <w:rPr>
            <w:rStyle w:val="Hyperlink"/>
            <w:lang w:val="en-GB"/>
          </w:rPr>
          <w:t>http://fas-amazonas.org/2016/11/avancos-e-desafios-do-programa-bolsa-floresta-sao-tema-de-seminario-em-manaus/</w:t>
        </w:r>
      </w:hyperlink>
      <w:r w:rsidRPr="00DC4015">
        <w:rPr>
          <w:lang w:val="en-GB"/>
        </w:rPr>
        <w:t>.</w:t>
      </w:r>
      <w:r>
        <w:rPr>
          <w:lang w:val="en-GB"/>
        </w:rPr>
        <w:t xml:space="preserve"> </w:t>
      </w:r>
    </w:p>
  </w:footnote>
  <w:footnote w:id="15">
    <w:p w14:paraId="68B1337E" w14:textId="1FCE0FA5" w:rsidR="00EE45E2" w:rsidRPr="00C35EAD" w:rsidRDefault="00EE45E2">
      <w:pPr>
        <w:pStyle w:val="FootnoteText"/>
        <w:rPr>
          <w:lang w:val="en-GB"/>
        </w:rPr>
      </w:pPr>
      <w:r>
        <w:rPr>
          <w:rStyle w:val="FootnoteReference"/>
        </w:rPr>
        <w:footnoteRef/>
      </w:r>
      <w:r w:rsidRPr="00C35EAD">
        <w:rPr>
          <w:lang w:val="en-GB"/>
        </w:rPr>
        <w:t xml:space="preserve"> </w:t>
      </w:r>
      <w:r>
        <w:rPr>
          <w:lang w:val="en-GB"/>
        </w:rPr>
        <w:t>It is important to highlight that FAS fosters the women qualified participation within these Meetings. An average of 30% of the participants is women (considering twenty meetings since 2010).</w:t>
      </w:r>
    </w:p>
  </w:footnote>
  <w:footnote w:id="16">
    <w:p w14:paraId="54BD8900" w14:textId="06B3D779" w:rsidR="00EE45E2" w:rsidRPr="007B13B0" w:rsidRDefault="00EE45E2">
      <w:pPr>
        <w:pStyle w:val="FootnoteText"/>
        <w:rPr>
          <w:lang w:val="en-GB"/>
        </w:rPr>
      </w:pPr>
      <w:r>
        <w:rPr>
          <w:rStyle w:val="FootnoteReference"/>
        </w:rPr>
        <w:footnoteRef/>
      </w:r>
      <w:r w:rsidRPr="007B13B0">
        <w:rPr>
          <w:lang w:val="en-GB"/>
        </w:rPr>
        <w:t xml:space="preserve"> </w:t>
      </w:r>
      <w:r>
        <w:rPr>
          <w:lang w:val="en-GB"/>
        </w:rPr>
        <w:t xml:space="preserve">More at </w:t>
      </w:r>
      <w:hyperlink r:id="rId13" w:history="1">
        <w:r w:rsidRPr="00E84430">
          <w:rPr>
            <w:rStyle w:val="Hyperlink"/>
            <w:lang w:val="en-GB"/>
          </w:rPr>
          <w:t>http://www.undp.org/content/undp/en/home/librarypage/operations1/undp-social-and-environmental-standards/</w:t>
        </w:r>
      </w:hyperlink>
      <w:r>
        <w:rPr>
          <w:lang w:val="en-GB"/>
        </w:rPr>
        <w:t xml:space="preserve">. </w:t>
      </w:r>
    </w:p>
  </w:footnote>
  <w:footnote w:id="17">
    <w:p w14:paraId="5797B8CE" w14:textId="1A0D47CA" w:rsidR="00EE45E2" w:rsidRPr="00C35EAD" w:rsidRDefault="00EE45E2">
      <w:pPr>
        <w:pStyle w:val="FootnoteText"/>
        <w:rPr>
          <w:lang w:val="en-GB"/>
        </w:rPr>
      </w:pPr>
      <w:r>
        <w:rPr>
          <w:rStyle w:val="FootnoteReference"/>
        </w:rPr>
        <w:footnoteRef/>
      </w:r>
      <w:r w:rsidRPr="00C35EAD">
        <w:rPr>
          <w:lang w:val="en-GB"/>
        </w:rPr>
        <w:t xml:space="preserve"> </w:t>
      </w:r>
      <w:r>
        <w:rPr>
          <w:lang w:val="en-GB"/>
        </w:rPr>
        <w:t>It is worth to mention that all outputs interacts and supports both impacts. Therefore, here it is highlight the most related impact.</w:t>
      </w:r>
    </w:p>
  </w:footnote>
  <w:footnote w:id="18">
    <w:p w14:paraId="3B930587" w14:textId="39FF91DC" w:rsidR="00EE45E2" w:rsidRPr="00234A4E" w:rsidRDefault="00EE45E2">
      <w:pPr>
        <w:pStyle w:val="FootnoteText"/>
        <w:rPr>
          <w:lang w:val="en-GB"/>
        </w:rPr>
      </w:pPr>
      <w:r>
        <w:rPr>
          <w:rStyle w:val="FootnoteReference"/>
        </w:rPr>
        <w:footnoteRef/>
      </w:r>
      <w:r w:rsidRPr="00234A4E">
        <w:rPr>
          <w:lang w:val="en-GB"/>
        </w:rPr>
        <w:t xml:space="preserve"> </w:t>
      </w:r>
      <w:r>
        <w:rPr>
          <w:lang w:val="en-GB"/>
        </w:rPr>
        <w:t>Project’s partners will seek for new opportunities, aligned with LSA, and within the State strategy on forest conservation and local sustainable development.</w:t>
      </w:r>
    </w:p>
  </w:footnote>
  <w:footnote w:id="19">
    <w:p w14:paraId="16E3E9E7" w14:textId="72EA4A6C" w:rsidR="00EE45E2" w:rsidRPr="001E746C" w:rsidRDefault="00EE45E2" w:rsidP="001E746C">
      <w:pPr>
        <w:pStyle w:val="FootnoteText"/>
        <w:rPr>
          <w:lang w:val="en-GB"/>
        </w:rPr>
      </w:pPr>
      <w:r>
        <w:rPr>
          <w:rStyle w:val="FootnoteReference"/>
        </w:rPr>
        <w:footnoteRef/>
      </w:r>
      <w:r w:rsidRPr="001E746C">
        <w:rPr>
          <w:lang w:val="en-GB"/>
        </w:rPr>
        <w:t xml:space="preserve"> It is also important to mention </w:t>
      </w:r>
      <w:r>
        <w:rPr>
          <w:lang w:val="en-GB"/>
        </w:rPr>
        <w:t>“The Business Case for Mainstreaming Gender in REDD+”</w:t>
      </w:r>
    </w:p>
  </w:footnote>
  <w:footnote w:id="20">
    <w:p w14:paraId="39216FE2" w14:textId="7A8F23F2" w:rsidR="00EE45E2" w:rsidRPr="00C35EAD" w:rsidRDefault="00EE45E2">
      <w:pPr>
        <w:pStyle w:val="FootnoteText"/>
        <w:rPr>
          <w:lang w:val="en-GB"/>
        </w:rPr>
      </w:pPr>
      <w:r>
        <w:rPr>
          <w:rStyle w:val="FootnoteReference"/>
        </w:rPr>
        <w:footnoteRef/>
      </w:r>
      <w:r w:rsidRPr="00C35EAD">
        <w:rPr>
          <w:lang w:val="en-GB"/>
        </w:rPr>
        <w:t xml:space="preserve"> The core team of SEMA-AM is engaged with this project and it has been working for more than five years.</w:t>
      </w:r>
    </w:p>
  </w:footnote>
  <w:footnote w:id="21">
    <w:p w14:paraId="5F09F90D" w14:textId="46FCE570" w:rsidR="00EE45E2" w:rsidRPr="00C35EAD" w:rsidRDefault="00EE45E2">
      <w:pPr>
        <w:pStyle w:val="FootnoteText"/>
        <w:rPr>
          <w:lang w:val="en-GB"/>
        </w:rPr>
      </w:pPr>
      <w:r>
        <w:rPr>
          <w:rStyle w:val="FootnoteReference"/>
        </w:rPr>
        <w:footnoteRef/>
      </w:r>
      <w:r w:rsidRPr="00C35EAD">
        <w:rPr>
          <w:lang w:val="en-GB"/>
        </w:rPr>
        <w:t xml:space="preserve"> This will be done following internal </w:t>
      </w:r>
      <w:r>
        <w:rPr>
          <w:lang w:val="en-GB"/>
        </w:rPr>
        <w:t>regulation and will enhanced by the State Secretary, who heads the Council, with the support with the gender specialist.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0C4"/>
    <w:multiLevelType w:val="hybridMultilevel"/>
    <w:tmpl w:val="8A1CD1F6"/>
    <w:lvl w:ilvl="0" w:tplc="0416001B">
      <w:start w:val="1"/>
      <w:numFmt w:val="lowerRoman"/>
      <w:lvlText w:val="%1."/>
      <w:lvlJc w:val="right"/>
      <w:pPr>
        <w:ind w:left="510" w:hanging="360"/>
      </w:pPr>
      <w:rPr>
        <w:rFonts w:hint="default"/>
        <w:b w:val="0"/>
      </w:rPr>
    </w:lvl>
    <w:lvl w:ilvl="1" w:tplc="04160019" w:tentative="1">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1" w15:restartNumberingAfterBreak="0">
    <w:nsid w:val="08183457"/>
    <w:multiLevelType w:val="hybridMultilevel"/>
    <w:tmpl w:val="0D9A2E70"/>
    <w:lvl w:ilvl="0" w:tplc="0416001B">
      <w:start w:val="1"/>
      <w:numFmt w:val="lowerRoman"/>
      <w:lvlText w:val="%1."/>
      <w:lvlJc w:val="right"/>
      <w:pPr>
        <w:ind w:left="721" w:hanging="360"/>
      </w:pPr>
      <w:rPr>
        <w:rFonts w:hint="default"/>
      </w:r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2" w15:restartNumberingAfterBreak="0">
    <w:nsid w:val="092157DC"/>
    <w:multiLevelType w:val="multilevel"/>
    <w:tmpl w:val="092157DC"/>
    <w:lvl w:ilvl="0">
      <w:start w:val="1"/>
      <w:numFmt w:val="decimal"/>
      <w:lvlText w:val="%1."/>
      <w:lvlJc w:val="left"/>
      <w:pPr>
        <w:ind w:left="720" w:firstLine="1080"/>
      </w:pPr>
      <w:rPr>
        <w:rFonts w:ascii="Calibri" w:eastAsia="Calibri" w:hAnsi="Calibri" w:cs="Calibri"/>
        <w:b w:val="0"/>
        <w:color w:val="17553D"/>
        <w:sz w:val="28"/>
        <w:szCs w:val="28"/>
      </w:rPr>
    </w:lvl>
    <w:lvl w:ilvl="1">
      <w:start w:val="1"/>
      <w:numFmt w:val="decimal"/>
      <w:lvlText w:val="%1.%2"/>
      <w:lvlJc w:val="left"/>
      <w:pPr>
        <w:ind w:left="720" w:firstLine="1080"/>
      </w:pPr>
    </w:lvl>
    <w:lvl w:ilvl="2">
      <w:start w:val="1"/>
      <w:numFmt w:val="decimal"/>
      <w:lvlText w:val="%1.%2.%3"/>
      <w:lvlJc w:val="left"/>
      <w:pPr>
        <w:ind w:left="1080" w:firstLine="1440"/>
      </w:pPr>
    </w:lvl>
    <w:lvl w:ilvl="3">
      <w:start w:val="1"/>
      <w:numFmt w:val="decimal"/>
      <w:lvlText w:val="%1.%2.%3.%4"/>
      <w:lvlJc w:val="left"/>
      <w:pPr>
        <w:ind w:left="1080" w:firstLine="1440"/>
      </w:pPr>
    </w:lvl>
    <w:lvl w:ilvl="4">
      <w:start w:val="1"/>
      <w:numFmt w:val="decimal"/>
      <w:lvlText w:val="%1.%2.%3.%4.%5"/>
      <w:lvlJc w:val="left"/>
      <w:pPr>
        <w:ind w:left="1440" w:firstLine="1800"/>
      </w:pPr>
    </w:lvl>
    <w:lvl w:ilvl="5">
      <w:start w:val="1"/>
      <w:numFmt w:val="decimal"/>
      <w:lvlText w:val="%1.%2.%3.%4.%5.%6"/>
      <w:lvlJc w:val="left"/>
      <w:pPr>
        <w:ind w:left="1440" w:firstLine="1800"/>
      </w:pPr>
    </w:lvl>
    <w:lvl w:ilvl="6">
      <w:start w:val="1"/>
      <w:numFmt w:val="decimal"/>
      <w:lvlText w:val="%1.%2.%3.%4.%5.%6.%7"/>
      <w:lvlJc w:val="left"/>
      <w:pPr>
        <w:ind w:left="1800" w:firstLine="2160"/>
      </w:pPr>
    </w:lvl>
    <w:lvl w:ilvl="7">
      <w:start w:val="1"/>
      <w:numFmt w:val="decimal"/>
      <w:lvlText w:val="%1.%2.%3.%4.%5.%6.%7.%8"/>
      <w:lvlJc w:val="left"/>
      <w:pPr>
        <w:ind w:left="1800" w:firstLine="2160"/>
      </w:pPr>
    </w:lvl>
    <w:lvl w:ilvl="8">
      <w:start w:val="1"/>
      <w:numFmt w:val="decimal"/>
      <w:lvlText w:val="%1.%2.%3.%4.%5.%6.%7.%8.%9"/>
      <w:lvlJc w:val="left"/>
      <w:pPr>
        <w:ind w:left="1800" w:firstLine="2160"/>
      </w:pPr>
    </w:lvl>
  </w:abstractNum>
  <w:abstractNum w:abstractNumId="3" w15:restartNumberingAfterBreak="0">
    <w:nsid w:val="16C11958"/>
    <w:multiLevelType w:val="hybridMultilevel"/>
    <w:tmpl w:val="F4E234D6"/>
    <w:lvl w:ilvl="0" w:tplc="0416001B">
      <w:start w:val="1"/>
      <w:numFmt w:val="lowerRoman"/>
      <w:lvlText w:val="%1."/>
      <w:lvlJc w:val="right"/>
      <w:pPr>
        <w:ind w:left="721" w:hanging="360"/>
      </w:pPr>
      <w:rPr>
        <w:rFonts w:hint="default"/>
      </w:r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4" w15:restartNumberingAfterBreak="0">
    <w:nsid w:val="1A612AA7"/>
    <w:multiLevelType w:val="multilevel"/>
    <w:tmpl w:val="1A612AA7"/>
    <w:lvl w:ilvl="0">
      <w:start w:val="1"/>
      <w:numFmt w:val="lowerRoman"/>
      <w:lvlText w:val="%1."/>
      <w:lvlJc w:val="left"/>
      <w:pPr>
        <w:ind w:left="1440" w:hanging="720"/>
      </w:pPr>
      <w:rPr>
        <w:rFonts w:eastAsia="Times New Roman" w:cs="Times New Roman" w:hint="default"/>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BE60BD4"/>
    <w:multiLevelType w:val="hybridMultilevel"/>
    <w:tmpl w:val="8A880288"/>
    <w:lvl w:ilvl="0" w:tplc="6FB278EC">
      <w:start w:val="1"/>
      <w:numFmt w:val="lowerLetter"/>
      <w:lvlText w:val="%1."/>
      <w:lvlJc w:val="left"/>
      <w:pPr>
        <w:ind w:left="316" w:hanging="360"/>
      </w:pPr>
      <w:rPr>
        <w:rFonts w:hint="default"/>
      </w:rPr>
    </w:lvl>
    <w:lvl w:ilvl="1" w:tplc="04160019" w:tentative="1">
      <w:start w:val="1"/>
      <w:numFmt w:val="lowerLetter"/>
      <w:lvlText w:val="%2."/>
      <w:lvlJc w:val="left"/>
      <w:pPr>
        <w:ind w:left="1036" w:hanging="360"/>
      </w:pPr>
    </w:lvl>
    <w:lvl w:ilvl="2" w:tplc="0416001B" w:tentative="1">
      <w:start w:val="1"/>
      <w:numFmt w:val="lowerRoman"/>
      <w:lvlText w:val="%3."/>
      <w:lvlJc w:val="right"/>
      <w:pPr>
        <w:ind w:left="1756" w:hanging="180"/>
      </w:pPr>
    </w:lvl>
    <w:lvl w:ilvl="3" w:tplc="0416000F" w:tentative="1">
      <w:start w:val="1"/>
      <w:numFmt w:val="decimal"/>
      <w:lvlText w:val="%4."/>
      <w:lvlJc w:val="left"/>
      <w:pPr>
        <w:ind w:left="2476" w:hanging="360"/>
      </w:pPr>
    </w:lvl>
    <w:lvl w:ilvl="4" w:tplc="04160019" w:tentative="1">
      <w:start w:val="1"/>
      <w:numFmt w:val="lowerLetter"/>
      <w:lvlText w:val="%5."/>
      <w:lvlJc w:val="left"/>
      <w:pPr>
        <w:ind w:left="3196" w:hanging="360"/>
      </w:pPr>
    </w:lvl>
    <w:lvl w:ilvl="5" w:tplc="0416001B" w:tentative="1">
      <w:start w:val="1"/>
      <w:numFmt w:val="lowerRoman"/>
      <w:lvlText w:val="%6."/>
      <w:lvlJc w:val="right"/>
      <w:pPr>
        <w:ind w:left="3916" w:hanging="180"/>
      </w:pPr>
    </w:lvl>
    <w:lvl w:ilvl="6" w:tplc="0416000F" w:tentative="1">
      <w:start w:val="1"/>
      <w:numFmt w:val="decimal"/>
      <w:lvlText w:val="%7."/>
      <w:lvlJc w:val="left"/>
      <w:pPr>
        <w:ind w:left="4636" w:hanging="360"/>
      </w:pPr>
    </w:lvl>
    <w:lvl w:ilvl="7" w:tplc="04160019" w:tentative="1">
      <w:start w:val="1"/>
      <w:numFmt w:val="lowerLetter"/>
      <w:lvlText w:val="%8."/>
      <w:lvlJc w:val="left"/>
      <w:pPr>
        <w:ind w:left="5356" w:hanging="360"/>
      </w:pPr>
    </w:lvl>
    <w:lvl w:ilvl="8" w:tplc="0416001B" w:tentative="1">
      <w:start w:val="1"/>
      <w:numFmt w:val="lowerRoman"/>
      <w:lvlText w:val="%9."/>
      <w:lvlJc w:val="right"/>
      <w:pPr>
        <w:ind w:left="6076" w:hanging="180"/>
      </w:pPr>
    </w:lvl>
  </w:abstractNum>
  <w:abstractNum w:abstractNumId="6" w15:restartNumberingAfterBreak="0">
    <w:nsid w:val="381836A4"/>
    <w:multiLevelType w:val="hybridMultilevel"/>
    <w:tmpl w:val="5C56D7A4"/>
    <w:lvl w:ilvl="0" w:tplc="E9E45820">
      <w:start w:val="1"/>
      <w:numFmt w:val="lowerLetter"/>
      <w:lvlText w:val="%1."/>
      <w:lvlJc w:val="left"/>
      <w:pPr>
        <w:ind w:left="316" w:hanging="360"/>
      </w:pPr>
      <w:rPr>
        <w:rFonts w:hint="default"/>
      </w:rPr>
    </w:lvl>
    <w:lvl w:ilvl="1" w:tplc="04160019" w:tentative="1">
      <w:start w:val="1"/>
      <w:numFmt w:val="lowerLetter"/>
      <w:lvlText w:val="%2."/>
      <w:lvlJc w:val="left"/>
      <w:pPr>
        <w:ind w:left="1036" w:hanging="360"/>
      </w:pPr>
    </w:lvl>
    <w:lvl w:ilvl="2" w:tplc="0416001B" w:tentative="1">
      <w:start w:val="1"/>
      <w:numFmt w:val="lowerRoman"/>
      <w:lvlText w:val="%3."/>
      <w:lvlJc w:val="right"/>
      <w:pPr>
        <w:ind w:left="1756" w:hanging="180"/>
      </w:pPr>
    </w:lvl>
    <w:lvl w:ilvl="3" w:tplc="0416000F" w:tentative="1">
      <w:start w:val="1"/>
      <w:numFmt w:val="decimal"/>
      <w:lvlText w:val="%4."/>
      <w:lvlJc w:val="left"/>
      <w:pPr>
        <w:ind w:left="2476" w:hanging="360"/>
      </w:pPr>
    </w:lvl>
    <w:lvl w:ilvl="4" w:tplc="04160019" w:tentative="1">
      <w:start w:val="1"/>
      <w:numFmt w:val="lowerLetter"/>
      <w:lvlText w:val="%5."/>
      <w:lvlJc w:val="left"/>
      <w:pPr>
        <w:ind w:left="3196" w:hanging="360"/>
      </w:pPr>
    </w:lvl>
    <w:lvl w:ilvl="5" w:tplc="0416001B" w:tentative="1">
      <w:start w:val="1"/>
      <w:numFmt w:val="lowerRoman"/>
      <w:lvlText w:val="%6."/>
      <w:lvlJc w:val="right"/>
      <w:pPr>
        <w:ind w:left="3916" w:hanging="180"/>
      </w:pPr>
    </w:lvl>
    <w:lvl w:ilvl="6" w:tplc="0416000F" w:tentative="1">
      <w:start w:val="1"/>
      <w:numFmt w:val="decimal"/>
      <w:lvlText w:val="%7."/>
      <w:lvlJc w:val="left"/>
      <w:pPr>
        <w:ind w:left="4636" w:hanging="360"/>
      </w:pPr>
    </w:lvl>
    <w:lvl w:ilvl="7" w:tplc="04160019" w:tentative="1">
      <w:start w:val="1"/>
      <w:numFmt w:val="lowerLetter"/>
      <w:lvlText w:val="%8."/>
      <w:lvlJc w:val="left"/>
      <w:pPr>
        <w:ind w:left="5356" w:hanging="360"/>
      </w:pPr>
    </w:lvl>
    <w:lvl w:ilvl="8" w:tplc="0416001B" w:tentative="1">
      <w:start w:val="1"/>
      <w:numFmt w:val="lowerRoman"/>
      <w:lvlText w:val="%9."/>
      <w:lvlJc w:val="right"/>
      <w:pPr>
        <w:ind w:left="6076" w:hanging="180"/>
      </w:pPr>
    </w:lvl>
  </w:abstractNum>
  <w:abstractNum w:abstractNumId="7" w15:restartNumberingAfterBreak="0">
    <w:nsid w:val="3D936E28"/>
    <w:multiLevelType w:val="hybridMultilevel"/>
    <w:tmpl w:val="B8C88840"/>
    <w:lvl w:ilvl="0" w:tplc="3448402E">
      <w:start w:val="1"/>
      <w:numFmt w:val="lowerLetter"/>
      <w:lvlText w:val="%1."/>
      <w:lvlJc w:val="left"/>
      <w:pPr>
        <w:ind w:left="316" w:hanging="360"/>
      </w:pPr>
      <w:rPr>
        <w:rFonts w:hint="default"/>
      </w:rPr>
    </w:lvl>
    <w:lvl w:ilvl="1" w:tplc="04160019" w:tentative="1">
      <w:start w:val="1"/>
      <w:numFmt w:val="lowerLetter"/>
      <w:lvlText w:val="%2."/>
      <w:lvlJc w:val="left"/>
      <w:pPr>
        <w:ind w:left="1036" w:hanging="360"/>
      </w:pPr>
    </w:lvl>
    <w:lvl w:ilvl="2" w:tplc="0416001B" w:tentative="1">
      <w:start w:val="1"/>
      <w:numFmt w:val="lowerRoman"/>
      <w:lvlText w:val="%3."/>
      <w:lvlJc w:val="right"/>
      <w:pPr>
        <w:ind w:left="1756" w:hanging="180"/>
      </w:pPr>
    </w:lvl>
    <w:lvl w:ilvl="3" w:tplc="0416000F" w:tentative="1">
      <w:start w:val="1"/>
      <w:numFmt w:val="decimal"/>
      <w:lvlText w:val="%4."/>
      <w:lvlJc w:val="left"/>
      <w:pPr>
        <w:ind w:left="2476" w:hanging="360"/>
      </w:pPr>
    </w:lvl>
    <w:lvl w:ilvl="4" w:tplc="04160019" w:tentative="1">
      <w:start w:val="1"/>
      <w:numFmt w:val="lowerLetter"/>
      <w:lvlText w:val="%5."/>
      <w:lvlJc w:val="left"/>
      <w:pPr>
        <w:ind w:left="3196" w:hanging="360"/>
      </w:pPr>
    </w:lvl>
    <w:lvl w:ilvl="5" w:tplc="0416001B" w:tentative="1">
      <w:start w:val="1"/>
      <w:numFmt w:val="lowerRoman"/>
      <w:lvlText w:val="%6."/>
      <w:lvlJc w:val="right"/>
      <w:pPr>
        <w:ind w:left="3916" w:hanging="180"/>
      </w:pPr>
    </w:lvl>
    <w:lvl w:ilvl="6" w:tplc="0416000F" w:tentative="1">
      <w:start w:val="1"/>
      <w:numFmt w:val="decimal"/>
      <w:lvlText w:val="%7."/>
      <w:lvlJc w:val="left"/>
      <w:pPr>
        <w:ind w:left="4636" w:hanging="360"/>
      </w:pPr>
    </w:lvl>
    <w:lvl w:ilvl="7" w:tplc="04160019" w:tentative="1">
      <w:start w:val="1"/>
      <w:numFmt w:val="lowerLetter"/>
      <w:lvlText w:val="%8."/>
      <w:lvlJc w:val="left"/>
      <w:pPr>
        <w:ind w:left="5356" w:hanging="360"/>
      </w:pPr>
    </w:lvl>
    <w:lvl w:ilvl="8" w:tplc="0416001B" w:tentative="1">
      <w:start w:val="1"/>
      <w:numFmt w:val="lowerRoman"/>
      <w:lvlText w:val="%9."/>
      <w:lvlJc w:val="right"/>
      <w:pPr>
        <w:ind w:left="6076" w:hanging="180"/>
      </w:pPr>
    </w:lvl>
  </w:abstractNum>
  <w:abstractNum w:abstractNumId="8" w15:restartNumberingAfterBreak="0">
    <w:nsid w:val="3FE629ED"/>
    <w:multiLevelType w:val="hybridMultilevel"/>
    <w:tmpl w:val="3A3A12F4"/>
    <w:lvl w:ilvl="0" w:tplc="0416001B">
      <w:start w:val="1"/>
      <w:numFmt w:val="lowerRoman"/>
      <w:lvlText w:val="%1."/>
      <w:lvlJc w:val="right"/>
      <w:pPr>
        <w:ind w:left="721" w:hanging="360"/>
      </w:pPr>
      <w:rPr>
        <w:rFonts w:hint="default"/>
      </w:r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9" w15:restartNumberingAfterBreak="0">
    <w:nsid w:val="462A7509"/>
    <w:multiLevelType w:val="hybridMultilevel"/>
    <w:tmpl w:val="FAC4D8AE"/>
    <w:lvl w:ilvl="0" w:tplc="0416001B">
      <w:start w:val="1"/>
      <w:numFmt w:val="lowerRoman"/>
      <w:lvlText w:val="%1."/>
      <w:lvlJc w:val="right"/>
      <w:pPr>
        <w:ind w:left="721" w:hanging="360"/>
      </w:pPr>
      <w:rPr>
        <w:rFonts w:hint="default"/>
      </w:r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10" w15:restartNumberingAfterBreak="0">
    <w:nsid w:val="4EE61653"/>
    <w:multiLevelType w:val="hybridMultilevel"/>
    <w:tmpl w:val="E0FC9F10"/>
    <w:lvl w:ilvl="0" w:tplc="01685E88">
      <w:start w:val="1"/>
      <w:numFmt w:val="lowerLetter"/>
      <w:lvlText w:val="%1."/>
      <w:lvlJc w:val="left"/>
      <w:pPr>
        <w:ind w:left="316" w:hanging="360"/>
      </w:pPr>
      <w:rPr>
        <w:rFonts w:hint="default"/>
      </w:rPr>
    </w:lvl>
    <w:lvl w:ilvl="1" w:tplc="04160019" w:tentative="1">
      <w:start w:val="1"/>
      <w:numFmt w:val="lowerLetter"/>
      <w:lvlText w:val="%2."/>
      <w:lvlJc w:val="left"/>
      <w:pPr>
        <w:ind w:left="1036" w:hanging="360"/>
      </w:pPr>
    </w:lvl>
    <w:lvl w:ilvl="2" w:tplc="0416001B" w:tentative="1">
      <w:start w:val="1"/>
      <w:numFmt w:val="lowerRoman"/>
      <w:lvlText w:val="%3."/>
      <w:lvlJc w:val="right"/>
      <w:pPr>
        <w:ind w:left="1756" w:hanging="180"/>
      </w:pPr>
    </w:lvl>
    <w:lvl w:ilvl="3" w:tplc="0416000F" w:tentative="1">
      <w:start w:val="1"/>
      <w:numFmt w:val="decimal"/>
      <w:lvlText w:val="%4."/>
      <w:lvlJc w:val="left"/>
      <w:pPr>
        <w:ind w:left="2476" w:hanging="360"/>
      </w:pPr>
    </w:lvl>
    <w:lvl w:ilvl="4" w:tplc="04160019" w:tentative="1">
      <w:start w:val="1"/>
      <w:numFmt w:val="lowerLetter"/>
      <w:lvlText w:val="%5."/>
      <w:lvlJc w:val="left"/>
      <w:pPr>
        <w:ind w:left="3196" w:hanging="360"/>
      </w:pPr>
    </w:lvl>
    <w:lvl w:ilvl="5" w:tplc="0416001B" w:tentative="1">
      <w:start w:val="1"/>
      <w:numFmt w:val="lowerRoman"/>
      <w:lvlText w:val="%6."/>
      <w:lvlJc w:val="right"/>
      <w:pPr>
        <w:ind w:left="3916" w:hanging="180"/>
      </w:pPr>
    </w:lvl>
    <w:lvl w:ilvl="6" w:tplc="0416000F" w:tentative="1">
      <w:start w:val="1"/>
      <w:numFmt w:val="decimal"/>
      <w:lvlText w:val="%7."/>
      <w:lvlJc w:val="left"/>
      <w:pPr>
        <w:ind w:left="4636" w:hanging="360"/>
      </w:pPr>
    </w:lvl>
    <w:lvl w:ilvl="7" w:tplc="04160019" w:tentative="1">
      <w:start w:val="1"/>
      <w:numFmt w:val="lowerLetter"/>
      <w:lvlText w:val="%8."/>
      <w:lvlJc w:val="left"/>
      <w:pPr>
        <w:ind w:left="5356" w:hanging="360"/>
      </w:pPr>
    </w:lvl>
    <w:lvl w:ilvl="8" w:tplc="0416001B" w:tentative="1">
      <w:start w:val="1"/>
      <w:numFmt w:val="lowerRoman"/>
      <w:lvlText w:val="%9."/>
      <w:lvlJc w:val="right"/>
      <w:pPr>
        <w:ind w:left="6076" w:hanging="180"/>
      </w:pPr>
    </w:lvl>
  </w:abstractNum>
  <w:abstractNum w:abstractNumId="11" w15:restartNumberingAfterBreak="0">
    <w:nsid w:val="52C64B82"/>
    <w:multiLevelType w:val="hybridMultilevel"/>
    <w:tmpl w:val="AB649AE8"/>
    <w:lvl w:ilvl="0" w:tplc="A866E0D4">
      <w:start w:val="1"/>
      <w:numFmt w:val="bullet"/>
      <w:lvlText w:val=""/>
      <w:lvlJc w:val="left"/>
      <w:pPr>
        <w:ind w:left="720" w:hanging="360"/>
      </w:pPr>
      <w:rPr>
        <w:rFonts w:ascii="Symbol" w:eastAsia="Calibri" w:hAnsi="Symbol" w:cs="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2F72016"/>
    <w:multiLevelType w:val="multilevel"/>
    <w:tmpl w:val="52F72016"/>
    <w:lvl w:ilvl="0">
      <w:start w:val="1"/>
      <w:numFmt w:val="lowerLetter"/>
      <w:lvlText w:val="%1."/>
      <w:lvlJc w:val="left"/>
      <w:pPr>
        <w:ind w:left="720" w:hanging="36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D63E75"/>
    <w:multiLevelType w:val="hybridMultilevel"/>
    <w:tmpl w:val="5C56D7A4"/>
    <w:lvl w:ilvl="0" w:tplc="E9E45820">
      <w:start w:val="1"/>
      <w:numFmt w:val="lowerLetter"/>
      <w:lvlText w:val="%1."/>
      <w:lvlJc w:val="left"/>
      <w:pPr>
        <w:ind w:left="316" w:hanging="360"/>
      </w:pPr>
      <w:rPr>
        <w:rFonts w:hint="default"/>
      </w:rPr>
    </w:lvl>
    <w:lvl w:ilvl="1" w:tplc="04160019" w:tentative="1">
      <w:start w:val="1"/>
      <w:numFmt w:val="lowerLetter"/>
      <w:lvlText w:val="%2."/>
      <w:lvlJc w:val="left"/>
      <w:pPr>
        <w:ind w:left="1036" w:hanging="360"/>
      </w:pPr>
    </w:lvl>
    <w:lvl w:ilvl="2" w:tplc="0416001B" w:tentative="1">
      <w:start w:val="1"/>
      <w:numFmt w:val="lowerRoman"/>
      <w:lvlText w:val="%3."/>
      <w:lvlJc w:val="right"/>
      <w:pPr>
        <w:ind w:left="1756" w:hanging="180"/>
      </w:pPr>
    </w:lvl>
    <w:lvl w:ilvl="3" w:tplc="0416000F" w:tentative="1">
      <w:start w:val="1"/>
      <w:numFmt w:val="decimal"/>
      <w:lvlText w:val="%4."/>
      <w:lvlJc w:val="left"/>
      <w:pPr>
        <w:ind w:left="2476" w:hanging="360"/>
      </w:pPr>
    </w:lvl>
    <w:lvl w:ilvl="4" w:tplc="04160019" w:tentative="1">
      <w:start w:val="1"/>
      <w:numFmt w:val="lowerLetter"/>
      <w:lvlText w:val="%5."/>
      <w:lvlJc w:val="left"/>
      <w:pPr>
        <w:ind w:left="3196" w:hanging="360"/>
      </w:pPr>
    </w:lvl>
    <w:lvl w:ilvl="5" w:tplc="0416001B" w:tentative="1">
      <w:start w:val="1"/>
      <w:numFmt w:val="lowerRoman"/>
      <w:lvlText w:val="%6."/>
      <w:lvlJc w:val="right"/>
      <w:pPr>
        <w:ind w:left="3916" w:hanging="180"/>
      </w:pPr>
    </w:lvl>
    <w:lvl w:ilvl="6" w:tplc="0416000F" w:tentative="1">
      <w:start w:val="1"/>
      <w:numFmt w:val="decimal"/>
      <w:lvlText w:val="%7."/>
      <w:lvlJc w:val="left"/>
      <w:pPr>
        <w:ind w:left="4636" w:hanging="360"/>
      </w:pPr>
    </w:lvl>
    <w:lvl w:ilvl="7" w:tplc="04160019" w:tentative="1">
      <w:start w:val="1"/>
      <w:numFmt w:val="lowerLetter"/>
      <w:lvlText w:val="%8."/>
      <w:lvlJc w:val="left"/>
      <w:pPr>
        <w:ind w:left="5356" w:hanging="360"/>
      </w:pPr>
    </w:lvl>
    <w:lvl w:ilvl="8" w:tplc="0416001B" w:tentative="1">
      <w:start w:val="1"/>
      <w:numFmt w:val="lowerRoman"/>
      <w:lvlText w:val="%9."/>
      <w:lvlJc w:val="right"/>
      <w:pPr>
        <w:ind w:left="6076" w:hanging="180"/>
      </w:pPr>
    </w:lvl>
  </w:abstractNum>
  <w:abstractNum w:abstractNumId="14" w15:restartNumberingAfterBreak="0">
    <w:nsid w:val="5AD43FB3"/>
    <w:multiLevelType w:val="multilevel"/>
    <w:tmpl w:val="52F72016"/>
    <w:lvl w:ilvl="0">
      <w:start w:val="1"/>
      <w:numFmt w:val="lowerLetter"/>
      <w:lvlText w:val="%1."/>
      <w:lvlJc w:val="left"/>
      <w:pPr>
        <w:ind w:left="720" w:hanging="36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997A92"/>
    <w:multiLevelType w:val="hybridMultilevel"/>
    <w:tmpl w:val="F4180190"/>
    <w:lvl w:ilvl="0" w:tplc="8D403CD4">
      <w:start w:val="1"/>
      <w:numFmt w:val="lowerLetter"/>
      <w:lvlText w:val="%1."/>
      <w:lvlJc w:val="left"/>
      <w:pPr>
        <w:ind w:left="316" w:hanging="360"/>
      </w:pPr>
      <w:rPr>
        <w:rFonts w:hint="default"/>
      </w:rPr>
    </w:lvl>
    <w:lvl w:ilvl="1" w:tplc="04160019" w:tentative="1">
      <w:start w:val="1"/>
      <w:numFmt w:val="lowerLetter"/>
      <w:lvlText w:val="%2."/>
      <w:lvlJc w:val="left"/>
      <w:pPr>
        <w:ind w:left="1036" w:hanging="360"/>
      </w:pPr>
    </w:lvl>
    <w:lvl w:ilvl="2" w:tplc="0416001B" w:tentative="1">
      <w:start w:val="1"/>
      <w:numFmt w:val="lowerRoman"/>
      <w:lvlText w:val="%3."/>
      <w:lvlJc w:val="right"/>
      <w:pPr>
        <w:ind w:left="1756" w:hanging="180"/>
      </w:pPr>
    </w:lvl>
    <w:lvl w:ilvl="3" w:tplc="0416000F" w:tentative="1">
      <w:start w:val="1"/>
      <w:numFmt w:val="decimal"/>
      <w:lvlText w:val="%4."/>
      <w:lvlJc w:val="left"/>
      <w:pPr>
        <w:ind w:left="2476" w:hanging="360"/>
      </w:pPr>
    </w:lvl>
    <w:lvl w:ilvl="4" w:tplc="04160019" w:tentative="1">
      <w:start w:val="1"/>
      <w:numFmt w:val="lowerLetter"/>
      <w:lvlText w:val="%5."/>
      <w:lvlJc w:val="left"/>
      <w:pPr>
        <w:ind w:left="3196" w:hanging="360"/>
      </w:pPr>
    </w:lvl>
    <w:lvl w:ilvl="5" w:tplc="0416001B" w:tentative="1">
      <w:start w:val="1"/>
      <w:numFmt w:val="lowerRoman"/>
      <w:lvlText w:val="%6."/>
      <w:lvlJc w:val="right"/>
      <w:pPr>
        <w:ind w:left="3916" w:hanging="180"/>
      </w:pPr>
    </w:lvl>
    <w:lvl w:ilvl="6" w:tplc="0416000F" w:tentative="1">
      <w:start w:val="1"/>
      <w:numFmt w:val="decimal"/>
      <w:lvlText w:val="%7."/>
      <w:lvlJc w:val="left"/>
      <w:pPr>
        <w:ind w:left="4636" w:hanging="360"/>
      </w:pPr>
    </w:lvl>
    <w:lvl w:ilvl="7" w:tplc="04160019" w:tentative="1">
      <w:start w:val="1"/>
      <w:numFmt w:val="lowerLetter"/>
      <w:lvlText w:val="%8."/>
      <w:lvlJc w:val="left"/>
      <w:pPr>
        <w:ind w:left="5356" w:hanging="360"/>
      </w:pPr>
    </w:lvl>
    <w:lvl w:ilvl="8" w:tplc="0416001B" w:tentative="1">
      <w:start w:val="1"/>
      <w:numFmt w:val="lowerRoman"/>
      <w:lvlText w:val="%9."/>
      <w:lvlJc w:val="right"/>
      <w:pPr>
        <w:ind w:left="6076" w:hanging="180"/>
      </w:pPr>
    </w:lvl>
  </w:abstractNum>
  <w:abstractNum w:abstractNumId="16" w15:restartNumberingAfterBreak="0">
    <w:nsid w:val="78937E41"/>
    <w:multiLevelType w:val="hybridMultilevel"/>
    <w:tmpl w:val="3A3A12F4"/>
    <w:lvl w:ilvl="0" w:tplc="0416001B">
      <w:start w:val="1"/>
      <w:numFmt w:val="lowerRoman"/>
      <w:lvlText w:val="%1."/>
      <w:lvlJc w:val="right"/>
      <w:pPr>
        <w:ind w:left="721" w:hanging="360"/>
      </w:pPr>
      <w:rPr>
        <w:rFonts w:hint="default"/>
      </w:r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17" w15:restartNumberingAfterBreak="0">
    <w:nsid w:val="79CE1B9D"/>
    <w:multiLevelType w:val="hybridMultilevel"/>
    <w:tmpl w:val="10D41336"/>
    <w:lvl w:ilvl="0" w:tplc="6E0AD8E2">
      <w:start w:val="1"/>
      <w:numFmt w:val="decimal"/>
      <w:lvlText w:val="%1."/>
      <w:lvlJc w:val="left"/>
      <w:pPr>
        <w:ind w:left="510" w:hanging="360"/>
      </w:pPr>
      <w:rPr>
        <w:rFonts w:hint="default"/>
        <w:b w:val="0"/>
      </w:rPr>
    </w:lvl>
    <w:lvl w:ilvl="1" w:tplc="04160019" w:tentative="1">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18" w15:restartNumberingAfterBreak="0">
    <w:nsid w:val="7C6C1B27"/>
    <w:multiLevelType w:val="multilevel"/>
    <w:tmpl w:val="7C6C1B2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8"/>
  </w:num>
  <w:num w:numId="3">
    <w:abstractNumId w:val="4"/>
  </w:num>
  <w:num w:numId="4">
    <w:abstractNumId w:val="14"/>
  </w:num>
  <w:num w:numId="5">
    <w:abstractNumId w:val="2"/>
  </w:num>
  <w:num w:numId="6">
    <w:abstractNumId w:val="11"/>
  </w:num>
  <w:num w:numId="7">
    <w:abstractNumId w:val="17"/>
  </w:num>
  <w:num w:numId="8">
    <w:abstractNumId w:val="15"/>
  </w:num>
  <w:num w:numId="9">
    <w:abstractNumId w:val="1"/>
  </w:num>
  <w:num w:numId="10">
    <w:abstractNumId w:val="5"/>
  </w:num>
  <w:num w:numId="11">
    <w:abstractNumId w:val="3"/>
  </w:num>
  <w:num w:numId="12">
    <w:abstractNumId w:val="7"/>
  </w:num>
  <w:num w:numId="13">
    <w:abstractNumId w:val="9"/>
  </w:num>
  <w:num w:numId="14">
    <w:abstractNumId w:val="10"/>
  </w:num>
  <w:num w:numId="15">
    <w:abstractNumId w:val="16"/>
  </w:num>
  <w:num w:numId="16">
    <w:abstractNumId w:val="6"/>
  </w:num>
  <w:num w:numId="17">
    <w:abstractNumId w:val="0"/>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E5D"/>
    <w:rsid w:val="00001C62"/>
    <w:rsid w:val="000022D8"/>
    <w:rsid w:val="000050FD"/>
    <w:rsid w:val="00011883"/>
    <w:rsid w:val="000172CE"/>
    <w:rsid w:val="000219EE"/>
    <w:rsid w:val="00025568"/>
    <w:rsid w:val="0003798E"/>
    <w:rsid w:val="000567D0"/>
    <w:rsid w:val="000719A8"/>
    <w:rsid w:val="000729A8"/>
    <w:rsid w:val="00074732"/>
    <w:rsid w:val="00080910"/>
    <w:rsid w:val="00085F0C"/>
    <w:rsid w:val="00087648"/>
    <w:rsid w:val="000A63BD"/>
    <w:rsid w:val="000B3B60"/>
    <w:rsid w:val="000B6A91"/>
    <w:rsid w:val="000C032C"/>
    <w:rsid w:val="000C49CE"/>
    <w:rsid w:val="000D05B8"/>
    <w:rsid w:val="000D67F5"/>
    <w:rsid w:val="000E387D"/>
    <w:rsid w:val="000F2CA8"/>
    <w:rsid w:val="00102933"/>
    <w:rsid w:val="00103024"/>
    <w:rsid w:val="0010400A"/>
    <w:rsid w:val="00111043"/>
    <w:rsid w:val="001323EA"/>
    <w:rsid w:val="001357B4"/>
    <w:rsid w:val="00137E52"/>
    <w:rsid w:val="00146940"/>
    <w:rsid w:val="00156E9D"/>
    <w:rsid w:val="00165A81"/>
    <w:rsid w:val="00166C46"/>
    <w:rsid w:val="001A1FF1"/>
    <w:rsid w:val="001B062A"/>
    <w:rsid w:val="001B65DA"/>
    <w:rsid w:val="001B7ADB"/>
    <w:rsid w:val="001E746C"/>
    <w:rsid w:val="001F3052"/>
    <w:rsid w:val="002014AB"/>
    <w:rsid w:val="00210D84"/>
    <w:rsid w:val="00212956"/>
    <w:rsid w:val="002138AF"/>
    <w:rsid w:val="0021765E"/>
    <w:rsid w:val="002214AC"/>
    <w:rsid w:val="00222FE8"/>
    <w:rsid w:val="002277A6"/>
    <w:rsid w:val="0022790B"/>
    <w:rsid w:val="00234A4E"/>
    <w:rsid w:val="00234E9A"/>
    <w:rsid w:val="00242A4B"/>
    <w:rsid w:val="00245833"/>
    <w:rsid w:val="00245C7C"/>
    <w:rsid w:val="00247F77"/>
    <w:rsid w:val="00272163"/>
    <w:rsid w:val="00272D5C"/>
    <w:rsid w:val="00283531"/>
    <w:rsid w:val="00292F64"/>
    <w:rsid w:val="002937C3"/>
    <w:rsid w:val="002A4EC1"/>
    <w:rsid w:val="002C18F7"/>
    <w:rsid w:val="002C4DFF"/>
    <w:rsid w:val="002C7683"/>
    <w:rsid w:val="002D0642"/>
    <w:rsid w:val="002D394E"/>
    <w:rsid w:val="002D3E2F"/>
    <w:rsid w:val="002E2055"/>
    <w:rsid w:val="002F2BD7"/>
    <w:rsid w:val="002F595E"/>
    <w:rsid w:val="00300D93"/>
    <w:rsid w:val="00307DEC"/>
    <w:rsid w:val="00310280"/>
    <w:rsid w:val="00310C2D"/>
    <w:rsid w:val="00320ED5"/>
    <w:rsid w:val="00330433"/>
    <w:rsid w:val="00334C6D"/>
    <w:rsid w:val="00334D29"/>
    <w:rsid w:val="00337BB7"/>
    <w:rsid w:val="00350ACB"/>
    <w:rsid w:val="003615FA"/>
    <w:rsid w:val="00382919"/>
    <w:rsid w:val="003B4AD0"/>
    <w:rsid w:val="003B53DC"/>
    <w:rsid w:val="003C751E"/>
    <w:rsid w:val="003D09E6"/>
    <w:rsid w:val="003D3F03"/>
    <w:rsid w:val="003E706E"/>
    <w:rsid w:val="00437D51"/>
    <w:rsid w:val="004411F2"/>
    <w:rsid w:val="00442ADE"/>
    <w:rsid w:val="00444F3B"/>
    <w:rsid w:val="00445416"/>
    <w:rsid w:val="00460C97"/>
    <w:rsid w:val="00460EC6"/>
    <w:rsid w:val="00465B96"/>
    <w:rsid w:val="00477C1E"/>
    <w:rsid w:val="00477F44"/>
    <w:rsid w:val="00485A5C"/>
    <w:rsid w:val="004946C5"/>
    <w:rsid w:val="004A1C36"/>
    <w:rsid w:val="004A3782"/>
    <w:rsid w:val="004A3A34"/>
    <w:rsid w:val="004D606A"/>
    <w:rsid w:val="004E0419"/>
    <w:rsid w:val="004E167A"/>
    <w:rsid w:val="004E2957"/>
    <w:rsid w:val="004E4F30"/>
    <w:rsid w:val="004E726E"/>
    <w:rsid w:val="00501C58"/>
    <w:rsid w:val="005171D4"/>
    <w:rsid w:val="0052411E"/>
    <w:rsid w:val="0052429B"/>
    <w:rsid w:val="00525129"/>
    <w:rsid w:val="00536DA9"/>
    <w:rsid w:val="0054267D"/>
    <w:rsid w:val="00542FFE"/>
    <w:rsid w:val="00552A83"/>
    <w:rsid w:val="00557AA4"/>
    <w:rsid w:val="00570C2F"/>
    <w:rsid w:val="0057464F"/>
    <w:rsid w:val="00576397"/>
    <w:rsid w:val="005805DD"/>
    <w:rsid w:val="00581273"/>
    <w:rsid w:val="00582F38"/>
    <w:rsid w:val="00584778"/>
    <w:rsid w:val="0059126B"/>
    <w:rsid w:val="005963B1"/>
    <w:rsid w:val="005A01AB"/>
    <w:rsid w:val="005B1994"/>
    <w:rsid w:val="005C0FDD"/>
    <w:rsid w:val="005D2332"/>
    <w:rsid w:val="005E03B6"/>
    <w:rsid w:val="005F5E8F"/>
    <w:rsid w:val="006039E0"/>
    <w:rsid w:val="006117AF"/>
    <w:rsid w:val="006158BF"/>
    <w:rsid w:val="00617E43"/>
    <w:rsid w:val="00626B07"/>
    <w:rsid w:val="00635FE1"/>
    <w:rsid w:val="006366C0"/>
    <w:rsid w:val="00641725"/>
    <w:rsid w:val="0064667E"/>
    <w:rsid w:val="00652005"/>
    <w:rsid w:val="0065376B"/>
    <w:rsid w:val="00654A1F"/>
    <w:rsid w:val="00656543"/>
    <w:rsid w:val="006702AA"/>
    <w:rsid w:val="00677081"/>
    <w:rsid w:val="0069318A"/>
    <w:rsid w:val="006B7982"/>
    <w:rsid w:val="006C6C12"/>
    <w:rsid w:val="006D379A"/>
    <w:rsid w:val="006D7668"/>
    <w:rsid w:val="006E4678"/>
    <w:rsid w:val="006E6942"/>
    <w:rsid w:val="006E6D15"/>
    <w:rsid w:val="006F03DC"/>
    <w:rsid w:val="006F0A55"/>
    <w:rsid w:val="006F1649"/>
    <w:rsid w:val="006F4843"/>
    <w:rsid w:val="006F4A12"/>
    <w:rsid w:val="006F5DC0"/>
    <w:rsid w:val="0070029A"/>
    <w:rsid w:val="007008EE"/>
    <w:rsid w:val="00704C4A"/>
    <w:rsid w:val="00706FDD"/>
    <w:rsid w:val="00713F6B"/>
    <w:rsid w:val="00717389"/>
    <w:rsid w:val="00724352"/>
    <w:rsid w:val="00724EFA"/>
    <w:rsid w:val="00734E19"/>
    <w:rsid w:val="007367E1"/>
    <w:rsid w:val="00736F98"/>
    <w:rsid w:val="00744A19"/>
    <w:rsid w:val="00764604"/>
    <w:rsid w:val="007678F1"/>
    <w:rsid w:val="007868EF"/>
    <w:rsid w:val="00791FB7"/>
    <w:rsid w:val="00792472"/>
    <w:rsid w:val="00794C8C"/>
    <w:rsid w:val="00794FAA"/>
    <w:rsid w:val="007975AA"/>
    <w:rsid w:val="007A3BD4"/>
    <w:rsid w:val="007B13B0"/>
    <w:rsid w:val="007B17B7"/>
    <w:rsid w:val="007B44B7"/>
    <w:rsid w:val="007B77F3"/>
    <w:rsid w:val="007F0A4D"/>
    <w:rsid w:val="007F28CF"/>
    <w:rsid w:val="00801D6D"/>
    <w:rsid w:val="00801EE0"/>
    <w:rsid w:val="00803123"/>
    <w:rsid w:val="00804B24"/>
    <w:rsid w:val="00805C79"/>
    <w:rsid w:val="00823935"/>
    <w:rsid w:val="00824206"/>
    <w:rsid w:val="008420CB"/>
    <w:rsid w:val="00855E5F"/>
    <w:rsid w:val="0086283E"/>
    <w:rsid w:val="00867C51"/>
    <w:rsid w:val="008710F3"/>
    <w:rsid w:val="00877BF7"/>
    <w:rsid w:val="00881613"/>
    <w:rsid w:val="008821FD"/>
    <w:rsid w:val="0088386F"/>
    <w:rsid w:val="00894E4C"/>
    <w:rsid w:val="008A1275"/>
    <w:rsid w:val="008A6E42"/>
    <w:rsid w:val="008B1CFA"/>
    <w:rsid w:val="008C0ACB"/>
    <w:rsid w:val="008C0D05"/>
    <w:rsid w:val="008C50B8"/>
    <w:rsid w:val="008D751E"/>
    <w:rsid w:val="008E3001"/>
    <w:rsid w:val="008E496D"/>
    <w:rsid w:val="00900762"/>
    <w:rsid w:val="009060CD"/>
    <w:rsid w:val="00910EEC"/>
    <w:rsid w:val="0094134E"/>
    <w:rsid w:val="0094578E"/>
    <w:rsid w:val="00951899"/>
    <w:rsid w:val="009636FA"/>
    <w:rsid w:val="00983AD9"/>
    <w:rsid w:val="0099740B"/>
    <w:rsid w:val="009C18FA"/>
    <w:rsid w:val="009E0DCF"/>
    <w:rsid w:val="009E1B01"/>
    <w:rsid w:val="009E29A7"/>
    <w:rsid w:val="009F7DC3"/>
    <w:rsid w:val="00A00D05"/>
    <w:rsid w:val="00A250A1"/>
    <w:rsid w:val="00A25728"/>
    <w:rsid w:val="00A32AB8"/>
    <w:rsid w:val="00A33147"/>
    <w:rsid w:val="00A43CFB"/>
    <w:rsid w:val="00A462E3"/>
    <w:rsid w:val="00A470DB"/>
    <w:rsid w:val="00A6063B"/>
    <w:rsid w:val="00A75EE7"/>
    <w:rsid w:val="00A7751C"/>
    <w:rsid w:val="00A81B6C"/>
    <w:rsid w:val="00A84E82"/>
    <w:rsid w:val="00AB2EB2"/>
    <w:rsid w:val="00AC196D"/>
    <w:rsid w:val="00AC2AAC"/>
    <w:rsid w:val="00AD2E27"/>
    <w:rsid w:val="00AD5179"/>
    <w:rsid w:val="00AD7112"/>
    <w:rsid w:val="00AE0113"/>
    <w:rsid w:val="00AF04FB"/>
    <w:rsid w:val="00AF3591"/>
    <w:rsid w:val="00AF5958"/>
    <w:rsid w:val="00B03DAF"/>
    <w:rsid w:val="00B11C13"/>
    <w:rsid w:val="00B15FF5"/>
    <w:rsid w:val="00B175C5"/>
    <w:rsid w:val="00B30C1E"/>
    <w:rsid w:val="00B36838"/>
    <w:rsid w:val="00B41895"/>
    <w:rsid w:val="00B61F69"/>
    <w:rsid w:val="00B711A0"/>
    <w:rsid w:val="00B7181B"/>
    <w:rsid w:val="00B737E9"/>
    <w:rsid w:val="00B81BCB"/>
    <w:rsid w:val="00B8246C"/>
    <w:rsid w:val="00B849B5"/>
    <w:rsid w:val="00B9166A"/>
    <w:rsid w:val="00B93A3A"/>
    <w:rsid w:val="00BA5606"/>
    <w:rsid w:val="00BA5CB9"/>
    <w:rsid w:val="00BB1534"/>
    <w:rsid w:val="00BB30AF"/>
    <w:rsid w:val="00BC1B6E"/>
    <w:rsid w:val="00BD552F"/>
    <w:rsid w:val="00BD6582"/>
    <w:rsid w:val="00BE3A98"/>
    <w:rsid w:val="00C02D44"/>
    <w:rsid w:val="00C07AF7"/>
    <w:rsid w:val="00C10E5D"/>
    <w:rsid w:val="00C11701"/>
    <w:rsid w:val="00C144BD"/>
    <w:rsid w:val="00C1566A"/>
    <w:rsid w:val="00C161DF"/>
    <w:rsid w:val="00C20DED"/>
    <w:rsid w:val="00C26351"/>
    <w:rsid w:val="00C35EAD"/>
    <w:rsid w:val="00C367DC"/>
    <w:rsid w:val="00C36A97"/>
    <w:rsid w:val="00C46347"/>
    <w:rsid w:val="00C54FD7"/>
    <w:rsid w:val="00C563C1"/>
    <w:rsid w:val="00C64A82"/>
    <w:rsid w:val="00C64C24"/>
    <w:rsid w:val="00C65F87"/>
    <w:rsid w:val="00C703F7"/>
    <w:rsid w:val="00C76F23"/>
    <w:rsid w:val="00C800F9"/>
    <w:rsid w:val="00C87B3D"/>
    <w:rsid w:val="00CB07F7"/>
    <w:rsid w:val="00CB59CB"/>
    <w:rsid w:val="00CC5849"/>
    <w:rsid w:val="00CD29E5"/>
    <w:rsid w:val="00CD5692"/>
    <w:rsid w:val="00CD5AC4"/>
    <w:rsid w:val="00CE0F51"/>
    <w:rsid w:val="00CE1054"/>
    <w:rsid w:val="00CF048F"/>
    <w:rsid w:val="00D0543D"/>
    <w:rsid w:val="00D05BF9"/>
    <w:rsid w:val="00D068B9"/>
    <w:rsid w:val="00D135EE"/>
    <w:rsid w:val="00D3530D"/>
    <w:rsid w:val="00D36D49"/>
    <w:rsid w:val="00D40756"/>
    <w:rsid w:val="00D42833"/>
    <w:rsid w:val="00D51768"/>
    <w:rsid w:val="00D5443B"/>
    <w:rsid w:val="00D635ED"/>
    <w:rsid w:val="00D72355"/>
    <w:rsid w:val="00D74E59"/>
    <w:rsid w:val="00D80BF6"/>
    <w:rsid w:val="00D81DA1"/>
    <w:rsid w:val="00D91702"/>
    <w:rsid w:val="00D936CC"/>
    <w:rsid w:val="00D97853"/>
    <w:rsid w:val="00DA6DE5"/>
    <w:rsid w:val="00DB0795"/>
    <w:rsid w:val="00DC1A55"/>
    <w:rsid w:val="00DD2374"/>
    <w:rsid w:val="00DE7807"/>
    <w:rsid w:val="00DF0098"/>
    <w:rsid w:val="00DF01CB"/>
    <w:rsid w:val="00DF0454"/>
    <w:rsid w:val="00E069AD"/>
    <w:rsid w:val="00E15BB4"/>
    <w:rsid w:val="00E20083"/>
    <w:rsid w:val="00E20B0E"/>
    <w:rsid w:val="00E31F54"/>
    <w:rsid w:val="00E420F8"/>
    <w:rsid w:val="00E43636"/>
    <w:rsid w:val="00E46745"/>
    <w:rsid w:val="00E47542"/>
    <w:rsid w:val="00E57C19"/>
    <w:rsid w:val="00E73C81"/>
    <w:rsid w:val="00E84064"/>
    <w:rsid w:val="00E977FD"/>
    <w:rsid w:val="00EA4519"/>
    <w:rsid w:val="00EB08A5"/>
    <w:rsid w:val="00EB5E72"/>
    <w:rsid w:val="00EC1F5B"/>
    <w:rsid w:val="00ED08F5"/>
    <w:rsid w:val="00ED565B"/>
    <w:rsid w:val="00EE45E2"/>
    <w:rsid w:val="00EF66E3"/>
    <w:rsid w:val="00EF6DC2"/>
    <w:rsid w:val="00F02A36"/>
    <w:rsid w:val="00F05557"/>
    <w:rsid w:val="00F07088"/>
    <w:rsid w:val="00F1596B"/>
    <w:rsid w:val="00F23947"/>
    <w:rsid w:val="00F27420"/>
    <w:rsid w:val="00F45BDB"/>
    <w:rsid w:val="00F45CAB"/>
    <w:rsid w:val="00F53F38"/>
    <w:rsid w:val="00F63E91"/>
    <w:rsid w:val="00FA2C4A"/>
    <w:rsid w:val="00FA493B"/>
    <w:rsid w:val="00FB4021"/>
    <w:rsid w:val="00FC0319"/>
    <w:rsid w:val="00FC37B9"/>
    <w:rsid w:val="00FC40ED"/>
    <w:rsid w:val="00FD007D"/>
    <w:rsid w:val="00FE1DCD"/>
    <w:rsid w:val="00FE3802"/>
    <w:rsid w:val="00FF1206"/>
    <w:rsid w:val="00FF2818"/>
    <w:rsid w:val="00FF34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692F"/>
  <w15:docId w15:val="{F15CD103-0B94-450F-957D-A12A70C6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77A6"/>
    <w:pPr>
      <w:keepNext/>
      <w:keepLines/>
      <w:spacing w:before="480" w:after="0"/>
      <w:outlineLvl w:val="0"/>
    </w:pPr>
    <w:rPr>
      <w:rFonts w:asciiTheme="majorHAnsi" w:eastAsiaTheme="majorEastAsia" w:hAnsiTheme="majorHAnsi" w:cstheme="majorBidi"/>
      <w:b/>
      <w:bCs/>
      <w:sz w:val="28"/>
      <w:szCs w:val="28"/>
      <w:shd w:val="clear" w:color="auto" w:fill="D6E3BC" w:themeFill="accent3" w:themeFillTint="66"/>
      <w:lang w:val="en-US"/>
    </w:rPr>
  </w:style>
  <w:style w:type="paragraph" w:styleId="Heading2">
    <w:name w:val="heading 2"/>
    <w:basedOn w:val="Normal"/>
    <w:next w:val="Normal"/>
    <w:link w:val="Heading2Char"/>
    <w:uiPriority w:val="9"/>
    <w:unhideWhenUsed/>
    <w:qFormat/>
    <w:rsid w:val="002277A6"/>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7A6"/>
    <w:rPr>
      <w:rFonts w:asciiTheme="majorHAnsi" w:eastAsiaTheme="majorEastAsia" w:hAnsiTheme="majorHAnsi" w:cstheme="majorBidi"/>
      <w:b/>
      <w:bCs/>
      <w:sz w:val="28"/>
      <w:szCs w:val="28"/>
      <w:lang w:val="en-US"/>
    </w:rPr>
  </w:style>
  <w:style w:type="paragraph" w:styleId="Title">
    <w:name w:val="Title"/>
    <w:basedOn w:val="Normal"/>
    <w:next w:val="Normal"/>
    <w:link w:val="TitleChar"/>
    <w:uiPriority w:val="10"/>
    <w:qFormat/>
    <w:rsid w:val="00C10E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0E5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277A6"/>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5D2332"/>
    <w:rPr>
      <w:sz w:val="16"/>
      <w:szCs w:val="16"/>
    </w:rPr>
  </w:style>
  <w:style w:type="paragraph" w:styleId="CommentText">
    <w:name w:val="annotation text"/>
    <w:basedOn w:val="Normal"/>
    <w:link w:val="CommentTextChar"/>
    <w:uiPriority w:val="99"/>
    <w:semiHidden/>
    <w:unhideWhenUsed/>
    <w:rsid w:val="005D2332"/>
    <w:pPr>
      <w:spacing w:line="240" w:lineRule="auto"/>
    </w:pPr>
    <w:rPr>
      <w:sz w:val="20"/>
      <w:szCs w:val="20"/>
    </w:rPr>
  </w:style>
  <w:style w:type="character" w:customStyle="1" w:styleId="CommentTextChar">
    <w:name w:val="Comment Text Char"/>
    <w:basedOn w:val="DefaultParagraphFont"/>
    <w:link w:val="CommentText"/>
    <w:uiPriority w:val="99"/>
    <w:semiHidden/>
    <w:rsid w:val="005D2332"/>
    <w:rPr>
      <w:sz w:val="20"/>
      <w:szCs w:val="20"/>
    </w:rPr>
  </w:style>
  <w:style w:type="paragraph" w:styleId="CommentSubject">
    <w:name w:val="annotation subject"/>
    <w:basedOn w:val="CommentText"/>
    <w:next w:val="CommentText"/>
    <w:link w:val="CommentSubjectChar"/>
    <w:uiPriority w:val="99"/>
    <w:semiHidden/>
    <w:unhideWhenUsed/>
    <w:rsid w:val="005D2332"/>
    <w:rPr>
      <w:b/>
      <w:bCs/>
    </w:rPr>
  </w:style>
  <w:style w:type="character" w:customStyle="1" w:styleId="CommentSubjectChar">
    <w:name w:val="Comment Subject Char"/>
    <w:basedOn w:val="CommentTextChar"/>
    <w:link w:val="CommentSubject"/>
    <w:uiPriority w:val="99"/>
    <w:semiHidden/>
    <w:rsid w:val="005D2332"/>
    <w:rPr>
      <w:b/>
      <w:bCs/>
      <w:sz w:val="20"/>
      <w:szCs w:val="20"/>
    </w:rPr>
  </w:style>
  <w:style w:type="paragraph" w:styleId="BalloonText">
    <w:name w:val="Balloon Text"/>
    <w:basedOn w:val="Normal"/>
    <w:link w:val="BalloonTextChar"/>
    <w:uiPriority w:val="99"/>
    <w:semiHidden/>
    <w:unhideWhenUsed/>
    <w:rsid w:val="005D2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332"/>
    <w:rPr>
      <w:rFonts w:ascii="Tahoma" w:hAnsi="Tahoma" w:cs="Tahoma"/>
      <w:sz w:val="16"/>
      <w:szCs w:val="16"/>
    </w:rPr>
  </w:style>
  <w:style w:type="character" w:customStyle="1" w:styleId="fontstyle01">
    <w:name w:val="fontstyle01"/>
    <w:basedOn w:val="DefaultParagraphFont"/>
    <w:rsid w:val="00337BB7"/>
    <w:rPr>
      <w:rFonts w:ascii="Calibri" w:hAnsi="Calibri" w:hint="default"/>
      <w:b w:val="0"/>
      <w:bCs w:val="0"/>
      <w:i w:val="0"/>
      <w:iCs w:val="0"/>
      <w:color w:val="1F3763"/>
      <w:sz w:val="24"/>
      <w:szCs w:val="24"/>
    </w:rPr>
  </w:style>
  <w:style w:type="character" w:styleId="Hyperlink">
    <w:name w:val="Hyperlink"/>
    <w:basedOn w:val="DefaultParagraphFont"/>
    <w:uiPriority w:val="99"/>
    <w:rsid w:val="00334D29"/>
    <w:rPr>
      <w:color w:val="0563C1"/>
      <w:u w:val="single"/>
    </w:rPr>
  </w:style>
  <w:style w:type="character" w:styleId="FootnoteReference">
    <w:name w:val="footnote reference"/>
    <w:basedOn w:val="DefaultParagraphFont"/>
    <w:rsid w:val="00334D29"/>
    <w:rPr>
      <w:vertAlign w:val="superscript"/>
    </w:rPr>
  </w:style>
  <w:style w:type="paragraph" w:styleId="FootnoteText">
    <w:name w:val="footnote text"/>
    <w:basedOn w:val="Normal"/>
    <w:link w:val="FootnoteTextChar"/>
    <w:rsid w:val="00334D29"/>
    <w:pPr>
      <w:spacing w:after="0" w:line="240" w:lineRule="auto"/>
    </w:pPr>
    <w:rPr>
      <w:rFonts w:ascii="Calibri" w:eastAsia="Calibri" w:hAnsi="Calibri" w:cs="Calibri"/>
      <w:color w:val="000000"/>
      <w:sz w:val="20"/>
      <w:szCs w:val="20"/>
      <w:lang w:eastAsia="pt-BR"/>
    </w:rPr>
  </w:style>
  <w:style w:type="character" w:customStyle="1" w:styleId="FootnoteTextChar">
    <w:name w:val="Footnote Text Char"/>
    <w:basedOn w:val="DefaultParagraphFont"/>
    <w:link w:val="FootnoteText"/>
    <w:rsid w:val="00334D29"/>
    <w:rPr>
      <w:rFonts w:ascii="Calibri" w:eastAsia="Calibri" w:hAnsi="Calibri" w:cs="Calibri"/>
      <w:color w:val="000000"/>
      <w:sz w:val="20"/>
      <w:szCs w:val="20"/>
      <w:lang w:eastAsia="pt-BR"/>
    </w:rPr>
  </w:style>
  <w:style w:type="paragraph" w:customStyle="1" w:styleId="Normal1">
    <w:name w:val="Normal1"/>
    <w:qFormat/>
    <w:rsid w:val="00334D29"/>
    <w:rPr>
      <w:rFonts w:ascii="Calibri" w:eastAsia="Calibri" w:hAnsi="Calibri" w:cs="Calibri"/>
      <w:color w:val="000000"/>
      <w:lang w:eastAsia="pt-BR"/>
    </w:rPr>
  </w:style>
  <w:style w:type="paragraph" w:styleId="Caption">
    <w:name w:val="caption"/>
    <w:basedOn w:val="Normal"/>
    <w:next w:val="Normal"/>
    <w:qFormat/>
    <w:rsid w:val="00557AA4"/>
    <w:pPr>
      <w:spacing w:line="240" w:lineRule="auto"/>
    </w:pPr>
    <w:rPr>
      <w:rFonts w:ascii="Calibri" w:eastAsia="Calibri" w:hAnsi="Calibri" w:cs="Calibri"/>
      <w:i/>
      <w:iCs/>
      <w:color w:val="1F497D"/>
      <w:sz w:val="18"/>
      <w:szCs w:val="18"/>
      <w:lang w:eastAsia="pt-BR"/>
    </w:rPr>
  </w:style>
  <w:style w:type="table" w:customStyle="1" w:styleId="Style15">
    <w:name w:val="_Style 15"/>
    <w:basedOn w:val="TableNormal"/>
    <w:qFormat/>
    <w:rsid w:val="00F27420"/>
    <w:pPr>
      <w:spacing w:after="0" w:line="240" w:lineRule="auto"/>
    </w:pPr>
    <w:rPr>
      <w:rFonts w:ascii="Times New Roman" w:eastAsia="SimSun" w:hAnsi="Times New Roman" w:cs="Times New Roman"/>
      <w:sz w:val="20"/>
      <w:szCs w:val="20"/>
      <w:lang w:eastAsia="pt-BR"/>
    </w:rPr>
    <w:tblPr>
      <w:tblCellMar>
        <w:left w:w="115" w:type="dxa"/>
        <w:right w:w="115" w:type="dxa"/>
      </w:tblCellMar>
    </w:tblPr>
  </w:style>
  <w:style w:type="paragraph" w:styleId="Header">
    <w:name w:val="header"/>
    <w:basedOn w:val="Normal"/>
    <w:link w:val="HeaderChar"/>
    <w:uiPriority w:val="99"/>
    <w:unhideWhenUsed/>
    <w:rsid w:val="00823935"/>
    <w:pPr>
      <w:tabs>
        <w:tab w:val="center" w:pos="4252"/>
        <w:tab w:val="right" w:pos="8504"/>
      </w:tabs>
      <w:spacing w:after="0" w:line="240" w:lineRule="auto"/>
    </w:pPr>
  </w:style>
  <w:style w:type="character" w:customStyle="1" w:styleId="HeaderChar">
    <w:name w:val="Header Char"/>
    <w:basedOn w:val="DefaultParagraphFont"/>
    <w:link w:val="Header"/>
    <w:uiPriority w:val="99"/>
    <w:rsid w:val="00823935"/>
  </w:style>
  <w:style w:type="paragraph" w:styleId="Footer">
    <w:name w:val="footer"/>
    <w:basedOn w:val="Normal"/>
    <w:link w:val="FooterChar"/>
    <w:uiPriority w:val="99"/>
    <w:unhideWhenUsed/>
    <w:rsid w:val="008239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823935"/>
  </w:style>
  <w:style w:type="paragraph" w:styleId="Revision">
    <w:name w:val="Revision"/>
    <w:hidden/>
    <w:uiPriority w:val="99"/>
    <w:semiHidden/>
    <w:rsid w:val="00823935"/>
    <w:pPr>
      <w:spacing w:after="0" w:line="240" w:lineRule="auto"/>
    </w:pPr>
  </w:style>
  <w:style w:type="paragraph" w:styleId="ListParagraph">
    <w:name w:val="List Paragraph"/>
    <w:basedOn w:val="Normal"/>
    <w:uiPriority w:val="34"/>
    <w:qFormat/>
    <w:rsid w:val="004E167A"/>
    <w:pPr>
      <w:ind w:left="720"/>
      <w:contextualSpacing/>
    </w:pPr>
  </w:style>
  <w:style w:type="table" w:customStyle="1" w:styleId="TabelaSimples11">
    <w:name w:val="Tabela Simples 11"/>
    <w:basedOn w:val="TableNormal"/>
    <w:uiPriority w:val="41"/>
    <w:rsid w:val="00B61F69"/>
    <w:pPr>
      <w:spacing w:after="0" w:line="240" w:lineRule="auto"/>
      <w:ind w:left="2160"/>
    </w:pPr>
    <w:rPr>
      <w:rFonts w:eastAsia="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aLista6Colorido1">
    <w:name w:val="Tabela da Lista 6 Colorido1"/>
    <w:basedOn w:val="TableNormal"/>
    <w:uiPriority w:val="51"/>
    <w:rsid w:val="00A43CFB"/>
    <w:pPr>
      <w:spacing w:after="0" w:line="240" w:lineRule="auto"/>
      <w:ind w:left="2160"/>
    </w:pPr>
    <w:rPr>
      <w:rFonts w:eastAsiaTheme="minorEastAsia"/>
      <w:color w:val="000000" w:themeColor="text1"/>
      <w:sz w:val="20"/>
      <w:szCs w:val="20"/>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146940"/>
    <w:pPr>
      <w:spacing w:before="240" w:line="259" w:lineRule="auto"/>
      <w:outlineLvl w:val="9"/>
    </w:pPr>
    <w:rPr>
      <w:b w:val="0"/>
      <w:bCs w:val="0"/>
      <w:sz w:val="32"/>
      <w:szCs w:val="32"/>
      <w:lang w:eastAsia="pt-BR"/>
    </w:rPr>
  </w:style>
  <w:style w:type="paragraph" w:styleId="TOC1">
    <w:name w:val="toc 1"/>
    <w:basedOn w:val="Normal"/>
    <w:next w:val="Normal"/>
    <w:autoRedefine/>
    <w:uiPriority w:val="39"/>
    <w:unhideWhenUsed/>
    <w:rsid w:val="00146940"/>
    <w:pPr>
      <w:spacing w:after="100"/>
    </w:pPr>
  </w:style>
  <w:style w:type="paragraph" w:styleId="TOC2">
    <w:name w:val="toc 2"/>
    <w:basedOn w:val="Normal"/>
    <w:next w:val="Normal"/>
    <w:autoRedefine/>
    <w:uiPriority w:val="39"/>
    <w:unhideWhenUsed/>
    <w:rsid w:val="00146940"/>
    <w:pPr>
      <w:spacing w:after="100"/>
      <w:ind w:left="220"/>
    </w:pPr>
  </w:style>
  <w:style w:type="character" w:styleId="FollowedHyperlink">
    <w:name w:val="FollowedHyperlink"/>
    <w:basedOn w:val="DefaultParagraphFont"/>
    <w:uiPriority w:val="99"/>
    <w:semiHidden/>
    <w:unhideWhenUsed/>
    <w:rsid w:val="007B77F3"/>
    <w:rPr>
      <w:color w:val="800080" w:themeColor="followedHyperlink"/>
      <w:u w:val="single"/>
    </w:rPr>
  </w:style>
  <w:style w:type="table" w:styleId="TableGrid">
    <w:name w:val="Table Grid"/>
    <w:basedOn w:val="TableNormal"/>
    <w:uiPriority w:val="59"/>
    <w:rsid w:val="00881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140787">
      <w:bodyDiv w:val="1"/>
      <w:marLeft w:val="0"/>
      <w:marRight w:val="0"/>
      <w:marTop w:val="0"/>
      <w:marBottom w:val="0"/>
      <w:divBdr>
        <w:top w:val="none" w:sz="0" w:space="0" w:color="auto"/>
        <w:left w:val="none" w:sz="0" w:space="0" w:color="auto"/>
        <w:bottom w:val="none" w:sz="0" w:space="0" w:color="auto"/>
        <w:right w:val="none" w:sz="0" w:space="0" w:color="auto"/>
      </w:divBdr>
    </w:div>
    <w:div w:id="489827763">
      <w:bodyDiv w:val="1"/>
      <w:marLeft w:val="0"/>
      <w:marRight w:val="0"/>
      <w:marTop w:val="0"/>
      <w:marBottom w:val="0"/>
      <w:divBdr>
        <w:top w:val="none" w:sz="0" w:space="0" w:color="auto"/>
        <w:left w:val="none" w:sz="0" w:space="0" w:color="auto"/>
        <w:bottom w:val="none" w:sz="0" w:space="0" w:color="auto"/>
        <w:right w:val="none" w:sz="0" w:space="0" w:color="auto"/>
      </w:divBdr>
    </w:div>
    <w:div w:id="861934703">
      <w:bodyDiv w:val="1"/>
      <w:marLeft w:val="0"/>
      <w:marRight w:val="0"/>
      <w:marTop w:val="0"/>
      <w:marBottom w:val="0"/>
      <w:divBdr>
        <w:top w:val="none" w:sz="0" w:space="0" w:color="auto"/>
        <w:left w:val="none" w:sz="0" w:space="0" w:color="auto"/>
        <w:bottom w:val="none" w:sz="0" w:space="0" w:color="auto"/>
        <w:right w:val="none" w:sz="0" w:space="0" w:color="auto"/>
      </w:divBdr>
    </w:div>
    <w:div w:id="966467067">
      <w:bodyDiv w:val="1"/>
      <w:marLeft w:val="0"/>
      <w:marRight w:val="0"/>
      <w:marTop w:val="0"/>
      <w:marBottom w:val="0"/>
      <w:divBdr>
        <w:top w:val="none" w:sz="0" w:space="0" w:color="auto"/>
        <w:left w:val="none" w:sz="0" w:space="0" w:color="auto"/>
        <w:bottom w:val="none" w:sz="0" w:space="0" w:color="auto"/>
        <w:right w:val="none" w:sz="0" w:space="0" w:color="auto"/>
      </w:divBdr>
    </w:div>
    <w:div w:id="987856176">
      <w:bodyDiv w:val="1"/>
      <w:marLeft w:val="0"/>
      <w:marRight w:val="0"/>
      <w:marTop w:val="0"/>
      <w:marBottom w:val="0"/>
      <w:divBdr>
        <w:top w:val="none" w:sz="0" w:space="0" w:color="auto"/>
        <w:left w:val="none" w:sz="0" w:space="0" w:color="auto"/>
        <w:bottom w:val="none" w:sz="0" w:space="0" w:color="auto"/>
        <w:right w:val="none" w:sz="0" w:space="0" w:color="auto"/>
      </w:divBdr>
    </w:div>
    <w:div w:id="1253390785">
      <w:bodyDiv w:val="1"/>
      <w:marLeft w:val="0"/>
      <w:marRight w:val="0"/>
      <w:marTop w:val="0"/>
      <w:marBottom w:val="0"/>
      <w:divBdr>
        <w:top w:val="none" w:sz="0" w:space="0" w:color="auto"/>
        <w:left w:val="none" w:sz="0" w:space="0" w:color="auto"/>
        <w:bottom w:val="none" w:sz="0" w:space="0" w:color="auto"/>
        <w:right w:val="none" w:sz="0" w:space="0" w:color="auto"/>
      </w:divBdr>
    </w:div>
    <w:div w:id="1713187360">
      <w:bodyDiv w:val="1"/>
      <w:marLeft w:val="0"/>
      <w:marRight w:val="0"/>
      <w:marTop w:val="0"/>
      <w:marBottom w:val="0"/>
      <w:divBdr>
        <w:top w:val="none" w:sz="0" w:space="0" w:color="auto"/>
        <w:left w:val="none" w:sz="0" w:space="0" w:color="auto"/>
        <w:bottom w:val="none" w:sz="0" w:space="0" w:color="auto"/>
        <w:right w:val="none" w:sz="0" w:space="0" w:color="auto"/>
      </w:divBdr>
    </w:div>
    <w:div w:id="1792438776">
      <w:bodyDiv w:val="1"/>
      <w:marLeft w:val="0"/>
      <w:marRight w:val="0"/>
      <w:marTop w:val="0"/>
      <w:marBottom w:val="0"/>
      <w:divBdr>
        <w:top w:val="none" w:sz="0" w:space="0" w:color="auto"/>
        <w:left w:val="none" w:sz="0" w:space="0" w:color="auto"/>
        <w:bottom w:val="none" w:sz="0" w:space="0" w:color="auto"/>
        <w:right w:val="none" w:sz="0" w:space="0" w:color="auto"/>
      </w:divBdr>
    </w:div>
    <w:div w:id="19864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r.gov.br/publico/imoveis/inde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lorestal.gov.br/modulo-de-relatori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abinete@sema.am.gov.br" TargetMode="External"/><Relationship Id="rId4" Type="http://schemas.openxmlformats.org/officeDocument/2006/relationships/settings" Target="settings.xml"/><Relationship Id="rId9" Type="http://schemas.openxmlformats.org/officeDocument/2006/relationships/hyperlink" Target="mailto:victor.salviati@fas-amazonas.org"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obt.inpe.br/OBT/assuntos/programas/amazonia/prodes" TargetMode="External"/><Relationship Id="rId13" Type="http://schemas.openxmlformats.org/officeDocument/2006/relationships/hyperlink" Target="http://www.undp.org/content/undp/en/home/librarypage/operations1/undp-social-and-environmental-standards/" TargetMode="External"/><Relationship Id="rId3" Type="http://schemas.openxmlformats.org/officeDocument/2006/relationships/hyperlink" Target="http://fas-amazonas.org/transparencia" TargetMode="External"/><Relationship Id="rId7" Type="http://schemas.openxmlformats.org/officeDocument/2006/relationships/hyperlink" Target="http://redd.mma.gov.br/pt/estrategia-nacional-para-redd" TargetMode="External"/><Relationship Id="rId12" Type="http://schemas.openxmlformats.org/officeDocument/2006/relationships/hyperlink" Target="http://fas-amazonas.org/2016/11/avancos-e-desafios-do-programa-bolsa-floresta-sao-tema-de-seminario-em-manaus/" TargetMode="External"/><Relationship Id="rId2" Type="http://schemas.openxmlformats.org/officeDocument/2006/relationships/hyperlink" Target="http://meioambiente.am.gov.br/wp-content/uploads/2018/03/lista_municipios_prioritarios_AML_2017.pdf" TargetMode="External"/><Relationship Id="rId1" Type="http://schemas.openxmlformats.org/officeDocument/2006/relationships/hyperlink" Target="http://meioambiente.am.gov.br/wp-content/uploads/2018/03/Lei-Estadual-4.266-PESA.pdf" TargetMode="External"/><Relationship Id="rId6" Type="http://schemas.openxmlformats.org/officeDocument/2006/relationships/hyperlink" Target="http://www.mma.gov.br/informma/item/616-preven%C3%A7%C3%A3o-e-controle-do-desmatamento-na-amaz%C3%B4nia" TargetMode="External"/><Relationship Id="rId11" Type="http://schemas.openxmlformats.org/officeDocument/2006/relationships/hyperlink" Target="https://www.cbd.int/sp/targets/" TargetMode="External"/><Relationship Id="rId5" Type="http://schemas.openxmlformats.org/officeDocument/2006/relationships/hyperlink" Target="http://www.planalto.gov.br/ccivil_03/_ato2007-2010/2009/lei/l12187.htm" TargetMode="External"/><Relationship Id="rId10" Type="http://schemas.openxmlformats.org/officeDocument/2006/relationships/hyperlink" Target="https://www.un.org/sustainabledevelopment/sustainable-development-goals/" TargetMode="External"/><Relationship Id="rId4" Type="http://schemas.openxmlformats.org/officeDocument/2006/relationships/hyperlink" Target="http://www.planalto.gov.br/ccivil_03/_ato2011-2014/2012/lei/L12651compilado.htm" TargetMode="External"/><Relationship Id="rId9" Type="http://schemas.openxmlformats.org/officeDocument/2006/relationships/hyperlink" Target="https://www.uncclearn.org/sites/default/files/inventory/un-redd05.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7359F-46EC-5748-A710-FA4D4966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10049</Words>
  <Characters>57280</Characters>
  <Application>Microsoft Office Word</Application>
  <DocSecurity>0</DocSecurity>
  <Lines>477</Lines>
  <Paragraphs>134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Salviati (FAS)</dc:creator>
  <cp:lastModifiedBy>UNDP REDD+ Team</cp:lastModifiedBy>
  <cp:revision>2</cp:revision>
  <cp:lastPrinted>2018-07-20T18:24:00Z</cp:lastPrinted>
  <dcterms:created xsi:type="dcterms:W3CDTF">2018-10-22T11:15:00Z</dcterms:created>
  <dcterms:modified xsi:type="dcterms:W3CDTF">2018-10-22T11:15:00Z</dcterms:modified>
</cp:coreProperties>
</file>