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8BA3" w14:textId="77777777" w:rsidR="002B1FC0" w:rsidRPr="00411B28" w:rsidRDefault="00DA47A8" w:rsidP="008529B1">
      <w:pPr>
        <w:rPr>
          <w:b/>
          <w:noProof/>
        </w:rPr>
      </w:pPr>
      <w:bookmarkStart w:id="0" w:name="_GoBack"/>
      <w:bookmarkEnd w:id="0"/>
      <w:r w:rsidRPr="00C80F34">
        <w:rPr>
          <w:noProof/>
        </w:rPr>
        <w:drawing>
          <wp:anchor distT="0" distB="0" distL="114300" distR="114300" simplePos="0" relativeHeight="251658240" behindDoc="1" locked="0" layoutInCell="1" allowOverlap="1" wp14:anchorId="37B7DBB3" wp14:editId="23742FA8">
            <wp:simplePos x="0" y="0"/>
            <wp:positionH relativeFrom="margin">
              <wp:align>right</wp:align>
            </wp:positionH>
            <wp:positionV relativeFrom="paragraph">
              <wp:posOffset>7620</wp:posOffset>
            </wp:positionV>
            <wp:extent cx="501010" cy="978011"/>
            <wp:effectExtent l="0" t="0" r="0" b="0"/>
            <wp:wrapNone/>
            <wp:docPr id="4" name="Picture 4" descr="Image result for 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nd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0" cy="978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0F34">
        <w:rPr>
          <w:b/>
        </w:rPr>
        <w:t xml:space="preserve"> </w:t>
      </w:r>
    </w:p>
    <w:p w14:paraId="2538A71C" w14:textId="77777777" w:rsidR="00DA47A8" w:rsidRPr="00C80F34" w:rsidRDefault="00DA47A8" w:rsidP="008529B1">
      <w:pPr>
        <w:rPr>
          <w:b/>
          <w:noProof/>
        </w:rPr>
      </w:pPr>
      <w:r w:rsidRPr="00C80F34">
        <w:rPr>
          <w:b/>
          <w:noProof/>
        </w:rPr>
        <w:drawing>
          <wp:anchor distT="0" distB="0" distL="114300" distR="114300" simplePos="0" relativeHeight="251659264" behindDoc="1" locked="0" layoutInCell="1" allowOverlap="1" wp14:anchorId="3B54FA67" wp14:editId="46170800">
            <wp:simplePos x="0" y="0"/>
            <wp:positionH relativeFrom="margin">
              <wp:align>left</wp:align>
            </wp:positionH>
            <wp:positionV relativeFrom="paragraph">
              <wp:posOffset>11216</wp:posOffset>
            </wp:positionV>
            <wp:extent cx="1642647" cy="593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731" cy="5972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FAE2C" w14:textId="77777777" w:rsidR="00DA47A8" w:rsidRPr="00411B28" w:rsidRDefault="00DA47A8" w:rsidP="008529B1">
      <w:pPr>
        <w:rPr>
          <w:b/>
        </w:rPr>
      </w:pPr>
    </w:p>
    <w:p w14:paraId="1C798F06" w14:textId="77777777" w:rsidR="00DA47A8" w:rsidRPr="00411B28" w:rsidRDefault="00DA47A8" w:rsidP="008529B1">
      <w:pPr>
        <w:rPr>
          <w:b/>
        </w:rPr>
      </w:pPr>
    </w:p>
    <w:p w14:paraId="6C1B7F90" w14:textId="77777777" w:rsidR="00DA47A8" w:rsidRPr="00456560" w:rsidRDefault="00DA47A8" w:rsidP="008529B1">
      <w:pPr>
        <w:rPr>
          <w: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78"/>
        <w:gridCol w:w="6951"/>
      </w:tblGrid>
      <w:tr w:rsidR="008529B1" w:rsidRPr="00C80F34" w14:paraId="03730936" w14:textId="77777777" w:rsidTr="00E1475F">
        <w:tc>
          <w:tcPr>
            <w:tcW w:w="9634" w:type="dxa"/>
            <w:gridSpan w:val="3"/>
          </w:tcPr>
          <w:p w14:paraId="14916FC4" w14:textId="77777777" w:rsidR="00A9598F" w:rsidRPr="0061488A" w:rsidRDefault="00A9598F" w:rsidP="008529B1">
            <w:pPr>
              <w:rPr>
                <w:b/>
                <w:sz w:val="22"/>
                <w:szCs w:val="22"/>
              </w:rPr>
            </w:pPr>
          </w:p>
          <w:p w14:paraId="75F99917" w14:textId="77777777" w:rsidR="008529B1" w:rsidRPr="0061488A" w:rsidRDefault="008529B1" w:rsidP="008529B1">
            <w:pPr>
              <w:rPr>
                <w:sz w:val="22"/>
                <w:szCs w:val="22"/>
              </w:rPr>
            </w:pPr>
            <w:r w:rsidRPr="0061488A">
              <w:rPr>
                <w:b/>
                <w:sz w:val="22"/>
                <w:szCs w:val="22"/>
              </w:rPr>
              <w:t>General Information</w:t>
            </w:r>
          </w:p>
        </w:tc>
      </w:tr>
      <w:tr w:rsidR="00FA1191" w:rsidRPr="00C80F34" w14:paraId="6FC6D5C3" w14:textId="77777777" w:rsidTr="00E1475F">
        <w:tc>
          <w:tcPr>
            <w:tcW w:w="2405" w:type="dxa"/>
          </w:tcPr>
          <w:p w14:paraId="6F3507D9" w14:textId="77777777" w:rsidR="00FA1191" w:rsidRPr="0061488A" w:rsidRDefault="00FA1191" w:rsidP="008529B1">
            <w:pPr>
              <w:rPr>
                <w:sz w:val="22"/>
                <w:szCs w:val="22"/>
              </w:rPr>
            </w:pPr>
            <w:r w:rsidRPr="0061488A">
              <w:rPr>
                <w:sz w:val="22"/>
                <w:szCs w:val="22"/>
              </w:rPr>
              <w:t>Applicant</w:t>
            </w:r>
          </w:p>
        </w:tc>
        <w:tc>
          <w:tcPr>
            <w:tcW w:w="278" w:type="dxa"/>
          </w:tcPr>
          <w:p w14:paraId="607B089D" w14:textId="77777777" w:rsidR="00FA1191" w:rsidRPr="0061488A" w:rsidRDefault="00FA1191" w:rsidP="008529B1">
            <w:pPr>
              <w:rPr>
                <w:sz w:val="22"/>
                <w:szCs w:val="22"/>
              </w:rPr>
            </w:pPr>
            <w:r w:rsidRPr="0061488A">
              <w:rPr>
                <w:sz w:val="22"/>
                <w:szCs w:val="22"/>
              </w:rPr>
              <w:t>:</w:t>
            </w:r>
          </w:p>
        </w:tc>
        <w:tc>
          <w:tcPr>
            <w:tcW w:w="6951" w:type="dxa"/>
          </w:tcPr>
          <w:p w14:paraId="6B0667BE" w14:textId="77777777" w:rsidR="00FA1191" w:rsidRPr="0061488A" w:rsidRDefault="0069690E" w:rsidP="00E1475F">
            <w:pPr>
              <w:rPr>
                <w:sz w:val="22"/>
                <w:szCs w:val="22"/>
              </w:rPr>
            </w:pPr>
            <w:r w:rsidRPr="0061488A">
              <w:rPr>
                <w:sz w:val="22"/>
                <w:szCs w:val="22"/>
              </w:rPr>
              <w:t>Yayasan Inisiatif Dagang Hijau (YIDH)</w:t>
            </w:r>
          </w:p>
        </w:tc>
      </w:tr>
      <w:tr w:rsidR="00FA1191" w:rsidRPr="00C80F34" w14:paraId="7164A420" w14:textId="77777777" w:rsidTr="00E1475F">
        <w:tc>
          <w:tcPr>
            <w:tcW w:w="2405" w:type="dxa"/>
          </w:tcPr>
          <w:p w14:paraId="3A038FDA" w14:textId="77777777" w:rsidR="00FA1191" w:rsidRPr="0061488A" w:rsidRDefault="00FA1191" w:rsidP="008529B1">
            <w:pPr>
              <w:rPr>
                <w:sz w:val="22"/>
                <w:szCs w:val="22"/>
              </w:rPr>
            </w:pPr>
            <w:r w:rsidRPr="0061488A">
              <w:rPr>
                <w:sz w:val="22"/>
                <w:szCs w:val="22"/>
              </w:rPr>
              <w:t>Jurisdiction</w:t>
            </w:r>
          </w:p>
        </w:tc>
        <w:tc>
          <w:tcPr>
            <w:tcW w:w="278" w:type="dxa"/>
          </w:tcPr>
          <w:p w14:paraId="35B27B55" w14:textId="77777777" w:rsidR="00FA1191" w:rsidRPr="0061488A" w:rsidRDefault="00FA1191" w:rsidP="008529B1">
            <w:pPr>
              <w:rPr>
                <w:sz w:val="22"/>
                <w:szCs w:val="22"/>
              </w:rPr>
            </w:pPr>
            <w:r w:rsidRPr="0061488A">
              <w:rPr>
                <w:sz w:val="22"/>
                <w:szCs w:val="22"/>
              </w:rPr>
              <w:t>:</w:t>
            </w:r>
          </w:p>
        </w:tc>
        <w:tc>
          <w:tcPr>
            <w:tcW w:w="6951" w:type="dxa"/>
          </w:tcPr>
          <w:p w14:paraId="1B323D41" w14:textId="77777777" w:rsidR="00FA1191" w:rsidRPr="0061488A" w:rsidRDefault="007B6A2A" w:rsidP="008529B1">
            <w:pPr>
              <w:rPr>
                <w:sz w:val="22"/>
                <w:szCs w:val="22"/>
              </w:rPr>
            </w:pPr>
            <w:r w:rsidRPr="0061488A">
              <w:rPr>
                <w:sz w:val="22"/>
                <w:szCs w:val="22"/>
              </w:rPr>
              <w:t>West Kalimantan Province</w:t>
            </w:r>
          </w:p>
        </w:tc>
      </w:tr>
      <w:tr w:rsidR="00FA1191" w:rsidRPr="00C80F34" w14:paraId="1C0617EC" w14:textId="77777777" w:rsidTr="00E1475F">
        <w:tc>
          <w:tcPr>
            <w:tcW w:w="2405" w:type="dxa"/>
          </w:tcPr>
          <w:p w14:paraId="3CF964B3" w14:textId="77777777" w:rsidR="00FA1191" w:rsidRPr="0061488A" w:rsidRDefault="00FA1191" w:rsidP="008529B1">
            <w:pPr>
              <w:rPr>
                <w:sz w:val="22"/>
                <w:szCs w:val="22"/>
              </w:rPr>
            </w:pPr>
            <w:r w:rsidRPr="0061488A">
              <w:rPr>
                <w:sz w:val="22"/>
                <w:szCs w:val="22"/>
              </w:rPr>
              <w:t>Project Title</w:t>
            </w:r>
          </w:p>
        </w:tc>
        <w:tc>
          <w:tcPr>
            <w:tcW w:w="278" w:type="dxa"/>
          </w:tcPr>
          <w:p w14:paraId="4698F148" w14:textId="77777777" w:rsidR="00FA1191" w:rsidRPr="0061488A" w:rsidRDefault="00FA1191" w:rsidP="008529B1">
            <w:pPr>
              <w:rPr>
                <w:sz w:val="22"/>
                <w:szCs w:val="22"/>
              </w:rPr>
            </w:pPr>
            <w:r w:rsidRPr="0061488A">
              <w:rPr>
                <w:sz w:val="22"/>
                <w:szCs w:val="22"/>
              </w:rPr>
              <w:t>:</w:t>
            </w:r>
          </w:p>
        </w:tc>
        <w:tc>
          <w:tcPr>
            <w:tcW w:w="6951" w:type="dxa"/>
          </w:tcPr>
          <w:p w14:paraId="746D3138" w14:textId="614E1A9C" w:rsidR="00FA1191" w:rsidRPr="0061488A" w:rsidRDefault="004A0E8C" w:rsidP="00CC639A">
            <w:pPr>
              <w:rPr>
                <w:sz w:val="22"/>
                <w:szCs w:val="22"/>
              </w:rPr>
            </w:pPr>
            <w:r w:rsidRPr="0061488A">
              <w:rPr>
                <w:sz w:val="22"/>
                <w:szCs w:val="22"/>
              </w:rPr>
              <w:t>Strengthen</w:t>
            </w:r>
            <w:r w:rsidR="00CC639A" w:rsidRPr="0061488A">
              <w:rPr>
                <w:sz w:val="22"/>
                <w:szCs w:val="22"/>
              </w:rPr>
              <w:t>ing</w:t>
            </w:r>
            <w:r w:rsidRPr="0061488A">
              <w:rPr>
                <w:sz w:val="22"/>
                <w:szCs w:val="22"/>
              </w:rPr>
              <w:t xml:space="preserve"> </w:t>
            </w:r>
            <w:r w:rsidR="00CC639A" w:rsidRPr="0061488A">
              <w:rPr>
                <w:sz w:val="22"/>
                <w:szCs w:val="22"/>
              </w:rPr>
              <w:t>strategy and capacity of</w:t>
            </w:r>
            <w:r w:rsidR="0069690E" w:rsidRPr="0061488A">
              <w:rPr>
                <w:sz w:val="22"/>
                <w:szCs w:val="22"/>
              </w:rPr>
              <w:t xml:space="preserve"> West Kalimantan </w:t>
            </w:r>
            <w:r w:rsidR="00CC639A" w:rsidRPr="0061488A">
              <w:rPr>
                <w:sz w:val="22"/>
                <w:szCs w:val="22"/>
              </w:rPr>
              <w:t xml:space="preserve">province </w:t>
            </w:r>
            <w:r w:rsidR="0069690E" w:rsidRPr="0061488A">
              <w:rPr>
                <w:sz w:val="22"/>
                <w:szCs w:val="22"/>
              </w:rPr>
              <w:t xml:space="preserve">to support National target </w:t>
            </w:r>
            <w:r w:rsidR="00CC639A" w:rsidRPr="0061488A">
              <w:rPr>
                <w:sz w:val="22"/>
                <w:szCs w:val="22"/>
              </w:rPr>
              <w:t xml:space="preserve">and jurisdictional approach </w:t>
            </w:r>
            <w:r w:rsidR="0069690E" w:rsidRPr="0061488A">
              <w:rPr>
                <w:sz w:val="22"/>
                <w:szCs w:val="22"/>
              </w:rPr>
              <w:t>in Reducing Carbon Emissions from Deforestation and Degradation</w:t>
            </w:r>
            <w:r w:rsidR="00CC639A" w:rsidRPr="0061488A">
              <w:rPr>
                <w:sz w:val="22"/>
                <w:szCs w:val="22"/>
              </w:rPr>
              <w:t xml:space="preserve"> </w:t>
            </w:r>
            <w:r w:rsidR="0069690E" w:rsidRPr="0061488A">
              <w:rPr>
                <w:sz w:val="22"/>
                <w:szCs w:val="22"/>
              </w:rPr>
              <w:t xml:space="preserve"> </w:t>
            </w:r>
          </w:p>
        </w:tc>
      </w:tr>
      <w:tr w:rsidR="00FA1191" w:rsidRPr="00C80F34" w14:paraId="3F3EAE00" w14:textId="77777777" w:rsidTr="00E1475F">
        <w:tc>
          <w:tcPr>
            <w:tcW w:w="2405" w:type="dxa"/>
          </w:tcPr>
          <w:p w14:paraId="30D085D6" w14:textId="77777777" w:rsidR="00FA1191" w:rsidRPr="0061488A" w:rsidRDefault="00FA1191" w:rsidP="008529B1">
            <w:pPr>
              <w:rPr>
                <w:sz w:val="22"/>
                <w:szCs w:val="22"/>
              </w:rPr>
            </w:pPr>
            <w:r w:rsidRPr="0061488A">
              <w:rPr>
                <w:sz w:val="22"/>
                <w:szCs w:val="22"/>
              </w:rPr>
              <w:t>Proposed Start Date</w:t>
            </w:r>
          </w:p>
        </w:tc>
        <w:tc>
          <w:tcPr>
            <w:tcW w:w="278" w:type="dxa"/>
          </w:tcPr>
          <w:p w14:paraId="4AAB390F" w14:textId="77777777" w:rsidR="00FA1191" w:rsidRPr="0061488A" w:rsidRDefault="00FA1191" w:rsidP="008529B1">
            <w:pPr>
              <w:rPr>
                <w:sz w:val="22"/>
                <w:szCs w:val="22"/>
              </w:rPr>
            </w:pPr>
            <w:r w:rsidRPr="0061488A">
              <w:rPr>
                <w:sz w:val="22"/>
                <w:szCs w:val="22"/>
              </w:rPr>
              <w:t>:</w:t>
            </w:r>
          </w:p>
        </w:tc>
        <w:tc>
          <w:tcPr>
            <w:tcW w:w="6951" w:type="dxa"/>
          </w:tcPr>
          <w:p w14:paraId="25B8D7E2" w14:textId="24570DB0" w:rsidR="00FA1191" w:rsidRPr="0061488A" w:rsidRDefault="00DA41C7" w:rsidP="008529B1">
            <w:pPr>
              <w:rPr>
                <w:sz w:val="22"/>
                <w:szCs w:val="22"/>
              </w:rPr>
            </w:pPr>
            <w:r w:rsidRPr="0061488A">
              <w:rPr>
                <w:sz w:val="22"/>
                <w:szCs w:val="22"/>
              </w:rPr>
              <w:t xml:space="preserve">September </w:t>
            </w:r>
            <w:r w:rsidR="004A0E8C" w:rsidRPr="0061488A">
              <w:rPr>
                <w:sz w:val="22"/>
                <w:szCs w:val="22"/>
              </w:rPr>
              <w:t>2018</w:t>
            </w:r>
          </w:p>
        </w:tc>
      </w:tr>
      <w:tr w:rsidR="00FA1191" w:rsidRPr="00C80F34" w14:paraId="345EBB8A" w14:textId="77777777" w:rsidTr="00E1475F">
        <w:tc>
          <w:tcPr>
            <w:tcW w:w="2405" w:type="dxa"/>
          </w:tcPr>
          <w:p w14:paraId="62A618FA" w14:textId="77777777" w:rsidR="00FA1191" w:rsidRPr="0061488A" w:rsidRDefault="00FA1191" w:rsidP="008529B1">
            <w:pPr>
              <w:rPr>
                <w:sz w:val="22"/>
                <w:szCs w:val="22"/>
              </w:rPr>
            </w:pPr>
            <w:r w:rsidRPr="0061488A">
              <w:rPr>
                <w:sz w:val="22"/>
                <w:szCs w:val="22"/>
              </w:rPr>
              <w:t>Proposed Duration</w:t>
            </w:r>
          </w:p>
        </w:tc>
        <w:tc>
          <w:tcPr>
            <w:tcW w:w="278" w:type="dxa"/>
          </w:tcPr>
          <w:p w14:paraId="19192D01" w14:textId="77777777" w:rsidR="00FA1191" w:rsidRPr="0061488A" w:rsidRDefault="00FA1191" w:rsidP="008529B1">
            <w:pPr>
              <w:rPr>
                <w:sz w:val="22"/>
                <w:szCs w:val="22"/>
              </w:rPr>
            </w:pPr>
            <w:r w:rsidRPr="0061488A">
              <w:rPr>
                <w:sz w:val="22"/>
                <w:szCs w:val="22"/>
              </w:rPr>
              <w:t>:</w:t>
            </w:r>
          </w:p>
        </w:tc>
        <w:tc>
          <w:tcPr>
            <w:tcW w:w="6951" w:type="dxa"/>
          </w:tcPr>
          <w:p w14:paraId="75E02E57" w14:textId="77777777" w:rsidR="00FA1191" w:rsidRPr="0061488A" w:rsidRDefault="004A0E8C" w:rsidP="008529B1">
            <w:pPr>
              <w:rPr>
                <w:sz w:val="22"/>
                <w:szCs w:val="22"/>
              </w:rPr>
            </w:pPr>
            <w:r w:rsidRPr="0061488A">
              <w:rPr>
                <w:sz w:val="22"/>
                <w:szCs w:val="22"/>
              </w:rPr>
              <w:t>18 Months</w:t>
            </w:r>
          </w:p>
        </w:tc>
      </w:tr>
      <w:tr w:rsidR="00FA1191" w:rsidRPr="00C80F34" w14:paraId="5703DC11" w14:textId="77777777" w:rsidTr="00E1475F">
        <w:tc>
          <w:tcPr>
            <w:tcW w:w="2405" w:type="dxa"/>
          </w:tcPr>
          <w:p w14:paraId="314D6165" w14:textId="77777777" w:rsidR="00FA1191" w:rsidRPr="0061488A" w:rsidRDefault="00FA1191" w:rsidP="008529B1">
            <w:pPr>
              <w:rPr>
                <w:sz w:val="22"/>
                <w:szCs w:val="22"/>
              </w:rPr>
            </w:pPr>
            <w:r w:rsidRPr="0061488A">
              <w:rPr>
                <w:sz w:val="22"/>
                <w:szCs w:val="22"/>
              </w:rPr>
              <w:t>Total Request in USD</w:t>
            </w:r>
          </w:p>
        </w:tc>
        <w:tc>
          <w:tcPr>
            <w:tcW w:w="278" w:type="dxa"/>
          </w:tcPr>
          <w:p w14:paraId="009E2561" w14:textId="77777777" w:rsidR="00FA1191" w:rsidRPr="0061488A" w:rsidRDefault="00FA1191" w:rsidP="008529B1">
            <w:pPr>
              <w:rPr>
                <w:sz w:val="22"/>
                <w:szCs w:val="22"/>
              </w:rPr>
            </w:pPr>
            <w:r w:rsidRPr="0061488A">
              <w:rPr>
                <w:sz w:val="22"/>
                <w:szCs w:val="22"/>
              </w:rPr>
              <w:t>:</w:t>
            </w:r>
          </w:p>
        </w:tc>
        <w:tc>
          <w:tcPr>
            <w:tcW w:w="6951" w:type="dxa"/>
          </w:tcPr>
          <w:p w14:paraId="4E0CAADE" w14:textId="04FB2E31" w:rsidR="00FA1191" w:rsidRPr="0061488A" w:rsidRDefault="00255BE6" w:rsidP="008529B1">
            <w:pPr>
              <w:rPr>
                <w:sz w:val="22"/>
                <w:szCs w:val="22"/>
              </w:rPr>
            </w:pPr>
            <w:r w:rsidRPr="0061488A">
              <w:rPr>
                <w:sz w:val="22"/>
                <w:szCs w:val="22"/>
              </w:rPr>
              <w:t>US</w:t>
            </w:r>
            <w:r w:rsidR="00CA0B12" w:rsidRPr="0061488A">
              <w:rPr>
                <w:sz w:val="22"/>
                <w:szCs w:val="22"/>
              </w:rPr>
              <w:t>D</w:t>
            </w:r>
            <w:r w:rsidRPr="0061488A">
              <w:rPr>
                <w:sz w:val="22"/>
                <w:szCs w:val="22"/>
              </w:rPr>
              <w:t xml:space="preserve"> </w:t>
            </w:r>
            <w:r w:rsidR="006D4BB4" w:rsidRPr="0061488A">
              <w:rPr>
                <w:sz w:val="22"/>
                <w:szCs w:val="22"/>
              </w:rPr>
              <w:t>399</w:t>
            </w:r>
            <w:r w:rsidRPr="0061488A">
              <w:rPr>
                <w:sz w:val="22"/>
                <w:szCs w:val="22"/>
              </w:rPr>
              <w:t>.</w:t>
            </w:r>
            <w:r w:rsidR="0090463C" w:rsidRPr="0061488A">
              <w:rPr>
                <w:sz w:val="22"/>
                <w:szCs w:val="22"/>
              </w:rPr>
              <w:t>78</w:t>
            </w:r>
            <w:r w:rsidR="006D4BB4" w:rsidRPr="0061488A">
              <w:rPr>
                <w:sz w:val="22"/>
                <w:szCs w:val="22"/>
              </w:rPr>
              <w:t>6</w:t>
            </w:r>
          </w:p>
        </w:tc>
      </w:tr>
      <w:tr w:rsidR="008529B1" w:rsidRPr="00C80F34" w14:paraId="317B2C01" w14:textId="77777777" w:rsidTr="00E1475F">
        <w:tc>
          <w:tcPr>
            <w:tcW w:w="2405" w:type="dxa"/>
          </w:tcPr>
          <w:p w14:paraId="4A1E602D" w14:textId="77777777" w:rsidR="008529B1" w:rsidRPr="0061488A" w:rsidRDefault="008529B1" w:rsidP="008529B1">
            <w:pPr>
              <w:rPr>
                <w:sz w:val="22"/>
                <w:szCs w:val="22"/>
              </w:rPr>
            </w:pPr>
          </w:p>
        </w:tc>
        <w:tc>
          <w:tcPr>
            <w:tcW w:w="278" w:type="dxa"/>
          </w:tcPr>
          <w:p w14:paraId="0A5C7CB0" w14:textId="77777777" w:rsidR="008529B1" w:rsidRPr="0061488A" w:rsidRDefault="008529B1" w:rsidP="008529B1">
            <w:pPr>
              <w:rPr>
                <w:sz w:val="22"/>
                <w:szCs w:val="22"/>
              </w:rPr>
            </w:pPr>
          </w:p>
        </w:tc>
        <w:tc>
          <w:tcPr>
            <w:tcW w:w="6951" w:type="dxa"/>
          </w:tcPr>
          <w:p w14:paraId="1928135A" w14:textId="77777777" w:rsidR="008529B1" w:rsidRPr="0061488A" w:rsidRDefault="008529B1" w:rsidP="008529B1">
            <w:pPr>
              <w:rPr>
                <w:sz w:val="22"/>
                <w:szCs w:val="22"/>
              </w:rPr>
            </w:pPr>
          </w:p>
        </w:tc>
      </w:tr>
      <w:tr w:rsidR="008529B1" w:rsidRPr="00C80F34" w14:paraId="75E03806" w14:textId="77777777" w:rsidTr="00E1475F">
        <w:tc>
          <w:tcPr>
            <w:tcW w:w="9634" w:type="dxa"/>
            <w:gridSpan w:val="3"/>
          </w:tcPr>
          <w:p w14:paraId="5D53E0B4" w14:textId="77777777" w:rsidR="008529B1" w:rsidRPr="0061488A" w:rsidRDefault="008529B1" w:rsidP="008529B1">
            <w:pPr>
              <w:rPr>
                <w:sz w:val="22"/>
                <w:szCs w:val="22"/>
              </w:rPr>
            </w:pPr>
            <w:r w:rsidRPr="0061488A">
              <w:rPr>
                <w:b/>
                <w:sz w:val="22"/>
                <w:szCs w:val="22"/>
              </w:rPr>
              <w:t>Applicant Contact Details</w:t>
            </w:r>
            <w:r w:rsidR="006C28E0" w:rsidRPr="0061488A">
              <w:rPr>
                <w:b/>
                <w:sz w:val="22"/>
                <w:szCs w:val="22"/>
              </w:rPr>
              <w:t xml:space="preserve"> 1</w:t>
            </w:r>
          </w:p>
        </w:tc>
      </w:tr>
      <w:tr w:rsidR="00076551" w:rsidRPr="00C80F34" w14:paraId="229D8A44" w14:textId="77777777" w:rsidTr="00E1475F">
        <w:tc>
          <w:tcPr>
            <w:tcW w:w="2405" w:type="dxa"/>
          </w:tcPr>
          <w:p w14:paraId="35D227D4" w14:textId="77777777" w:rsidR="00076551" w:rsidRPr="0061488A" w:rsidRDefault="00076551" w:rsidP="00076551">
            <w:pPr>
              <w:rPr>
                <w:sz w:val="22"/>
                <w:szCs w:val="22"/>
              </w:rPr>
            </w:pPr>
            <w:r w:rsidRPr="0061488A">
              <w:rPr>
                <w:sz w:val="22"/>
                <w:szCs w:val="22"/>
              </w:rPr>
              <w:t>Contact Name</w:t>
            </w:r>
          </w:p>
        </w:tc>
        <w:tc>
          <w:tcPr>
            <w:tcW w:w="278" w:type="dxa"/>
          </w:tcPr>
          <w:p w14:paraId="5A4ECE59" w14:textId="77777777" w:rsidR="00076551" w:rsidRPr="0061488A" w:rsidRDefault="00076551" w:rsidP="00076551">
            <w:pPr>
              <w:rPr>
                <w:sz w:val="22"/>
                <w:szCs w:val="22"/>
              </w:rPr>
            </w:pPr>
            <w:r w:rsidRPr="0061488A">
              <w:rPr>
                <w:sz w:val="22"/>
                <w:szCs w:val="22"/>
              </w:rPr>
              <w:t>:</w:t>
            </w:r>
          </w:p>
        </w:tc>
        <w:tc>
          <w:tcPr>
            <w:tcW w:w="6951" w:type="dxa"/>
          </w:tcPr>
          <w:p w14:paraId="1C4F2079" w14:textId="77777777" w:rsidR="00076551" w:rsidRPr="0061488A" w:rsidRDefault="00076551" w:rsidP="001B3BC6">
            <w:pPr>
              <w:rPr>
                <w:sz w:val="22"/>
                <w:szCs w:val="22"/>
              </w:rPr>
            </w:pPr>
            <w:r w:rsidRPr="0061488A">
              <w:rPr>
                <w:sz w:val="22"/>
                <w:szCs w:val="22"/>
              </w:rPr>
              <w:t>Fitrian Ardiansyah</w:t>
            </w:r>
          </w:p>
        </w:tc>
      </w:tr>
      <w:tr w:rsidR="00076551" w:rsidRPr="00C80F34" w14:paraId="3D2AB7E6" w14:textId="77777777" w:rsidTr="00E1475F">
        <w:tc>
          <w:tcPr>
            <w:tcW w:w="2405" w:type="dxa"/>
          </w:tcPr>
          <w:p w14:paraId="10CE110C" w14:textId="77777777" w:rsidR="00076551" w:rsidRPr="0061488A" w:rsidRDefault="00076551" w:rsidP="00076551">
            <w:pPr>
              <w:rPr>
                <w:sz w:val="22"/>
                <w:szCs w:val="22"/>
              </w:rPr>
            </w:pPr>
            <w:r w:rsidRPr="0061488A">
              <w:rPr>
                <w:sz w:val="22"/>
                <w:szCs w:val="22"/>
              </w:rPr>
              <w:t>Title</w:t>
            </w:r>
          </w:p>
        </w:tc>
        <w:tc>
          <w:tcPr>
            <w:tcW w:w="278" w:type="dxa"/>
          </w:tcPr>
          <w:p w14:paraId="4C70B1A1" w14:textId="77777777" w:rsidR="00076551" w:rsidRPr="0061488A" w:rsidRDefault="00076551" w:rsidP="00076551">
            <w:pPr>
              <w:rPr>
                <w:sz w:val="22"/>
                <w:szCs w:val="22"/>
              </w:rPr>
            </w:pPr>
            <w:r w:rsidRPr="0061488A">
              <w:rPr>
                <w:sz w:val="22"/>
                <w:szCs w:val="22"/>
              </w:rPr>
              <w:t>:</w:t>
            </w:r>
          </w:p>
        </w:tc>
        <w:tc>
          <w:tcPr>
            <w:tcW w:w="6951" w:type="dxa"/>
          </w:tcPr>
          <w:p w14:paraId="1A5B5724" w14:textId="77777777" w:rsidR="00076551" w:rsidRPr="0061488A" w:rsidRDefault="0069690E" w:rsidP="00076551">
            <w:pPr>
              <w:rPr>
                <w:sz w:val="22"/>
                <w:szCs w:val="22"/>
              </w:rPr>
            </w:pPr>
            <w:r w:rsidRPr="0061488A">
              <w:rPr>
                <w:sz w:val="22"/>
                <w:szCs w:val="22"/>
              </w:rPr>
              <w:t>Chairman of the Executive Board</w:t>
            </w:r>
          </w:p>
        </w:tc>
      </w:tr>
      <w:tr w:rsidR="00076551" w:rsidRPr="00C80F34" w14:paraId="479FD307" w14:textId="77777777" w:rsidTr="00E1475F">
        <w:tc>
          <w:tcPr>
            <w:tcW w:w="2405" w:type="dxa"/>
          </w:tcPr>
          <w:p w14:paraId="2ADDD8C2" w14:textId="77777777" w:rsidR="00076551" w:rsidRPr="0061488A" w:rsidRDefault="00076551" w:rsidP="00076551">
            <w:pPr>
              <w:rPr>
                <w:sz w:val="22"/>
                <w:szCs w:val="22"/>
              </w:rPr>
            </w:pPr>
            <w:r w:rsidRPr="0061488A">
              <w:rPr>
                <w:sz w:val="22"/>
                <w:szCs w:val="22"/>
              </w:rPr>
              <w:t>Organization</w:t>
            </w:r>
          </w:p>
        </w:tc>
        <w:tc>
          <w:tcPr>
            <w:tcW w:w="278" w:type="dxa"/>
          </w:tcPr>
          <w:p w14:paraId="1BD15B07" w14:textId="77777777" w:rsidR="00076551" w:rsidRPr="0061488A" w:rsidRDefault="00076551" w:rsidP="00076551">
            <w:pPr>
              <w:rPr>
                <w:sz w:val="22"/>
                <w:szCs w:val="22"/>
              </w:rPr>
            </w:pPr>
            <w:r w:rsidRPr="0061488A">
              <w:rPr>
                <w:sz w:val="22"/>
                <w:szCs w:val="22"/>
              </w:rPr>
              <w:t>:</w:t>
            </w:r>
          </w:p>
        </w:tc>
        <w:tc>
          <w:tcPr>
            <w:tcW w:w="6951" w:type="dxa"/>
          </w:tcPr>
          <w:p w14:paraId="499DD922" w14:textId="77777777" w:rsidR="00076551" w:rsidRPr="0061488A" w:rsidRDefault="00076551" w:rsidP="00076551">
            <w:pPr>
              <w:rPr>
                <w:sz w:val="22"/>
                <w:szCs w:val="22"/>
              </w:rPr>
            </w:pPr>
            <w:r w:rsidRPr="0061488A">
              <w:rPr>
                <w:sz w:val="22"/>
                <w:szCs w:val="22"/>
              </w:rPr>
              <w:t>Yayasan Inisiatif Dagang Hijau</w:t>
            </w:r>
            <w:r w:rsidR="0069690E" w:rsidRPr="0061488A">
              <w:rPr>
                <w:sz w:val="22"/>
                <w:szCs w:val="22"/>
              </w:rPr>
              <w:t xml:space="preserve"> (YIDH) </w:t>
            </w:r>
          </w:p>
        </w:tc>
      </w:tr>
      <w:tr w:rsidR="00076551" w:rsidRPr="00C80F34" w14:paraId="10CF9102" w14:textId="77777777" w:rsidTr="00E1475F">
        <w:tc>
          <w:tcPr>
            <w:tcW w:w="2405" w:type="dxa"/>
          </w:tcPr>
          <w:p w14:paraId="596FA00A" w14:textId="77777777" w:rsidR="00076551" w:rsidRPr="0061488A" w:rsidRDefault="00076551" w:rsidP="00076551">
            <w:pPr>
              <w:rPr>
                <w:sz w:val="22"/>
                <w:szCs w:val="22"/>
              </w:rPr>
            </w:pPr>
            <w:r w:rsidRPr="0061488A">
              <w:rPr>
                <w:sz w:val="22"/>
                <w:szCs w:val="22"/>
              </w:rPr>
              <w:t>Address</w:t>
            </w:r>
          </w:p>
        </w:tc>
        <w:tc>
          <w:tcPr>
            <w:tcW w:w="278" w:type="dxa"/>
          </w:tcPr>
          <w:p w14:paraId="2A5B7A13" w14:textId="77777777" w:rsidR="00076551" w:rsidRPr="0061488A" w:rsidRDefault="00076551" w:rsidP="00076551">
            <w:pPr>
              <w:rPr>
                <w:sz w:val="22"/>
                <w:szCs w:val="22"/>
              </w:rPr>
            </w:pPr>
            <w:r w:rsidRPr="0061488A">
              <w:rPr>
                <w:sz w:val="22"/>
                <w:szCs w:val="22"/>
              </w:rPr>
              <w:t>:</w:t>
            </w:r>
          </w:p>
        </w:tc>
        <w:tc>
          <w:tcPr>
            <w:tcW w:w="6951" w:type="dxa"/>
          </w:tcPr>
          <w:p w14:paraId="1266E799" w14:textId="77777777" w:rsidR="00076551" w:rsidRPr="0061488A" w:rsidRDefault="00076551" w:rsidP="00076551">
            <w:pPr>
              <w:rPr>
                <w:sz w:val="22"/>
                <w:szCs w:val="22"/>
              </w:rPr>
            </w:pPr>
            <w:r w:rsidRPr="0061488A">
              <w:rPr>
                <w:sz w:val="22"/>
                <w:szCs w:val="22"/>
              </w:rPr>
              <w:t>Jl. Setia Budi Selatan No.26, RT.5/RW.1, Kuningan, Setia Budi, Kecamatan Setiabudi, Kota Jakarta Selatan, Daerah Khusus Ibukota Jakarta 12910</w:t>
            </w:r>
          </w:p>
        </w:tc>
      </w:tr>
      <w:tr w:rsidR="00076551" w:rsidRPr="00C80F34" w14:paraId="01F73674" w14:textId="77777777" w:rsidTr="00E1475F">
        <w:tc>
          <w:tcPr>
            <w:tcW w:w="2405" w:type="dxa"/>
          </w:tcPr>
          <w:p w14:paraId="05FAA497" w14:textId="77777777" w:rsidR="00076551" w:rsidRPr="0061488A" w:rsidRDefault="00076551" w:rsidP="00076551">
            <w:pPr>
              <w:rPr>
                <w:sz w:val="22"/>
                <w:szCs w:val="22"/>
              </w:rPr>
            </w:pPr>
            <w:r w:rsidRPr="0061488A">
              <w:rPr>
                <w:sz w:val="22"/>
                <w:szCs w:val="22"/>
              </w:rPr>
              <w:t>Phone</w:t>
            </w:r>
          </w:p>
        </w:tc>
        <w:tc>
          <w:tcPr>
            <w:tcW w:w="278" w:type="dxa"/>
          </w:tcPr>
          <w:p w14:paraId="7B88E46E" w14:textId="77777777" w:rsidR="00076551" w:rsidRPr="0061488A" w:rsidRDefault="00076551" w:rsidP="00076551">
            <w:pPr>
              <w:rPr>
                <w:sz w:val="22"/>
                <w:szCs w:val="22"/>
              </w:rPr>
            </w:pPr>
            <w:r w:rsidRPr="0061488A">
              <w:rPr>
                <w:sz w:val="22"/>
                <w:szCs w:val="22"/>
              </w:rPr>
              <w:t>:</w:t>
            </w:r>
          </w:p>
        </w:tc>
        <w:tc>
          <w:tcPr>
            <w:tcW w:w="6951" w:type="dxa"/>
          </w:tcPr>
          <w:p w14:paraId="4DB05D46" w14:textId="77777777" w:rsidR="00076551" w:rsidRPr="0061488A" w:rsidRDefault="00076551" w:rsidP="00076551">
            <w:pPr>
              <w:rPr>
                <w:sz w:val="22"/>
                <w:szCs w:val="22"/>
              </w:rPr>
            </w:pPr>
            <w:r w:rsidRPr="0061488A">
              <w:rPr>
                <w:sz w:val="22"/>
                <w:szCs w:val="22"/>
              </w:rPr>
              <w:t>(+62) 811-135-7100</w:t>
            </w:r>
          </w:p>
        </w:tc>
      </w:tr>
      <w:tr w:rsidR="00076551" w:rsidRPr="00C80F34" w14:paraId="799C8B89" w14:textId="77777777" w:rsidTr="00E1475F">
        <w:tc>
          <w:tcPr>
            <w:tcW w:w="2405" w:type="dxa"/>
          </w:tcPr>
          <w:p w14:paraId="03F0A276" w14:textId="77777777" w:rsidR="00076551" w:rsidRPr="0061488A" w:rsidRDefault="00076551" w:rsidP="00076551">
            <w:pPr>
              <w:rPr>
                <w:sz w:val="22"/>
                <w:szCs w:val="22"/>
              </w:rPr>
            </w:pPr>
            <w:r w:rsidRPr="0061488A">
              <w:rPr>
                <w:sz w:val="22"/>
                <w:szCs w:val="22"/>
              </w:rPr>
              <w:t>Email</w:t>
            </w:r>
          </w:p>
        </w:tc>
        <w:tc>
          <w:tcPr>
            <w:tcW w:w="278" w:type="dxa"/>
          </w:tcPr>
          <w:p w14:paraId="419543B0" w14:textId="77777777" w:rsidR="00076551" w:rsidRPr="0061488A" w:rsidRDefault="00076551" w:rsidP="00076551">
            <w:pPr>
              <w:rPr>
                <w:sz w:val="22"/>
                <w:szCs w:val="22"/>
              </w:rPr>
            </w:pPr>
            <w:r w:rsidRPr="0061488A">
              <w:rPr>
                <w:sz w:val="22"/>
                <w:szCs w:val="22"/>
              </w:rPr>
              <w:t>:</w:t>
            </w:r>
          </w:p>
        </w:tc>
        <w:tc>
          <w:tcPr>
            <w:tcW w:w="6951" w:type="dxa"/>
          </w:tcPr>
          <w:p w14:paraId="165297F7" w14:textId="77777777" w:rsidR="00076551" w:rsidRPr="0061488A" w:rsidRDefault="00076551" w:rsidP="00076551">
            <w:pPr>
              <w:rPr>
                <w:sz w:val="22"/>
                <w:szCs w:val="22"/>
              </w:rPr>
            </w:pPr>
            <w:r w:rsidRPr="0061488A">
              <w:rPr>
                <w:sz w:val="22"/>
                <w:szCs w:val="22"/>
              </w:rPr>
              <w:t xml:space="preserve">ardiansyah@idhtrade.org </w:t>
            </w:r>
          </w:p>
        </w:tc>
      </w:tr>
      <w:tr w:rsidR="00E1475F" w:rsidRPr="00C80F34" w14:paraId="61768904" w14:textId="77777777" w:rsidTr="00E1475F">
        <w:tc>
          <w:tcPr>
            <w:tcW w:w="2405" w:type="dxa"/>
          </w:tcPr>
          <w:p w14:paraId="05A1F871" w14:textId="77777777" w:rsidR="00E1475F" w:rsidRPr="0061488A" w:rsidRDefault="00E1475F" w:rsidP="00E1475F">
            <w:pPr>
              <w:rPr>
                <w:sz w:val="22"/>
                <w:szCs w:val="22"/>
              </w:rPr>
            </w:pPr>
          </w:p>
        </w:tc>
        <w:tc>
          <w:tcPr>
            <w:tcW w:w="278" w:type="dxa"/>
          </w:tcPr>
          <w:p w14:paraId="31C4A94B" w14:textId="77777777" w:rsidR="00E1475F" w:rsidRPr="0061488A" w:rsidRDefault="00E1475F" w:rsidP="00E1475F">
            <w:pPr>
              <w:rPr>
                <w:sz w:val="22"/>
                <w:szCs w:val="22"/>
              </w:rPr>
            </w:pPr>
          </w:p>
        </w:tc>
        <w:tc>
          <w:tcPr>
            <w:tcW w:w="6951" w:type="dxa"/>
          </w:tcPr>
          <w:p w14:paraId="609F7C75" w14:textId="77777777" w:rsidR="00E1475F" w:rsidRPr="0061488A" w:rsidRDefault="00E1475F" w:rsidP="00E1475F">
            <w:pPr>
              <w:rPr>
                <w:sz w:val="22"/>
                <w:szCs w:val="22"/>
              </w:rPr>
            </w:pPr>
          </w:p>
        </w:tc>
      </w:tr>
      <w:tr w:rsidR="00E1475F" w:rsidRPr="00C80F34" w14:paraId="30DB690B" w14:textId="77777777" w:rsidTr="00E1475F">
        <w:tc>
          <w:tcPr>
            <w:tcW w:w="9634" w:type="dxa"/>
            <w:gridSpan w:val="3"/>
          </w:tcPr>
          <w:p w14:paraId="1B73499A" w14:textId="77777777" w:rsidR="00E1475F" w:rsidRPr="0061488A" w:rsidRDefault="00E1475F" w:rsidP="00E1475F">
            <w:pPr>
              <w:rPr>
                <w:sz w:val="22"/>
                <w:szCs w:val="22"/>
              </w:rPr>
            </w:pPr>
            <w:r w:rsidRPr="0061488A">
              <w:rPr>
                <w:b/>
                <w:sz w:val="22"/>
                <w:szCs w:val="22"/>
              </w:rPr>
              <w:t>Applicant Contact Details 2</w:t>
            </w:r>
          </w:p>
        </w:tc>
      </w:tr>
      <w:tr w:rsidR="00956723" w:rsidRPr="00C80F34" w14:paraId="06A165B3" w14:textId="77777777" w:rsidTr="00E1475F">
        <w:tc>
          <w:tcPr>
            <w:tcW w:w="2405" w:type="dxa"/>
          </w:tcPr>
          <w:p w14:paraId="6C59AB80" w14:textId="77777777" w:rsidR="00956723" w:rsidRPr="0061488A" w:rsidRDefault="00956723" w:rsidP="00956723">
            <w:pPr>
              <w:rPr>
                <w:sz w:val="22"/>
                <w:szCs w:val="22"/>
              </w:rPr>
            </w:pPr>
            <w:r w:rsidRPr="0061488A">
              <w:rPr>
                <w:sz w:val="22"/>
                <w:szCs w:val="22"/>
              </w:rPr>
              <w:t>Contact Name</w:t>
            </w:r>
          </w:p>
        </w:tc>
        <w:tc>
          <w:tcPr>
            <w:tcW w:w="278" w:type="dxa"/>
          </w:tcPr>
          <w:p w14:paraId="47154BE7" w14:textId="77777777" w:rsidR="00956723" w:rsidRPr="0061488A" w:rsidRDefault="00956723" w:rsidP="00956723">
            <w:pPr>
              <w:rPr>
                <w:sz w:val="22"/>
                <w:szCs w:val="22"/>
              </w:rPr>
            </w:pPr>
            <w:r w:rsidRPr="0061488A">
              <w:rPr>
                <w:sz w:val="22"/>
                <w:szCs w:val="22"/>
              </w:rPr>
              <w:t>:</w:t>
            </w:r>
          </w:p>
        </w:tc>
        <w:tc>
          <w:tcPr>
            <w:tcW w:w="6951" w:type="dxa"/>
          </w:tcPr>
          <w:p w14:paraId="170DC73E" w14:textId="77777777" w:rsidR="00956723" w:rsidRPr="0061488A" w:rsidRDefault="00956723" w:rsidP="00956723">
            <w:pPr>
              <w:rPr>
                <w:sz w:val="22"/>
                <w:szCs w:val="22"/>
              </w:rPr>
            </w:pPr>
            <w:r w:rsidRPr="0061488A">
              <w:rPr>
                <w:sz w:val="22"/>
                <w:szCs w:val="22"/>
              </w:rPr>
              <w:t>Aristia Hady Wanjaya</w:t>
            </w:r>
          </w:p>
        </w:tc>
      </w:tr>
      <w:tr w:rsidR="00956723" w:rsidRPr="00C80F34" w14:paraId="79021E05" w14:textId="77777777" w:rsidTr="00E1475F">
        <w:tc>
          <w:tcPr>
            <w:tcW w:w="2405" w:type="dxa"/>
          </w:tcPr>
          <w:p w14:paraId="78C74523" w14:textId="77777777" w:rsidR="00956723" w:rsidRPr="0061488A" w:rsidRDefault="00956723" w:rsidP="00956723">
            <w:pPr>
              <w:rPr>
                <w:sz w:val="22"/>
                <w:szCs w:val="22"/>
              </w:rPr>
            </w:pPr>
            <w:r w:rsidRPr="0061488A">
              <w:rPr>
                <w:sz w:val="22"/>
                <w:szCs w:val="22"/>
              </w:rPr>
              <w:t>Title</w:t>
            </w:r>
          </w:p>
        </w:tc>
        <w:tc>
          <w:tcPr>
            <w:tcW w:w="278" w:type="dxa"/>
          </w:tcPr>
          <w:p w14:paraId="0FB44A00" w14:textId="77777777" w:rsidR="00956723" w:rsidRPr="0061488A" w:rsidRDefault="00956723" w:rsidP="00956723">
            <w:pPr>
              <w:rPr>
                <w:sz w:val="22"/>
                <w:szCs w:val="22"/>
              </w:rPr>
            </w:pPr>
            <w:r w:rsidRPr="0061488A">
              <w:rPr>
                <w:sz w:val="22"/>
                <w:szCs w:val="22"/>
              </w:rPr>
              <w:t>:</w:t>
            </w:r>
          </w:p>
        </w:tc>
        <w:tc>
          <w:tcPr>
            <w:tcW w:w="6951" w:type="dxa"/>
          </w:tcPr>
          <w:p w14:paraId="1287A643" w14:textId="77777777" w:rsidR="00956723" w:rsidRPr="0061488A" w:rsidRDefault="00956723" w:rsidP="00956723">
            <w:pPr>
              <w:rPr>
                <w:sz w:val="22"/>
                <w:szCs w:val="22"/>
              </w:rPr>
            </w:pPr>
            <w:r w:rsidRPr="0061488A">
              <w:rPr>
                <w:sz w:val="22"/>
                <w:szCs w:val="22"/>
                <w:lang w:val="id-ID"/>
              </w:rPr>
              <w:t>Program Manager</w:t>
            </w:r>
          </w:p>
        </w:tc>
      </w:tr>
      <w:tr w:rsidR="00956723" w:rsidRPr="00C80F34" w14:paraId="7153E3E1" w14:textId="77777777" w:rsidTr="00E1475F">
        <w:tc>
          <w:tcPr>
            <w:tcW w:w="2405" w:type="dxa"/>
          </w:tcPr>
          <w:p w14:paraId="6146A32B" w14:textId="77777777" w:rsidR="00956723" w:rsidRPr="0061488A" w:rsidRDefault="00956723" w:rsidP="00956723">
            <w:pPr>
              <w:rPr>
                <w:sz w:val="22"/>
                <w:szCs w:val="22"/>
              </w:rPr>
            </w:pPr>
            <w:r w:rsidRPr="0061488A">
              <w:rPr>
                <w:sz w:val="22"/>
                <w:szCs w:val="22"/>
              </w:rPr>
              <w:t>Organization</w:t>
            </w:r>
          </w:p>
        </w:tc>
        <w:tc>
          <w:tcPr>
            <w:tcW w:w="278" w:type="dxa"/>
          </w:tcPr>
          <w:p w14:paraId="6DEEA47A" w14:textId="77777777" w:rsidR="00956723" w:rsidRPr="0061488A" w:rsidRDefault="00956723" w:rsidP="00956723">
            <w:pPr>
              <w:rPr>
                <w:sz w:val="22"/>
                <w:szCs w:val="22"/>
              </w:rPr>
            </w:pPr>
            <w:r w:rsidRPr="0061488A">
              <w:rPr>
                <w:sz w:val="22"/>
                <w:szCs w:val="22"/>
              </w:rPr>
              <w:t>:</w:t>
            </w:r>
          </w:p>
        </w:tc>
        <w:tc>
          <w:tcPr>
            <w:tcW w:w="6951" w:type="dxa"/>
          </w:tcPr>
          <w:p w14:paraId="7728BFD2" w14:textId="77777777" w:rsidR="00956723" w:rsidRPr="0061488A" w:rsidRDefault="00956723" w:rsidP="00956723">
            <w:pPr>
              <w:rPr>
                <w:sz w:val="22"/>
                <w:szCs w:val="22"/>
              </w:rPr>
            </w:pPr>
            <w:r w:rsidRPr="0061488A">
              <w:rPr>
                <w:sz w:val="22"/>
                <w:szCs w:val="22"/>
              </w:rPr>
              <w:t>Yayasan Inisiatif Dagang Hijau (YIDH)</w:t>
            </w:r>
          </w:p>
        </w:tc>
      </w:tr>
      <w:tr w:rsidR="00956723" w:rsidRPr="00C80F34" w14:paraId="39CB25FD" w14:textId="77777777" w:rsidTr="00E1475F">
        <w:tc>
          <w:tcPr>
            <w:tcW w:w="2405" w:type="dxa"/>
          </w:tcPr>
          <w:p w14:paraId="3A5A3409" w14:textId="77777777" w:rsidR="00956723" w:rsidRPr="0061488A" w:rsidRDefault="00956723" w:rsidP="00956723">
            <w:pPr>
              <w:rPr>
                <w:sz w:val="22"/>
                <w:szCs w:val="22"/>
              </w:rPr>
            </w:pPr>
            <w:r w:rsidRPr="0061488A">
              <w:rPr>
                <w:sz w:val="22"/>
                <w:szCs w:val="22"/>
              </w:rPr>
              <w:t>Address</w:t>
            </w:r>
          </w:p>
        </w:tc>
        <w:tc>
          <w:tcPr>
            <w:tcW w:w="278" w:type="dxa"/>
          </w:tcPr>
          <w:p w14:paraId="318B1C81" w14:textId="77777777" w:rsidR="00956723" w:rsidRPr="0061488A" w:rsidRDefault="00956723" w:rsidP="00956723">
            <w:pPr>
              <w:rPr>
                <w:sz w:val="22"/>
                <w:szCs w:val="22"/>
              </w:rPr>
            </w:pPr>
            <w:r w:rsidRPr="0061488A">
              <w:rPr>
                <w:sz w:val="22"/>
                <w:szCs w:val="22"/>
              </w:rPr>
              <w:t>:</w:t>
            </w:r>
          </w:p>
        </w:tc>
        <w:tc>
          <w:tcPr>
            <w:tcW w:w="6951" w:type="dxa"/>
          </w:tcPr>
          <w:p w14:paraId="40D15588" w14:textId="77777777" w:rsidR="00956723" w:rsidRPr="0061488A" w:rsidRDefault="00956723" w:rsidP="00956723">
            <w:pPr>
              <w:rPr>
                <w:sz w:val="22"/>
                <w:szCs w:val="22"/>
              </w:rPr>
            </w:pPr>
            <w:r w:rsidRPr="0061488A">
              <w:rPr>
                <w:sz w:val="22"/>
                <w:szCs w:val="22"/>
                <w:lang w:val="id-ID"/>
              </w:rPr>
              <w:t>Jl. Setia Budi Selatan No.26, RT.5/RW.1, Kuningan, Setia Budi, Kecamatan Setiabudi, Kota Jakarta Selatan, Daerah Khusus Ibukota Jakarta 12910</w:t>
            </w:r>
          </w:p>
        </w:tc>
      </w:tr>
      <w:tr w:rsidR="00956723" w:rsidRPr="00C80F34" w14:paraId="7491153F" w14:textId="77777777" w:rsidTr="00C910F0">
        <w:trPr>
          <w:trHeight w:val="91"/>
        </w:trPr>
        <w:tc>
          <w:tcPr>
            <w:tcW w:w="2405" w:type="dxa"/>
          </w:tcPr>
          <w:p w14:paraId="417D1DBF" w14:textId="77777777" w:rsidR="00956723" w:rsidRPr="0061488A" w:rsidRDefault="00956723" w:rsidP="00956723">
            <w:pPr>
              <w:rPr>
                <w:sz w:val="22"/>
                <w:szCs w:val="22"/>
              </w:rPr>
            </w:pPr>
            <w:r w:rsidRPr="0061488A">
              <w:rPr>
                <w:sz w:val="22"/>
                <w:szCs w:val="22"/>
              </w:rPr>
              <w:t>Phone</w:t>
            </w:r>
          </w:p>
        </w:tc>
        <w:tc>
          <w:tcPr>
            <w:tcW w:w="278" w:type="dxa"/>
          </w:tcPr>
          <w:p w14:paraId="77EB031F" w14:textId="77777777" w:rsidR="00956723" w:rsidRPr="0061488A" w:rsidRDefault="00956723" w:rsidP="00956723">
            <w:pPr>
              <w:rPr>
                <w:sz w:val="22"/>
                <w:szCs w:val="22"/>
              </w:rPr>
            </w:pPr>
            <w:r w:rsidRPr="0061488A">
              <w:rPr>
                <w:sz w:val="22"/>
                <w:szCs w:val="22"/>
              </w:rPr>
              <w:t>:</w:t>
            </w:r>
          </w:p>
        </w:tc>
        <w:tc>
          <w:tcPr>
            <w:tcW w:w="6951" w:type="dxa"/>
          </w:tcPr>
          <w:p w14:paraId="0DE3BB32" w14:textId="77777777" w:rsidR="00956723" w:rsidRPr="0061488A" w:rsidRDefault="00956723" w:rsidP="00956723">
            <w:pPr>
              <w:rPr>
                <w:sz w:val="22"/>
                <w:szCs w:val="22"/>
              </w:rPr>
            </w:pPr>
            <w:r w:rsidRPr="0061488A">
              <w:rPr>
                <w:sz w:val="22"/>
                <w:szCs w:val="22"/>
                <w:lang w:val="id-ID"/>
              </w:rPr>
              <w:t>(+62) 821-1083-5058</w:t>
            </w:r>
          </w:p>
        </w:tc>
      </w:tr>
      <w:tr w:rsidR="00956723" w:rsidRPr="00C80F34" w14:paraId="6281C427" w14:textId="77777777" w:rsidTr="00E1475F">
        <w:tc>
          <w:tcPr>
            <w:tcW w:w="2405" w:type="dxa"/>
          </w:tcPr>
          <w:p w14:paraId="7CE918E7" w14:textId="77777777" w:rsidR="00956723" w:rsidRPr="0061488A" w:rsidRDefault="00956723" w:rsidP="00956723">
            <w:pPr>
              <w:rPr>
                <w:sz w:val="22"/>
                <w:szCs w:val="22"/>
              </w:rPr>
            </w:pPr>
            <w:r w:rsidRPr="0061488A">
              <w:rPr>
                <w:sz w:val="22"/>
                <w:szCs w:val="22"/>
              </w:rPr>
              <w:t>Email</w:t>
            </w:r>
          </w:p>
        </w:tc>
        <w:tc>
          <w:tcPr>
            <w:tcW w:w="278" w:type="dxa"/>
          </w:tcPr>
          <w:p w14:paraId="156D6269" w14:textId="77777777" w:rsidR="00956723" w:rsidRPr="0061488A" w:rsidRDefault="00956723" w:rsidP="00956723">
            <w:pPr>
              <w:rPr>
                <w:sz w:val="22"/>
                <w:szCs w:val="22"/>
              </w:rPr>
            </w:pPr>
            <w:r w:rsidRPr="0061488A">
              <w:rPr>
                <w:sz w:val="22"/>
                <w:szCs w:val="22"/>
              </w:rPr>
              <w:t>:</w:t>
            </w:r>
          </w:p>
        </w:tc>
        <w:tc>
          <w:tcPr>
            <w:tcW w:w="6951" w:type="dxa"/>
          </w:tcPr>
          <w:p w14:paraId="20651FCD" w14:textId="77777777" w:rsidR="00956723" w:rsidRPr="0061488A" w:rsidRDefault="00736CD2" w:rsidP="00956723">
            <w:pPr>
              <w:rPr>
                <w:sz w:val="22"/>
                <w:szCs w:val="22"/>
              </w:rPr>
            </w:pPr>
            <w:hyperlink r:id="rId8" w:history="1">
              <w:r w:rsidR="00956723" w:rsidRPr="0061488A">
                <w:rPr>
                  <w:rStyle w:val="Hyperlink"/>
                  <w:sz w:val="22"/>
                  <w:szCs w:val="22"/>
                </w:rPr>
                <w:t>wanjaya@idhtrade.org</w:t>
              </w:r>
            </w:hyperlink>
            <w:r w:rsidR="00956723" w:rsidRPr="0061488A">
              <w:rPr>
                <w:sz w:val="22"/>
                <w:szCs w:val="22"/>
              </w:rPr>
              <w:t xml:space="preserve"> </w:t>
            </w:r>
          </w:p>
        </w:tc>
      </w:tr>
      <w:tr w:rsidR="00E1475F" w:rsidRPr="00C80F34" w14:paraId="2D45FD83" w14:textId="77777777" w:rsidTr="00E1475F">
        <w:tc>
          <w:tcPr>
            <w:tcW w:w="2405" w:type="dxa"/>
          </w:tcPr>
          <w:p w14:paraId="274EED5A" w14:textId="77777777" w:rsidR="00E1475F" w:rsidRPr="0061488A" w:rsidRDefault="00E1475F" w:rsidP="00E1475F">
            <w:pPr>
              <w:rPr>
                <w:sz w:val="22"/>
                <w:szCs w:val="22"/>
              </w:rPr>
            </w:pPr>
          </w:p>
        </w:tc>
        <w:tc>
          <w:tcPr>
            <w:tcW w:w="278" w:type="dxa"/>
          </w:tcPr>
          <w:p w14:paraId="19F45FBA" w14:textId="77777777" w:rsidR="00E1475F" w:rsidRPr="0061488A" w:rsidRDefault="00E1475F" w:rsidP="00E1475F">
            <w:pPr>
              <w:rPr>
                <w:sz w:val="22"/>
                <w:szCs w:val="22"/>
              </w:rPr>
            </w:pPr>
          </w:p>
        </w:tc>
        <w:tc>
          <w:tcPr>
            <w:tcW w:w="6951" w:type="dxa"/>
          </w:tcPr>
          <w:p w14:paraId="4F0927BB" w14:textId="77777777" w:rsidR="00E1475F" w:rsidRPr="0061488A" w:rsidRDefault="00E1475F" w:rsidP="00E1475F">
            <w:pPr>
              <w:rPr>
                <w:sz w:val="22"/>
                <w:szCs w:val="22"/>
              </w:rPr>
            </w:pPr>
          </w:p>
        </w:tc>
      </w:tr>
      <w:tr w:rsidR="00E1475F" w:rsidRPr="00C80F34" w14:paraId="40D1F9B0" w14:textId="77777777" w:rsidTr="00E1475F">
        <w:tc>
          <w:tcPr>
            <w:tcW w:w="9634" w:type="dxa"/>
            <w:gridSpan w:val="3"/>
          </w:tcPr>
          <w:p w14:paraId="711B567D" w14:textId="77777777" w:rsidR="00E1475F" w:rsidRPr="0061488A" w:rsidRDefault="00E1475F" w:rsidP="00E1475F">
            <w:pPr>
              <w:rPr>
                <w:sz w:val="22"/>
                <w:szCs w:val="22"/>
              </w:rPr>
            </w:pPr>
            <w:r w:rsidRPr="0061488A">
              <w:rPr>
                <w:b/>
                <w:sz w:val="22"/>
                <w:szCs w:val="22"/>
              </w:rPr>
              <w:t>Jurisdiction Contact Details</w:t>
            </w:r>
          </w:p>
        </w:tc>
      </w:tr>
      <w:tr w:rsidR="00E1475F" w:rsidRPr="00C80F34" w14:paraId="47F01A51" w14:textId="77777777" w:rsidTr="00E1475F">
        <w:tc>
          <w:tcPr>
            <w:tcW w:w="2405" w:type="dxa"/>
          </w:tcPr>
          <w:p w14:paraId="5264AD94" w14:textId="77777777" w:rsidR="00E1475F" w:rsidRPr="0061488A" w:rsidRDefault="00E1475F" w:rsidP="00E1475F">
            <w:pPr>
              <w:rPr>
                <w:b/>
                <w:i/>
                <w:sz w:val="22"/>
                <w:szCs w:val="22"/>
              </w:rPr>
            </w:pPr>
            <w:r w:rsidRPr="0061488A">
              <w:rPr>
                <w:b/>
                <w:i/>
                <w:sz w:val="22"/>
                <w:szCs w:val="22"/>
              </w:rPr>
              <w:t>Contact Details 1</w:t>
            </w:r>
            <w:r w:rsidRPr="0061488A">
              <w:rPr>
                <w:b/>
                <w:i/>
                <w:sz w:val="22"/>
                <w:szCs w:val="22"/>
                <w:vertAlign w:val="superscript"/>
              </w:rPr>
              <w:t>st</w:t>
            </w:r>
            <w:r w:rsidRPr="0061488A">
              <w:rPr>
                <w:b/>
                <w:i/>
                <w:sz w:val="22"/>
                <w:szCs w:val="22"/>
              </w:rPr>
              <w:t xml:space="preserve"> </w:t>
            </w:r>
          </w:p>
        </w:tc>
        <w:tc>
          <w:tcPr>
            <w:tcW w:w="278" w:type="dxa"/>
          </w:tcPr>
          <w:p w14:paraId="7B63DC08" w14:textId="77777777" w:rsidR="00E1475F" w:rsidRPr="0061488A" w:rsidRDefault="00E1475F" w:rsidP="00E1475F">
            <w:pPr>
              <w:rPr>
                <w:sz w:val="22"/>
                <w:szCs w:val="22"/>
              </w:rPr>
            </w:pPr>
          </w:p>
        </w:tc>
        <w:tc>
          <w:tcPr>
            <w:tcW w:w="6951" w:type="dxa"/>
          </w:tcPr>
          <w:p w14:paraId="40FD13DF" w14:textId="77777777" w:rsidR="00E1475F" w:rsidRPr="0061488A" w:rsidRDefault="00E1475F" w:rsidP="00E1475F">
            <w:pPr>
              <w:rPr>
                <w:sz w:val="22"/>
                <w:szCs w:val="22"/>
              </w:rPr>
            </w:pPr>
          </w:p>
        </w:tc>
      </w:tr>
      <w:tr w:rsidR="00E1475F" w:rsidRPr="00C80F34" w14:paraId="4647F554" w14:textId="77777777" w:rsidTr="00E1475F">
        <w:tc>
          <w:tcPr>
            <w:tcW w:w="2405" w:type="dxa"/>
          </w:tcPr>
          <w:p w14:paraId="612E7A21" w14:textId="77777777" w:rsidR="00E1475F" w:rsidRPr="0061488A" w:rsidRDefault="00E1475F" w:rsidP="00E1475F">
            <w:pPr>
              <w:rPr>
                <w:sz w:val="22"/>
                <w:szCs w:val="22"/>
              </w:rPr>
            </w:pPr>
            <w:r w:rsidRPr="0061488A">
              <w:rPr>
                <w:sz w:val="22"/>
                <w:szCs w:val="22"/>
              </w:rPr>
              <w:t>Name</w:t>
            </w:r>
          </w:p>
        </w:tc>
        <w:tc>
          <w:tcPr>
            <w:tcW w:w="278" w:type="dxa"/>
          </w:tcPr>
          <w:p w14:paraId="4F10229F" w14:textId="77777777" w:rsidR="00E1475F" w:rsidRPr="0061488A" w:rsidRDefault="00E1475F" w:rsidP="00E1475F">
            <w:pPr>
              <w:rPr>
                <w:sz w:val="22"/>
                <w:szCs w:val="22"/>
              </w:rPr>
            </w:pPr>
            <w:r w:rsidRPr="0061488A">
              <w:rPr>
                <w:sz w:val="22"/>
                <w:szCs w:val="22"/>
              </w:rPr>
              <w:t>:</w:t>
            </w:r>
          </w:p>
        </w:tc>
        <w:tc>
          <w:tcPr>
            <w:tcW w:w="6951" w:type="dxa"/>
          </w:tcPr>
          <w:p w14:paraId="390D1769" w14:textId="77777777" w:rsidR="00E1475F" w:rsidRPr="0061488A" w:rsidRDefault="00E1475F" w:rsidP="00E1475F">
            <w:pPr>
              <w:rPr>
                <w:sz w:val="22"/>
                <w:szCs w:val="22"/>
              </w:rPr>
            </w:pPr>
            <w:r w:rsidRPr="0061488A">
              <w:rPr>
                <w:sz w:val="22"/>
                <w:szCs w:val="22"/>
              </w:rPr>
              <w:t>Dr. Ir. H. Gusti Hardiansyah, M.Sc, QAM</w:t>
            </w:r>
          </w:p>
        </w:tc>
      </w:tr>
      <w:tr w:rsidR="00E1475F" w:rsidRPr="00C80F34" w14:paraId="30F63BD6" w14:textId="77777777" w:rsidTr="00E1475F">
        <w:tc>
          <w:tcPr>
            <w:tcW w:w="2405" w:type="dxa"/>
          </w:tcPr>
          <w:p w14:paraId="519B7DB8" w14:textId="77777777" w:rsidR="00E1475F" w:rsidRPr="0061488A" w:rsidRDefault="00E1475F" w:rsidP="00E1475F">
            <w:pPr>
              <w:rPr>
                <w:sz w:val="22"/>
                <w:szCs w:val="22"/>
              </w:rPr>
            </w:pPr>
            <w:r w:rsidRPr="0061488A">
              <w:rPr>
                <w:sz w:val="22"/>
                <w:szCs w:val="22"/>
              </w:rPr>
              <w:t>Title</w:t>
            </w:r>
          </w:p>
        </w:tc>
        <w:tc>
          <w:tcPr>
            <w:tcW w:w="278" w:type="dxa"/>
          </w:tcPr>
          <w:p w14:paraId="5532CC64" w14:textId="77777777" w:rsidR="00E1475F" w:rsidRPr="0061488A" w:rsidRDefault="00E1475F" w:rsidP="00E1475F">
            <w:pPr>
              <w:rPr>
                <w:sz w:val="22"/>
                <w:szCs w:val="22"/>
              </w:rPr>
            </w:pPr>
            <w:r w:rsidRPr="0061488A">
              <w:rPr>
                <w:sz w:val="22"/>
                <w:szCs w:val="22"/>
              </w:rPr>
              <w:t>:</w:t>
            </w:r>
          </w:p>
        </w:tc>
        <w:tc>
          <w:tcPr>
            <w:tcW w:w="6951" w:type="dxa"/>
          </w:tcPr>
          <w:p w14:paraId="18D7FC49" w14:textId="77777777" w:rsidR="00E1475F" w:rsidRPr="0061488A" w:rsidRDefault="00E1475F" w:rsidP="00E1475F">
            <w:pPr>
              <w:rPr>
                <w:sz w:val="22"/>
                <w:szCs w:val="22"/>
              </w:rPr>
            </w:pPr>
            <w:r w:rsidRPr="0061488A">
              <w:rPr>
                <w:sz w:val="22"/>
                <w:szCs w:val="22"/>
              </w:rPr>
              <w:t>Dean of Forestry Faculty and Senior Advisor of West Kalimantan Governor for Climate Change</w:t>
            </w:r>
          </w:p>
        </w:tc>
      </w:tr>
      <w:tr w:rsidR="00E1475F" w:rsidRPr="00C80F34" w14:paraId="2548E30E" w14:textId="77777777" w:rsidTr="00E1475F">
        <w:tc>
          <w:tcPr>
            <w:tcW w:w="2405" w:type="dxa"/>
          </w:tcPr>
          <w:p w14:paraId="716246DF" w14:textId="77777777" w:rsidR="00E1475F" w:rsidRPr="0061488A" w:rsidRDefault="00E1475F" w:rsidP="00E1475F">
            <w:pPr>
              <w:rPr>
                <w:sz w:val="22"/>
                <w:szCs w:val="22"/>
              </w:rPr>
            </w:pPr>
            <w:r w:rsidRPr="0061488A">
              <w:rPr>
                <w:sz w:val="22"/>
                <w:szCs w:val="22"/>
              </w:rPr>
              <w:t>Organization</w:t>
            </w:r>
          </w:p>
        </w:tc>
        <w:tc>
          <w:tcPr>
            <w:tcW w:w="278" w:type="dxa"/>
          </w:tcPr>
          <w:p w14:paraId="6245D9D0" w14:textId="77777777" w:rsidR="00E1475F" w:rsidRPr="0061488A" w:rsidRDefault="00E1475F" w:rsidP="00E1475F">
            <w:pPr>
              <w:rPr>
                <w:sz w:val="22"/>
                <w:szCs w:val="22"/>
              </w:rPr>
            </w:pPr>
            <w:r w:rsidRPr="0061488A">
              <w:rPr>
                <w:sz w:val="22"/>
                <w:szCs w:val="22"/>
              </w:rPr>
              <w:t>:</w:t>
            </w:r>
          </w:p>
        </w:tc>
        <w:tc>
          <w:tcPr>
            <w:tcW w:w="6951" w:type="dxa"/>
          </w:tcPr>
          <w:p w14:paraId="2CC1E3B2" w14:textId="77777777" w:rsidR="00E1475F" w:rsidRPr="0061488A" w:rsidRDefault="00E1475F" w:rsidP="00E1475F">
            <w:pPr>
              <w:rPr>
                <w:sz w:val="22"/>
                <w:szCs w:val="22"/>
              </w:rPr>
            </w:pPr>
            <w:r w:rsidRPr="0061488A">
              <w:rPr>
                <w:sz w:val="22"/>
                <w:szCs w:val="22"/>
              </w:rPr>
              <w:t>Forestry Faculty of Tanjungpura University</w:t>
            </w:r>
          </w:p>
        </w:tc>
      </w:tr>
      <w:tr w:rsidR="00E1475F" w:rsidRPr="00C80F34" w14:paraId="53C132C2" w14:textId="77777777" w:rsidTr="00E1475F">
        <w:tc>
          <w:tcPr>
            <w:tcW w:w="2405" w:type="dxa"/>
          </w:tcPr>
          <w:p w14:paraId="783B5D2F" w14:textId="77777777" w:rsidR="00E1475F" w:rsidRPr="0061488A" w:rsidRDefault="00E1475F" w:rsidP="00E1475F">
            <w:pPr>
              <w:rPr>
                <w:sz w:val="22"/>
                <w:szCs w:val="22"/>
              </w:rPr>
            </w:pPr>
            <w:r w:rsidRPr="0061488A">
              <w:rPr>
                <w:sz w:val="22"/>
                <w:szCs w:val="22"/>
              </w:rPr>
              <w:t>Address</w:t>
            </w:r>
          </w:p>
        </w:tc>
        <w:tc>
          <w:tcPr>
            <w:tcW w:w="278" w:type="dxa"/>
          </w:tcPr>
          <w:p w14:paraId="1872D0C2" w14:textId="77777777" w:rsidR="00E1475F" w:rsidRPr="0061488A" w:rsidRDefault="00E1475F" w:rsidP="00E1475F">
            <w:pPr>
              <w:rPr>
                <w:sz w:val="22"/>
                <w:szCs w:val="22"/>
              </w:rPr>
            </w:pPr>
            <w:r w:rsidRPr="0061488A">
              <w:rPr>
                <w:sz w:val="22"/>
                <w:szCs w:val="22"/>
              </w:rPr>
              <w:t>:</w:t>
            </w:r>
          </w:p>
        </w:tc>
        <w:tc>
          <w:tcPr>
            <w:tcW w:w="6951" w:type="dxa"/>
          </w:tcPr>
          <w:p w14:paraId="07BF5F8C" w14:textId="77777777" w:rsidR="00E1475F" w:rsidRPr="0061488A" w:rsidRDefault="00E1475F" w:rsidP="00E1475F">
            <w:pPr>
              <w:rPr>
                <w:sz w:val="22"/>
                <w:szCs w:val="22"/>
              </w:rPr>
            </w:pPr>
            <w:r w:rsidRPr="0061488A">
              <w:rPr>
                <w:sz w:val="22"/>
                <w:szCs w:val="22"/>
              </w:rPr>
              <w:t>Jalan Prof. Dr. H. Hadari Nawawi, Pontianak Tenggara, Bansir Laut, Kota Pontianak, Kalimantan Barat 78124</w:t>
            </w:r>
          </w:p>
        </w:tc>
      </w:tr>
      <w:tr w:rsidR="00E1475F" w:rsidRPr="00C80F34" w14:paraId="1F972BEC" w14:textId="77777777" w:rsidTr="00E1475F">
        <w:tc>
          <w:tcPr>
            <w:tcW w:w="2405" w:type="dxa"/>
          </w:tcPr>
          <w:p w14:paraId="35C51F75" w14:textId="77777777" w:rsidR="00E1475F" w:rsidRPr="0061488A" w:rsidRDefault="00E1475F" w:rsidP="00E1475F">
            <w:pPr>
              <w:rPr>
                <w:sz w:val="22"/>
                <w:szCs w:val="22"/>
              </w:rPr>
            </w:pPr>
            <w:r w:rsidRPr="0061488A">
              <w:rPr>
                <w:sz w:val="22"/>
                <w:szCs w:val="22"/>
              </w:rPr>
              <w:t>Phone</w:t>
            </w:r>
          </w:p>
        </w:tc>
        <w:tc>
          <w:tcPr>
            <w:tcW w:w="278" w:type="dxa"/>
          </w:tcPr>
          <w:p w14:paraId="6654A351" w14:textId="77777777" w:rsidR="00E1475F" w:rsidRPr="0061488A" w:rsidRDefault="00E1475F" w:rsidP="00E1475F">
            <w:pPr>
              <w:rPr>
                <w:sz w:val="22"/>
                <w:szCs w:val="22"/>
              </w:rPr>
            </w:pPr>
            <w:r w:rsidRPr="0061488A">
              <w:rPr>
                <w:sz w:val="22"/>
                <w:szCs w:val="22"/>
              </w:rPr>
              <w:t>:</w:t>
            </w:r>
          </w:p>
        </w:tc>
        <w:tc>
          <w:tcPr>
            <w:tcW w:w="6951" w:type="dxa"/>
          </w:tcPr>
          <w:p w14:paraId="580A5622" w14:textId="77777777" w:rsidR="00E1475F" w:rsidRPr="0061488A" w:rsidRDefault="00E1475F" w:rsidP="00E1475F">
            <w:pPr>
              <w:rPr>
                <w:sz w:val="22"/>
                <w:szCs w:val="22"/>
              </w:rPr>
            </w:pPr>
            <w:r w:rsidRPr="0061488A">
              <w:rPr>
                <w:sz w:val="22"/>
                <w:szCs w:val="22"/>
              </w:rPr>
              <w:t>(+62) 822-5494-8985</w:t>
            </w:r>
          </w:p>
        </w:tc>
      </w:tr>
      <w:tr w:rsidR="00E1475F" w:rsidRPr="00C80F34" w14:paraId="7BF669AA" w14:textId="77777777" w:rsidTr="00E1475F">
        <w:tc>
          <w:tcPr>
            <w:tcW w:w="2405" w:type="dxa"/>
          </w:tcPr>
          <w:p w14:paraId="057CC0D9" w14:textId="77777777" w:rsidR="00E1475F" w:rsidRPr="0061488A" w:rsidRDefault="00E1475F" w:rsidP="00E1475F">
            <w:pPr>
              <w:rPr>
                <w:sz w:val="22"/>
                <w:szCs w:val="22"/>
              </w:rPr>
            </w:pPr>
            <w:r w:rsidRPr="0061488A">
              <w:rPr>
                <w:sz w:val="22"/>
                <w:szCs w:val="22"/>
              </w:rPr>
              <w:t>Email</w:t>
            </w:r>
          </w:p>
        </w:tc>
        <w:tc>
          <w:tcPr>
            <w:tcW w:w="278" w:type="dxa"/>
          </w:tcPr>
          <w:p w14:paraId="1DFEFC95" w14:textId="77777777" w:rsidR="00E1475F" w:rsidRPr="0061488A" w:rsidRDefault="00E1475F" w:rsidP="00E1475F">
            <w:pPr>
              <w:rPr>
                <w:sz w:val="22"/>
                <w:szCs w:val="22"/>
              </w:rPr>
            </w:pPr>
            <w:r w:rsidRPr="0061488A">
              <w:rPr>
                <w:sz w:val="22"/>
                <w:szCs w:val="22"/>
              </w:rPr>
              <w:t>:</w:t>
            </w:r>
          </w:p>
        </w:tc>
        <w:tc>
          <w:tcPr>
            <w:tcW w:w="6951" w:type="dxa"/>
          </w:tcPr>
          <w:p w14:paraId="5A2C9900" w14:textId="77777777" w:rsidR="00E1475F" w:rsidRPr="0061488A" w:rsidRDefault="00736CD2" w:rsidP="00E1475F">
            <w:pPr>
              <w:rPr>
                <w:sz w:val="22"/>
                <w:szCs w:val="22"/>
              </w:rPr>
            </w:pPr>
            <w:hyperlink r:id="rId9" w:history="1">
              <w:r w:rsidR="00E1475F" w:rsidRPr="0061488A">
                <w:rPr>
                  <w:rStyle w:val="Hyperlink"/>
                  <w:sz w:val="22"/>
                  <w:szCs w:val="22"/>
                </w:rPr>
                <w:t>gusti.hardiansyah@gmail.com</w:t>
              </w:r>
            </w:hyperlink>
            <w:r w:rsidR="00E1475F" w:rsidRPr="0061488A">
              <w:rPr>
                <w:sz w:val="22"/>
                <w:szCs w:val="22"/>
              </w:rPr>
              <w:t xml:space="preserve"> </w:t>
            </w:r>
          </w:p>
        </w:tc>
      </w:tr>
      <w:tr w:rsidR="00E1475F" w:rsidRPr="00C80F34" w14:paraId="06C4BDB6" w14:textId="77777777" w:rsidTr="00E1475F">
        <w:tc>
          <w:tcPr>
            <w:tcW w:w="2405" w:type="dxa"/>
          </w:tcPr>
          <w:p w14:paraId="3740A8B4" w14:textId="77777777" w:rsidR="00E1475F" w:rsidRPr="0061488A" w:rsidRDefault="00E1475F" w:rsidP="00E1475F">
            <w:pPr>
              <w:rPr>
                <w:b/>
                <w:i/>
                <w:sz w:val="22"/>
                <w:szCs w:val="22"/>
              </w:rPr>
            </w:pPr>
          </w:p>
          <w:p w14:paraId="4694C44D" w14:textId="77777777" w:rsidR="00E1475F" w:rsidRPr="0061488A" w:rsidRDefault="00E1475F" w:rsidP="00E1475F">
            <w:pPr>
              <w:rPr>
                <w:b/>
                <w:i/>
                <w:sz w:val="22"/>
                <w:szCs w:val="22"/>
              </w:rPr>
            </w:pPr>
            <w:r w:rsidRPr="0061488A">
              <w:rPr>
                <w:b/>
                <w:i/>
                <w:sz w:val="22"/>
                <w:szCs w:val="22"/>
              </w:rPr>
              <w:t>Contact Details 2</w:t>
            </w:r>
            <w:r w:rsidRPr="0061488A">
              <w:rPr>
                <w:b/>
                <w:i/>
                <w:sz w:val="22"/>
                <w:szCs w:val="22"/>
                <w:vertAlign w:val="superscript"/>
              </w:rPr>
              <w:t>nd</w:t>
            </w:r>
            <w:r w:rsidRPr="0061488A">
              <w:rPr>
                <w:b/>
                <w:i/>
                <w:sz w:val="22"/>
                <w:szCs w:val="22"/>
              </w:rPr>
              <w:t xml:space="preserve">  </w:t>
            </w:r>
          </w:p>
        </w:tc>
        <w:tc>
          <w:tcPr>
            <w:tcW w:w="278" w:type="dxa"/>
          </w:tcPr>
          <w:p w14:paraId="543B9FAE" w14:textId="77777777" w:rsidR="00E1475F" w:rsidRPr="0061488A" w:rsidRDefault="00E1475F" w:rsidP="00E1475F">
            <w:pPr>
              <w:rPr>
                <w:sz w:val="22"/>
                <w:szCs w:val="22"/>
              </w:rPr>
            </w:pPr>
          </w:p>
        </w:tc>
        <w:tc>
          <w:tcPr>
            <w:tcW w:w="6951" w:type="dxa"/>
          </w:tcPr>
          <w:p w14:paraId="0E69AAA9" w14:textId="77777777" w:rsidR="00E1475F" w:rsidRPr="0061488A" w:rsidRDefault="00E1475F" w:rsidP="00E1475F">
            <w:pPr>
              <w:rPr>
                <w:sz w:val="22"/>
                <w:szCs w:val="22"/>
              </w:rPr>
            </w:pPr>
          </w:p>
        </w:tc>
      </w:tr>
      <w:tr w:rsidR="00E1475F" w:rsidRPr="00C80F34" w14:paraId="6B90ABD9" w14:textId="77777777" w:rsidTr="00E1475F">
        <w:tc>
          <w:tcPr>
            <w:tcW w:w="2405" w:type="dxa"/>
          </w:tcPr>
          <w:p w14:paraId="44AE97F4" w14:textId="77777777" w:rsidR="00E1475F" w:rsidRPr="0061488A" w:rsidRDefault="00E1475F" w:rsidP="00E1475F">
            <w:pPr>
              <w:rPr>
                <w:sz w:val="22"/>
                <w:szCs w:val="22"/>
              </w:rPr>
            </w:pPr>
            <w:r w:rsidRPr="0061488A">
              <w:rPr>
                <w:sz w:val="22"/>
                <w:szCs w:val="22"/>
              </w:rPr>
              <w:t>Name</w:t>
            </w:r>
          </w:p>
        </w:tc>
        <w:tc>
          <w:tcPr>
            <w:tcW w:w="278" w:type="dxa"/>
          </w:tcPr>
          <w:p w14:paraId="79084540" w14:textId="77777777" w:rsidR="00E1475F" w:rsidRPr="0061488A" w:rsidRDefault="00E1475F" w:rsidP="00E1475F">
            <w:pPr>
              <w:rPr>
                <w:sz w:val="22"/>
                <w:szCs w:val="22"/>
              </w:rPr>
            </w:pPr>
            <w:r w:rsidRPr="0061488A">
              <w:rPr>
                <w:sz w:val="22"/>
                <w:szCs w:val="22"/>
              </w:rPr>
              <w:t>:</w:t>
            </w:r>
          </w:p>
        </w:tc>
        <w:tc>
          <w:tcPr>
            <w:tcW w:w="6951" w:type="dxa"/>
          </w:tcPr>
          <w:p w14:paraId="4D55B1BE" w14:textId="77777777" w:rsidR="00E1475F" w:rsidRPr="0061488A" w:rsidRDefault="00E1475F" w:rsidP="00E1475F">
            <w:pPr>
              <w:rPr>
                <w:sz w:val="22"/>
                <w:szCs w:val="22"/>
              </w:rPr>
            </w:pPr>
            <w:r w:rsidRPr="0061488A">
              <w:rPr>
                <w:sz w:val="22"/>
                <w:szCs w:val="22"/>
              </w:rPr>
              <w:t xml:space="preserve">Ir. Adi Yani </w:t>
            </w:r>
          </w:p>
        </w:tc>
      </w:tr>
      <w:tr w:rsidR="00E1475F" w:rsidRPr="00C80F34" w14:paraId="44EC2BF2" w14:textId="77777777" w:rsidTr="00E1475F">
        <w:tc>
          <w:tcPr>
            <w:tcW w:w="2405" w:type="dxa"/>
          </w:tcPr>
          <w:p w14:paraId="281D9E44" w14:textId="77777777" w:rsidR="00E1475F" w:rsidRPr="0061488A" w:rsidRDefault="00E1475F" w:rsidP="00E1475F">
            <w:pPr>
              <w:rPr>
                <w:sz w:val="22"/>
                <w:szCs w:val="22"/>
              </w:rPr>
            </w:pPr>
            <w:r w:rsidRPr="0061488A">
              <w:rPr>
                <w:sz w:val="22"/>
                <w:szCs w:val="22"/>
              </w:rPr>
              <w:t>Title</w:t>
            </w:r>
          </w:p>
        </w:tc>
        <w:tc>
          <w:tcPr>
            <w:tcW w:w="278" w:type="dxa"/>
          </w:tcPr>
          <w:p w14:paraId="134D690D" w14:textId="77777777" w:rsidR="00E1475F" w:rsidRPr="0061488A" w:rsidRDefault="00E1475F" w:rsidP="00E1475F">
            <w:pPr>
              <w:rPr>
                <w:sz w:val="22"/>
                <w:szCs w:val="22"/>
              </w:rPr>
            </w:pPr>
            <w:r w:rsidRPr="0061488A">
              <w:rPr>
                <w:sz w:val="22"/>
                <w:szCs w:val="22"/>
              </w:rPr>
              <w:t>:</w:t>
            </w:r>
          </w:p>
        </w:tc>
        <w:tc>
          <w:tcPr>
            <w:tcW w:w="6951" w:type="dxa"/>
          </w:tcPr>
          <w:p w14:paraId="1BC3E31A" w14:textId="3327BBCF" w:rsidR="00E1475F" w:rsidRPr="0061488A" w:rsidRDefault="00E1475F" w:rsidP="00E1475F">
            <w:pPr>
              <w:rPr>
                <w:sz w:val="22"/>
                <w:szCs w:val="22"/>
              </w:rPr>
            </w:pPr>
            <w:r w:rsidRPr="0061488A">
              <w:rPr>
                <w:sz w:val="22"/>
                <w:szCs w:val="22"/>
              </w:rPr>
              <w:t xml:space="preserve">Head </w:t>
            </w:r>
            <w:r w:rsidR="00A9598F" w:rsidRPr="0061488A">
              <w:rPr>
                <w:sz w:val="22"/>
                <w:szCs w:val="22"/>
              </w:rPr>
              <w:t>of Agency</w:t>
            </w:r>
          </w:p>
        </w:tc>
      </w:tr>
      <w:tr w:rsidR="00E1475F" w:rsidRPr="00C80F34" w14:paraId="21EFE660" w14:textId="77777777" w:rsidTr="00E1475F">
        <w:tc>
          <w:tcPr>
            <w:tcW w:w="2405" w:type="dxa"/>
          </w:tcPr>
          <w:p w14:paraId="335EB20A" w14:textId="77777777" w:rsidR="00E1475F" w:rsidRPr="0061488A" w:rsidRDefault="00E1475F" w:rsidP="00E1475F">
            <w:pPr>
              <w:rPr>
                <w:sz w:val="22"/>
                <w:szCs w:val="22"/>
              </w:rPr>
            </w:pPr>
            <w:r w:rsidRPr="0061488A">
              <w:rPr>
                <w:sz w:val="22"/>
                <w:szCs w:val="22"/>
              </w:rPr>
              <w:t>Organization</w:t>
            </w:r>
          </w:p>
        </w:tc>
        <w:tc>
          <w:tcPr>
            <w:tcW w:w="278" w:type="dxa"/>
          </w:tcPr>
          <w:p w14:paraId="52E0FC47" w14:textId="77777777" w:rsidR="00E1475F" w:rsidRPr="0061488A" w:rsidRDefault="00E1475F" w:rsidP="00E1475F">
            <w:pPr>
              <w:rPr>
                <w:sz w:val="22"/>
                <w:szCs w:val="22"/>
              </w:rPr>
            </w:pPr>
            <w:r w:rsidRPr="0061488A">
              <w:rPr>
                <w:sz w:val="22"/>
                <w:szCs w:val="22"/>
              </w:rPr>
              <w:t>:</w:t>
            </w:r>
          </w:p>
        </w:tc>
        <w:tc>
          <w:tcPr>
            <w:tcW w:w="6951" w:type="dxa"/>
          </w:tcPr>
          <w:p w14:paraId="1C3B170C" w14:textId="77777777" w:rsidR="00E1475F" w:rsidRPr="0061488A" w:rsidRDefault="00E1475F" w:rsidP="00E1475F">
            <w:pPr>
              <w:rPr>
                <w:sz w:val="22"/>
                <w:szCs w:val="22"/>
              </w:rPr>
            </w:pPr>
            <w:r w:rsidRPr="0061488A">
              <w:rPr>
                <w:sz w:val="22"/>
                <w:szCs w:val="22"/>
              </w:rPr>
              <w:t>Public Housing, Residence Areas, and Environment Agency of West Kalimantan</w:t>
            </w:r>
          </w:p>
        </w:tc>
      </w:tr>
      <w:tr w:rsidR="00E1475F" w:rsidRPr="00C80F34" w14:paraId="28B3A03C" w14:textId="77777777" w:rsidTr="00E1475F">
        <w:tc>
          <w:tcPr>
            <w:tcW w:w="2405" w:type="dxa"/>
          </w:tcPr>
          <w:p w14:paraId="0B65C180" w14:textId="77777777" w:rsidR="00E1475F" w:rsidRPr="0061488A" w:rsidRDefault="00E1475F" w:rsidP="00E1475F">
            <w:pPr>
              <w:rPr>
                <w:sz w:val="22"/>
                <w:szCs w:val="22"/>
              </w:rPr>
            </w:pPr>
            <w:r w:rsidRPr="0061488A">
              <w:rPr>
                <w:sz w:val="22"/>
                <w:szCs w:val="22"/>
              </w:rPr>
              <w:t>Address</w:t>
            </w:r>
          </w:p>
        </w:tc>
        <w:tc>
          <w:tcPr>
            <w:tcW w:w="278" w:type="dxa"/>
          </w:tcPr>
          <w:p w14:paraId="59BD100F" w14:textId="77777777" w:rsidR="00E1475F" w:rsidRPr="0061488A" w:rsidRDefault="00E1475F" w:rsidP="00E1475F">
            <w:pPr>
              <w:rPr>
                <w:sz w:val="22"/>
                <w:szCs w:val="22"/>
              </w:rPr>
            </w:pPr>
            <w:r w:rsidRPr="0061488A">
              <w:rPr>
                <w:sz w:val="22"/>
                <w:szCs w:val="22"/>
              </w:rPr>
              <w:t>:</w:t>
            </w:r>
          </w:p>
        </w:tc>
        <w:tc>
          <w:tcPr>
            <w:tcW w:w="6951" w:type="dxa"/>
          </w:tcPr>
          <w:p w14:paraId="451DF102" w14:textId="77777777" w:rsidR="00E1475F" w:rsidRPr="0061488A" w:rsidRDefault="00E1475F" w:rsidP="00E1475F">
            <w:pPr>
              <w:rPr>
                <w:sz w:val="22"/>
                <w:szCs w:val="22"/>
              </w:rPr>
            </w:pPr>
            <w:r w:rsidRPr="0061488A">
              <w:rPr>
                <w:sz w:val="22"/>
                <w:szCs w:val="22"/>
              </w:rPr>
              <w:t>Jalan Adi Sucipto, Kota Pontianak, Provinsi Kalimantan Barat</w:t>
            </w:r>
          </w:p>
        </w:tc>
      </w:tr>
      <w:tr w:rsidR="00E1475F" w:rsidRPr="00C80F34" w14:paraId="4CD031E0" w14:textId="77777777" w:rsidTr="00E1475F">
        <w:tc>
          <w:tcPr>
            <w:tcW w:w="2405" w:type="dxa"/>
          </w:tcPr>
          <w:p w14:paraId="0E16F4B8" w14:textId="77777777" w:rsidR="00E1475F" w:rsidRPr="0061488A" w:rsidRDefault="00E1475F" w:rsidP="00E1475F">
            <w:pPr>
              <w:rPr>
                <w:sz w:val="22"/>
                <w:szCs w:val="22"/>
              </w:rPr>
            </w:pPr>
            <w:r w:rsidRPr="0061488A">
              <w:rPr>
                <w:sz w:val="22"/>
                <w:szCs w:val="22"/>
              </w:rPr>
              <w:t>Phone</w:t>
            </w:r>
          </w:p>
        </w:tc>
        <w:tc>
          <w:tcPr>
            <w:tcW w:w="278" w:type="dxa"/>
          </w:tcPr>
          <w:p w14:paraId="21B6DEEF" w14:textId="77777777" w:rsidR="00E1475F" w:rsidRPr="0061488A" w:rsidRDefault="00E1475F" w:rsidP="00E1475F">
            <w:pPr>
              <w:rPr>
                <w:sz w:val="22"/>
                <w:szCs w:val="22"/>
              </w:rPr>
            </w:pPr>
            <w:r w:rsidRPr="0061488A">
              <w:rPr>
                <w:sz w:val="22"/>
                <w:szCs w:val="22"/>
              </w:rPr>
              <w:t>:</w:t>
            </w:r>
          </w:p>
        </w:tc>
        <w:tc>
          <w:tcPr>
            <w:tcW w:w="6951" w:type="dxa"/>
          </w:tcPr>
          <w:p w14:paraId="7F93311D" w14:textId="77777777" w:rsidR="00E1475F" w:rsidRPr="0061488A" w:rsidRDefault="00E1475F" w:rsidP="00E1475F">
            <w:pPr>
              <w:rPr>
                <w:sz w:val="22"/>
                <w:szCs w:val="22"/>
              </w:rPr>
            </w:pPr>
            <w:r w:rsidRPr="0061488A">
              <w:rPr>
                <w:sz w:val="22"/>
                <w:szCs w:val="22"/>
              </w:rPr>
              <w:t>(+62) 8-1622-3402</w:t>
            </w:r>
          </w:p>
        </w:tc>
      </w:tr>
      <w:tr w:rsidR="00E1475F" w:rsidRPr="00C80F34" w14:paraId="18A6C30E" w14:textId="77777777" w:rsidTr="00E1475F">
        <w:tc>
          <w:tcPr>
            <w:tcW w:w="2405" w:type="dxa"/>
          </w:tcPr>
          <w:p w14:paraId="6A164074" w14:textId="77777777" w:rsidR="00E1475F" w:rsidRPr="0061488A" w:rsidRDefault="00E1475F" w:rsidP="00E1475F">
            <w:pPr>
              <w:rPr>
                <w:sz w:val="22"/>
                <w:szCs w:val="22"/>
              </w:rPr>
            </w:pPr>
            <w:r w:rsidRPr="0061488A">
              <w:rPr>
                <w:sz w:val="22"/>
                <w:szCs w:val="22"/>
              </w:rPr>
              <w:t>Email</w:t>
            </w:r>
          </w:p>
        </w:tc>
        <w:tc>
          <w:tcPr>
            <w:tcW w:w="278" w:type="dxa"/>
          </w:tcPr>
          <w:p w14:paraId="72B3996C" w14:textId="77777777" w:rsidR="00E1475F" w:rsidRPr="0061488A" w:rsidRDefault="00E1475F" w:rsidP="00E1475F">
            <w:pPr>
              <w:rPr>
                <w:sz w:val="22"/>
                <w:szCs w:val="22"/>
              </w:rPr>
            </w:pPr>
            <w:r w:rsidRPr="0061488A">
              <w:rPr>
                <w:sz w:val="22"/>
                <w:szCs w:val="22"/>
              </w:rPr>
              <w:t>:</w:t>
            </w:r>
          </w:p>
        </w:tc>
        <w:tc>
          <w:tcPr>
            <w:tcW w:w="6951" w:type="dxa"/>
          </w:tcPr>
          <w:p w14:paraId="1A18BDD1" w14:textId="77777777" w:rsidR="00E1475F" w:rsidRDefault="00736CD2" w:rsidP="00E1475F">
            <w:pPr>
              <w:rPr>
                <w:sz w:val="22"/>
                <w:szCs w:val="22"/>
              </w:rPr>
            </w:pPr>
            <w:hyperlink r:id="rId10" w:history="1">
              <w:r w:rsidR="00E1475F" w:rsidRPr="0061488A">
                <w:rPr>
                  <w:rStyle w:val="Hyperlink"/>
                  <w:sz w:val="22"/>
                  <w:szCs w:val="22"/>
                </w:rPr>
                <w:t>adiyani2002@gmail.com</w:t>
              </w:r>
            </w:hyperlink>
            <w:r w:rsidR="00E1475F" w:rsidRPr="0061488A">
              <w:rPr>
                <w:sz w:val="22"/>
                <w:szCs w:val="22"/>
              </w:rPr>
              <w:t xml:space="preserve"> </w:t>
            </w:r>
          </w:p>
          <w:p w14:paraId="4236BBF7" w14:textId="77777777" w:rsidR="0061488A" w:rsidRDefault="0061488A" w:rsidP="00E1475F">
            <w:pPr>
              <w:rPr>
                <w:sz w:val="22"/>
                <w:szCs w:val="22"/>
              </w:rPr>
            </w:pPr>
          </w:p>
          <w:p w14:paraId="48D5BFAE" w14:textId="77777777" w:rsidR="0061488A" w:rsidRDefault="0061488A" w:rsidP="00E1475F">
            <w:pPr>
              <w:rPr>
                <w:sz w:val="22"/>
                <w:szCs w:val="22"/>
              </w:rPr>
            </w:pPr>
          </w:p>
          <w:p w14:paraId="4B2764F4" w14:textId="77777777" w:rsidR="0061488A" w:rsidRDefault="0061488A" w:rsidP="00E1475F">
            <w:pPr>
              <w:rPr>
                <w:sz w:val="22"/>
                <w:szCs w:val="22"/>
              </w:rPr>
            </w:pPr>
          </w:p>
          <w:p w14:paraId="4158D050" w14:textId="77777777" w:rsidR="0061488A" w:rsidRDefault="0061488A" w:rsidP="00E1475F">
            <w:pPr>
              <w:rPr>
                <w:sz w:val="22"/>
                <w:szCs w:val="22"/>
              </w:rPr>
            </w:pPr>
          </w:p>
          <w:p w14:paraId="073C6794" w14:textId="77777777" w:rsidR="0061488A" w:rsidRDefault="0061488A" w:rsidP="00E1475F">
            <w:pPr>
              <w:rPr>
                <w:sz w:val="22"/>
                <w:szCs w:val="22"/>
              </w:rPr>
            </w:pPr>
          </w:p>
          <w:p w14:paraId="6F11CB07" w14:textId="77777777" w:rsidR="0061488A" w:rsidRPr="0061488A" w:rsidRDefault="0061488A" w:rsidP="00E1475F">
            <w:pPr>
              <w:rPr>
                <w:sz w:val="22"/>
                <w:szCs w:val="22"/>
              </w:rPr>
            </w:pPr>
          </w:p>
        </w:tc>
      </w:tr>
    </w:tbl>
    <w:p w14:paraId="1BD26D65" w14:textId="165CBBE9" w:rsidR="00AE4A26" w:rsidRPr="00C80F34" w:rsidRDefault="00AE4A26">
      <w:pPr>
        <w:rPr>
          <w:b/>
        </w:rPr>
      </w:pPr>
    </w:p>
    <w:p w14:paraId="72BB80B3" w14:textId="77777777" w:rsidR="00FA1191" w:rsidRPr="00C80F34" w:rsidRDefault="00FA1191" w:rsidP="008529B1">
      <w:pPr>
        <w:pStyle w:val="ListParagraph"/>
        <w:numPr>
          <w:ilvl w:val="0"/>
          <w:numId w:val="1"/>
        </w:numPr>
        <w:spacing w:after="0" w:line="240" w:lineRule="auto"/>
        <w:ind w:left="426" w:hanging="426"/>
        <w:contextualSpacing w:val="0"/>
        <w:rPr>
          <w:rFonts w:ascii="Times New Roman" w:hAnsi="Times New Roman" w:cs="Times New Roman"/>
          <w:b/>
        </w:rPr>
      </w:pPr>
      <w:r w:rsidRPr="00C80F34">
        <w:rPr>
          <w:rFonts w:ascii="Times New Roman" w:hAnsi="Times New Roman" w:cs="Times New Roman"/>
          <w:b/>
        </w:rPr>
        <w:lastRenderedPageBreak/>
        <w:t>Rationale and Approach</w:t>
      </w:r>
    </w:p>
    <w:p w14:paraId="1E453808" w14:textId="77777777" w:rsidR="00FA1191" w:rsidRPr="00C80F34" w:rsidRDefault="00FA1191" w:rsidP="008529B1">
      <w:pPr>
        <w:pStyle w:val="ListParagraph"/>
        <w:numPr>
          <w:ilvl w:val="1"/>
          <w:numId w:val="1"/>
        </w:numPr>
        <w:spacing w:after="0" w:line="240" w:lineRule="auto"/>
        <w:ind w:left="567" w:hanging="567"/>
        <w:contextualSpacing w:val="0"/>
        <w:rPr>
          <w:rFonts w:ascii="Times New Roman" w:hAnsi="Times New Roman" w:cs="Times New Roman"/>
          <w:b/>
        </w:rPr>
      </w:pPr>
      <w:r w:rsidRPr="00C80F34">
        <w:rPr>
          <w:rFonts w:ascii="Times New Roman" w:hAnsi="Times New Roman" w:cs="Times New Roman"/>
          <w:b/>
        </w:rPr>
        <w:t>Summary</w:t>
      </w:r>
      <w:r w:rsidR="00774634" w:rsidRPr="00C80F34">
        <w:rPr>
          <w:rFonts w:ascii="Times New Roman" w:hAnsi="Times New Roman" w:cs="Times New Roman"/>
          <w:b/>
        </w:rPr>
        <w:t xml:space="preserve"> (1/2 page)</w:t>
      </w:r>
    </w:p>
    <w:p w14:paraId="60835F0D" w14:textId="5326C7BB" w:rsidR="003C07ED" w:rsidRPr="0061488A" w:rsidRDefault="00D32F7E" w:rsidP="000959B7">
      <w:pPr>
        <w:spacing w:after="200"/>
        <w:jc w:val="both"/>
        <w:rPr>
          <w:sz w:val="22"/>
          <w:szCs w:val="22"/>
        </w:rPr>
      </w:pPr>
      <w:r w:rsidRPr="0061488A">
        <w:rPr>
          <w:sz w:val="22"/>
          <w:szCs w:val="22"/>
        </w:rPr>
        <w:t xml:space="preserve">This proposal </w:t>
      </w:r>
      <w:r w:rsidR="00CC639A" w:rsidRPr="0061488A">
        <w:rPr>
          <w:sz w:val="22"/>
          <w:szCs w:val="22"/>
        </w:rPr>
        <w:t xml:space="preserve">is </w:t>
      </w:r>
      <w:r w:rsidRPr="0061488A">
        <w:rPr>
          <w:sz w:val="22"/>
          <w:szCs w:val="22"/>
        </w:rPr>
        <w:t xml:space="preserve">prepared </w:t>
      </w:r>
      <w:r w:rsidR="0069690E" w:rsidRPr="0061488A">
        <w:rPr>
          <w:sz w:val="22"/>
          <w:szCs w:val="22"/>
        </w:rPr>
        <w:t>to support West Kalimantan Provincial Government in strengthen</w:t>
      </w:r>
      <w:r w:rsidR="00CC639A" w:rsidRPr="0061488A">
        <w:rPr>
          <w:sz w:val="22"/>
          <w:szCs w:val="22"/>
        </w:rPr>
        <w:t>ing</w:t>
      </w:r>
      <w:r w:rsidR="0069690E" w:rsidRPr="0061488A">
        <w:rPr>
          <w:sz w:val="22"/>
          <w:szCs w:val="22"/>
        </w:rPr>
        <w:t xml:space="preserve"> its</w:t>
      </w:r>
      <w:r w:rsidR="00CC639A" w:rsidRPr="0061488A">
        <w:rPr>
          <w:sz w:val="22"/>
          <w:szCs w:val="22"/>
        </w:rPr>
        <w:t xml:space="preserve"> strategy and capacity </w:t>
      </w:r>
      <w:r w:rsidR="0069690E" w:rsidRPr="0061488A">
        <w:rPr>
          <w:sz w:val="22"/>
          <w:szCs w:val="22"/>
        </w:rPr>
        <w:t>to support the National target in reducing carbon emissions from deforestation and degradation with s</w:t>
      </w:r>
      <w:r w:rsidR="003C07ED" w:rsidRPr="0061488A">
        <w:rPr>
          <w:sz w:val="22"/>
          <w:szCs w:val="22"/>
        </w:rPr>
        <w:t xml:space="preserve">upport from various </w:t>
      </w:r>
      <w:r w:rsidR="0069690E" w:rsidRPr="0061488A">
        <w:rPr>
          <w:sz w:val="22"/>
          <w:szCs w:val="22"/>
        </w:rPr>
        <w:t xml:space="preserve">stakeholder. </w:t>
      </w:r>
      <w:r w:rsidR="00CC639A" w:rsidRPr="0061488A">
        <w:rPr>
          <w:sz w:val="22"/>
          <w:szCs w:val="22"/>
        </w:rPr>
        <w:t>One key strategy that we need to further build upon is the Regional Strategy of REDD+ (</w:t>
      </w:r>
      <w:r w:rsidR="00CC639A" w:rsidRPr="0061488A">
        <w:rPr>
          <w:i/>
          <w:sz w:val="22"/>
          <w:szCs w:val="22"/>
        </w:rPr>
        <w:t>SRAP REDD+</w:t>
      </w:r>
      <w:r w:rsidR="00CC639A" w:rsidRPr="0061488A">
        <w:rPr>
          <w:sz w:val="22"/>
          <w:szCs w:val="22"/>
        </w:rPr>
        <w:t xml:space="preserve">). Addressing deforestation </w:t>
      </w:r>
      <w:r w:rsidR="006F48AE" w:rsidRPr="0061488A">
        <w:rPr>
          <w:sz w:val="22"/>
          <w:szCs w:val="22"/>
        </w:rPr>
        <w:t xml:space="preserve">(including by shaping and implementing REDD+ related activities) </w:t>
      </w:r>
      <w:r w:rsidR="00CC639A" w:rsidRPr="0061488A">
        <w:rPr>
          <w:sz w:val="22"/>
          <w:szCs w:val="22"/>
        </w:rPr>
        <w:t>in a</w:t>
      </w:r>
      <w:r w:rsidR="006F48AE" w:rsidRPr="0061488A">
        <w:rPr>
          <w:sz w:val="22"/>
          <w:szCs w:val="22"/>
        </w:rPr>
        <w:t xml:space="preserve"> sub-national</w:t>
      </w:r>
      <w:r w:rsidR="00CC639A" w:rsidRPr="0061488A">
        <w:rPr>
          <w:sz w:val="22"/>
          <w:szCs w:val="22"/>
        </w:rPr>
        <w:t xml:space="preserve"> jurisdiction such as West Kalimantan province</w:t>
      </w:r>
      <w:r w:rsidR="006F48AE" w:rsidRPr="0061488A">
        <w:rPr>
          <w:sz w:val="22"/>
          <w:szCs w:val="22"/>
        </w:rPr>
        <w:t xml:space="preserve"> would require key stakeholders in the province to address urgent and important</w:t>
      </w:r>
      <w:r w:rsidR="0069690E" w:rsidRPr="0061488A">
        <w:rPr>
          <w:sz w:val="22"/>
          <w:szCs w:val="22"/>
        </w:rPr>
        <w:t xml:space="preserve"> challenges</w:t>
      </w:r>
      <w:r w:rsidR="006F48AE" w:rsidRPr="0061488A">
        <w:rPr>
          <w:sz w:val="22"/>
          <w:szCs w:val="22"/>
        </w:rPr>
        <w:t>: among others,</w:t>
      </w:r>
      <w:r w:rsidR="0069690E" w:rsidRPr="0061488A">
        <w:rPr>
          <w:sz w:val="22"/>
          <w:szCs w:val="22"/>
        </w:rPr>
        <w:t xml:space="preserve"> </w:t>
      </w:r>
      <w:r w:rsidR="006F48AE" w:rsidRPr="0061488A">
        <w:rPr>
          <w:sz w:val="22"/>
          <w:szCs w:val="22"/>
        </w:rPr>
        <w:t xml:space="preserve">(i) </w:t>
      </w:r>
      <w:r w:rsidR="0069690E" w:rsidRPr="0061488A">
        <w:rPr>
          <w:sz w:val="22"/>
          <w:szCs w:val="22"/>
        </w:rPr>
        <w:t xml:space="preserve">lack of proper governance structure and its capacity and </w:t>
      </w:r>
      <w:r w:rsidR="006F48AE" w:rsidRPr="0061488A">
        <w:rPr>
          <w:sz w:val="22"/>
          <w:szCs w:val="22"/>
        </w:rPr>
        <w:t xml:space="preserve">(ii) lack of </w:t>
      </w:r>
      <w:r w:rsidR="0069690E" w:rsidRPr="0061488A">
        <w:rPr>
          <w:sz w:val="22"/>
          <w:szCs w:val="22"/>
        </w:rPr>
        <w:t>involvement</w:t>
      </w:r>
      <w:r w:rsidR="006F48AE" w:rsidRPr="0061488A">
        <w:rPr>
          <w:sz w:val="22"/>
          <w:szCs w:val="22"/>
        </w:rPr>
        <w:t xml:space="preserve"> of and investment</w:t>
      </w:r>
      <w:r w:rsidR="0069690E" w:rsidRPr="0061488A">
        <w:rPr>
          <w:sz w:val="22"/>
          <w:szCs w:val="22"/>
        </w:rPr>
        <w:t xml:space="preserve"> </w:t>
      </w:r>
      <w:r w:rsidR="006F48AE" w:rsidRPr="0061488A">
        <w:rPr>
          <w:sz w:val="22"/>
          <w:szCs w:val="22"/>
        </w:rPr>
        <w:t xml:space="preserve">by the </w:t>
      </w:r>
      <w:r w:rsidR="0069690E" w:rsidRPr="0061488A">
        <w:rPr>
          <w:sz w:val="22"/>
          <w:szCs w:val="22"/>
        </w:rPr>
        <w:t xml:space="preserve">private sector in supporting the Government agenda. With strong networking and pilots in the ground with </w:t>
      </w:r>
      <w:r w:rsidR="006F48AE" w:rsidRPr="0061488A">
        <w:rPr>
          <w:sz w:val="22"/>
          <w:szCs w:val="22"/>
        </w:rPr>
        <w:t xml:space="preserve">the </w:t>
      </w:r>
      <w:r w:rsidR="0069690E" w:rsidRPr="0061488A">
        <w:rPr>
          <w:sz w:val="22"/>
          <w:szCs w:val="22"/>
        </w:rPr>
        <w:t>private sector</w:t>
      </w:r>
      <w:r w:rsidR="006F48AE" w:rsidRPr="0061488A">
        <w:rPr>
          <w:sz w:val="22"/>
          <w:szCs w:val="22"/>
        </w:rPr>
        <w:t>,</w:t>
      </w:r>
      <w:r w:rsidR="0069690E" w:rsidRPr="0061488A">
        <w:rPr>
          <w:sz w:val="22"/>
          <w:szCs w:val="22"/>
        </w:rPr>
        <w:t xml:space="preserve"> smallholders </w:t>
      </w:r>
      <w:r w:rsidR="006F48AE" w:rsidRPr="0061488A">
        <w:rPr>
          <w:sz w:val="22"/>
          <w:szCs w:val="22"/>
        </w:rPr>
        <w:t xml:space="preserve">and communities </w:t>
      </w:r>
      <w:r w:rsidR="0069690E" w:rsidRPr="0061488A">
        <w:rPr>
          <w:sz w:val="22"/>
          <w:szCs w:val="22"/>
        </w:rPr>
        <w:t xml:space="preserve">in accelerating </w:t>
      </w:r>
      <w:r w:rsidR="003C07ED" w:rsidRPr="0061488A">
        <w:rPr>
          <w:sz w:val="22"/>
          <w:szCs w:val="22"/>
        </w:rPr>
        <w:t xml:space="preserve">green investment and </w:t>
      </w:r>
      <w:r w:rsidR="0069690E" w:rsidRPr="0061488A">
        <w:rPr>
          <w:sz w:val="22"/>
          <w:szCs w:val="22"/>
        </w:rPr>
        <w:t xml:space="preserve">sustainable commodities that avoid deforestation, YIDH </w:t>
      </w:r>
      <w:r w:rsidR="00F64057" w:rsidRPr="0061488A">
        <w:rPr>
          <w:sz w:val="22"/>
          <w:szCs w:val="22"/>
        </w:rPr>
        <w:t xml:space="preserve">– by using the pilots’ lessons-learnt – </w:t>
      </w:r>
      <w:r w:rsidR="0069690E" w:rsidRPr="0061488A">
        <w:rPr>
          <w:sz w:val="22"/>
          <w:szCs w:val="22"/>
        </w:rPr>
        <w:t xml:space="preserve">aims to </w:t>
      </w:r>
      <w:r w:rsidR="00F64057" w:rsidRPr="0061488A">
        <w:rPr>
          <w:sz w:val="22"/>
          <w:szCs w:val="22"/>
        </w:rPr>
        <w:t xml:space="preserve">provide feedbacks to and influence </w:t>
      </w:r>
      <w:r w:rsidR="0069690E" w:rsidRPr="0061488A">
        <w:rPr>
          <w:sz w:val="22"/>
          <w:szCs w:val="22"/>
        </w:rPr>
        <w:t xml:space="preserve">the </w:t>
      </w:r>
      <w:r w:rsidR="00F64057" w:rsidRPr="0061488A">
        <w:rPr>
          <w:sz w:val="22"/>
          <w:szCs w:val="22"/>
        </w:rPr>
        <w:t>sub</w:t>
      </w:r>
      <w:r w:rsidR="0069690E" w:rsidRPr="0061488A">
        <w:rPr>
          <w:sz w:val="22"/>
          <w:szCs w:val="22"/>
        </w:rPr>
        <w:t>-</w:t>
      </w:r>
      <w:r w:rsidR="00F64057" w:rsidRPr="0061488A">
        <w:rPr>
          <w:sz w:val="22"/>
          <w:szCs w:val="22"/>
        </w:rPr>
        <w:t xml:space="preserve">national </w:t>
      </w:r>
      <w:r w:rsidR="0069690E" w:rsidRPr="0061488A">
        <w:rPr>
          <w:sz w:val="22"/>
          <w:szCs w:val="22"/>
        </w:rPr>
        <w:t xml:space="preserve">framework in reducing deforestation. This </w:t>
      </w:r>
      <w:r w:rsidR="00446B36" w:rsidRPr="0061488A">
        <w:rPr>
          <w:sz w:val="22"/>
          <w:szCs w:val="22"/>
        </w:rPr>
        <w:t>project will facilitate the support from</w:t>
      </w:r>
      <w:r w:rsidR="0069690E" w:rsidRPr="0061488A">
        <w:rPr>
          <w:sz w:val="22"/>
          <w:szCs w:val="22"/>
        </w:rPr>
        <w:t xml:space="preserve"> </w:t>
      </w:r>
      <w:r w:rsidR="00F64057" w:rsidRPr="0061488A">
        <w:rPr>
          <w:sz w:val="22"/>
          <w:szCs w:val="22"/>
        </w:rPr>
        <w:t xml:space="preserve">the </w:t>
      </w:r>
      <w:r w:rsidR="0069690E" w:rsidRPr="0061488A">
        <w:rPr>
          <w:sz w:val="22"/>
          <w:szCs w:val="22"/>
        </w:rPr>
        <w:t>private sectors</w:t>
      </w:r>
      <w:r w:rsidR="003C07ED" w:rsidRPr="0061488A">
        <w:rPr>
          <w:sz w:val="22"/>
          <w:szCs w:val="22"/>
        </w:rPr>
        <w:t xml:space="preserve"> especially from </w:t>
      </w:r>
      <w:r w:rsidR="00446B36" w:rsidRPr="0061488A">
        <w:rPr>
          <w:sz w:val="22"/>
          <w:szCs w:val="22"/>
        </w:rPr>
        <w:t xml:space="preserve">the </w:t>
      </w:r>
      <w:r w:rsidR="00F64057" w:rsidRPr="0061488A">
        <w:rPr>
          <w:sz w:val="22"/>
          <w:szCs w:val="22"/>
        </w:rPr>
        <w:t xml:space="preserve">agriculture </w:t>
      </w:r>
      <w:r w:rsidR="003C07ED" w:rsidRPr="0061488A">
        <w:rPr>
          <w:sz w:val="22"/>
          <w:szCs w:val="22"/>
        </w:rPr>
        <w:t xml:space="preserve">and </w:t>
      </w:r>
      <w:r w:rsidR="00F64057" w:rsidRPr="0061488A">
        <w:rPr>
          <w:sz w:val="22"/>
          <w:szCs w:val="22"/>
        </w:rPr>
        <w:t xml:space="preserve">forestry </w:t>
      </w:r>
      <w:r w:rsidR="00446B36" w:rsidRPr="0061488A">
        <w:rPr>
          <w:sz w:val="22"/>
          <w:szCs w:val="22"/>
        </w:rPr>
        <w:t>sectors</w:t>
      </w:r>
      <w:r w:rsidR="0069690E" w:rsidRPr="0061488A">
        <w:rPr>
          <w:sz w:val="22"/>
          <w:szCs w:val="22"/>
        </w:rPr>
        <w:t xml:space="preserve"> in supporting the SRAP REDD+</w:t>
      </w:r>
      <w:r w:rsidR="00F64057" w:rsidRPr="0061488A">
        <w:rPr>
          <w:sz w:val="22"/>
          <w:szCs w:val="22"/>
        </w:rPr>
        <w:t xml:space="preserve"> and relevant policies,</w:t>
      </w:r>
      <w:r w:rsidR="0069690E" w:rsidRPr="0061488A">
        <w:rPr>
          <w:sz w:val="22"/>
          <w:szCs w:val="22"/>
        </w:rPr>
        <w:t xml:space="preserve"> and work collaboratively with the </w:t>
      </w:r>
      <w:r w:rsidR="00F64057" w:rsidRPr="0061488A">
        <w:rPr>
          <w:sz w:val="22"/>
          <w:szCs w:val="22"/>
        </w:rPr>
        <w:t xml:space="preserve">provincial government, for instance, </w:t>
      </w:r>
      <w:r w:rsidR="0069690E" w:rsidRPr="0061488A">
        <w:rPr>
          <w:sz w:val="22"/>
          <w:szCs w:val="22"/>
        </w:rPr>
        <w:t xml:space="preserve">under </w:t>
      </w:r>
      <w:r w:rsidR="003C07ED" w:rsidRPr="0061488A">
        <w:rPr>
          <w:sz w:val="22"/>
          <w:szCs w:val="22"/>
        </w:rPr>
        <w:t xml:space="preserve">the </w:t>
      </w:r>
      <w:r w:rsidR="0069690E" w:rsidRPr="0061488A">
        <w:rPr>
          <w:sz w:val="22"/>
          <w:szCs w:val="22"/>
        </w:rPr>
        <w:t>SRAP REDD task force governance</w:t>
      </w:r>
      <w:r w:rsidR="00F64057" w:rsidRPr="0061488A">
        <w:rPr>
          <w:sz w:val="22"/>
          <w:szCs w:val="22"/>
        </w:rPr>
        <w:t xml:space="preserve"> or directly co-investing in certain targeted pilots</w:t>
      </w:r>
      <w:r w:rsidR="0069690E" w:rsidRPr="0061488A">
        <w:rPr>
          <w:sz w:val="22"/>
          <w:szCs w:val="22"/>
        </w:rPr>
        <w:t xml:space="preserve">. </w:t>
      </w:r>
    </w:p>
    <w:p w14:paraId="2AE24EE4" w14:textId="6788957E" w:rsidR="0069690E" w:rsidRPr="0061488A" w:rsidRDefault="003C07ED" w:rsidP="000959B7">
      <w:pPr>
        <w:spacing w:after="200"/>
        <w:jc w:val="both"/>
        <w:rPr>
          <w:sz w:val="22"/>
          <w:szCs w:val="22"/>
        </w:rPr>
      </w:pPr>
      <w:r w:rsidRPr="0061488A">
        <w:rPr>
          <w:sz w:val="22"/>
          <w:szCs w:val="22"/>
        </w:rPr>
        <w:t xml:space="preserve">In addition to SRAP REDD+, the </w:t>
      </w:r>
      <w:r w:rsidR="00F64057" w:rsidRPr="0061488A">
        <w:rPr>
          <w:sz w:val="22"/>
          <w:szCs w:val="22"/>
        </w:rPr>
        <w:t>provincial government</w:t>
      </w:r>
      <w:r w:rsidRPr="0061488A">
        <w:rPr>
          <w:sz w:val="22"/>
          <w:szCs w:val="22"/>
        </w:rPr>
        <w:t xml:space="preserve"> has developed a Green Growth Plan (GGP)</w:t>
      </w:r>
      <w:r w:rsidR="00F64057" w:rsidRPr="0061488A">
        <w:rPr>
          <w:sz w:val="22"/>
          <w:szCs w:val="22"/>
        </w:rPr>
        <w:t xml:space="preserve"> that</w:t>
      </w:r>
      <w:r w:rsidRPr="0061488A">
        <w:rPr>
          <w:sz w:val="22"/>
          <w:szCs w:val="22"/>
        </w:rPr>
        <w:t xml:space="preserve"> </w:t>
      </w:r>
      <w:r w:rsidR="00F64057" w:rsidRPr="0061488A">
        <w:rPr>
          <w:sz w:val="22"/>
          <w:szCs w:val="22"/>
        </w:rPr>
        <w:t xml:space="preserve">compares </w:t>
      </w:r>
      <w:r w:rsidRPr="0061488A">
        <w:rPr>
          <w:sz w:val="22"/>
          <w:szCs w:val="22"/>
        </w:rPr>
        <w:t xml:space="preserve">the </w:t>
      </w:r>
      <w:r w:rsidR="00F64057" w:rsidRPr="0061488A">
        <w:rPr>
          <w:sz w:val="22"/>
          <w:szCs w:val="22"/>
        </w:rPr>
        <w:t xml:space="preserve">existing </w:t>
      </w:r>
      <w:r w:rsidRPr="0061488A">
        <w:rPr>
          <w:sz w:val="22"/>
          <w:szCs w:val="22"/>
        </w:rPr>
        <w:t>Government development plan</w:t>
      </w:r>
      <w:r w:rsidR="00F64057" w:rsidRPr="0061488A">
        <w:rPr>
          <w:sz w:val="22"/>
          <w:szCs w:val="22"/>
        </w:rPr>
        <w:t xml:space="preserve"> (</w:t>
      </w:r>
      <w:r w:rsidRPr="0061488A">
        <w:rPr>
          <w:sz w:val="22"/>
          <w:szCs w:val="22"/>
        </w:rPr>
        <w:t xml:space="preserve">as </w:t>
      </w:r>
      <w:r w:rsidR="00F64057" w:rsidRPr="0061488A">
        <w:rPr>
          <w:sz w:val="22"/>
          <w:szCs w:val="22"/>
        </w:rPr>
        <w:t xml:space="preserve">a </w:t>
      </w:r>
      <w:r w:rsidRPr="0061488A">
        <w:rPr>
          <w:sz w:val="22"/>
          <w:szCs w:val="22"/>
        </w:rPr>
        <w:t xml:space="preserve">business as usual </w:t>
      </w:r>
      <w:r w:rsidR="00F64057" w:rsidRPr="0061488A">
        <w:rPr>
          <w:sz w:val="22"/>
          <w:szCs w:val="22"/>
        </w:rPr>
        <w:t xml:space="preserve">[BAU] scenario) with </w:t>
      </w:r>
      <w:r w:rsidRPr="0061488A">
        <w:rPr>
          <w:sz w:val="22"/>
          <w:szCs w:val="22"/>
        </w:rPr>
        <w:t>green growth scenarios</w:t>
      </w:r>
      <w:r w:rsidR="00F64057" w:rsidRPr="0061488A">
        <w:rPr>
          <w:sz w:val="22"/>
          <w:szCs w:val="22"/>
        </w:rPr>
        <w:t xml:space="preserve">. </w:t>
      </w:r>
      <w:r w:rsidR="00440F17" w:rsidRPr="0061488A">
        <w:rPr>
          <w:sz w:val="22"/>
          <w:szCs w:val="22"/>
        </w:rPr>
        <w:t xml:space="preserve">It is also the main indicator assessed by green investment such as Andgreen.fund before they work in the province. </w:t>
      </w:r>
      <w:r w:rsidR="00F64057" w:rsidRPr="0061488A">
        <w:rPr>
          <w:sz w:val="22"/>
          <w:szCs w:val="22"/>
        </w:rPr>
        <w:t xml:space="preserve">These green growth scenarios have </w:t>
      </w:r>
      <w:r w:rsidR="00446B36" w:rsidRPr="0061488A">
        <w:rPr>
          <w:sz w:val="22"/>
          <w:szCs w:val="22"/>
        </w:rPr>
        <w:t>include</w:t>
      </w:r>
      <w:r w:rsidR="00F64057" w:rsidRPr="0061488A">
        <w:rPr>
          <w:sz w:val="22"/>
          <w:szCs w:val="22"/>
        </w:rPr>
        <w:t>d</w:t>
      </w:r>
      <w:r w:rsidR="00446B36" w:rsidRPr="0061488A">
        <w:rPr>
          <w:sz w:val="22"/>
          <w:szCs w:val="22"/>
        </w:rPr>
        <w:t xml:space="preserve"> </w:t>
      </w:r>
      <w:r w:rsidR="00F64057" w:rsidRPr="0061488A">
        <w:rPr>
          <w:sz w:val="22"/>
          <w:szCs w:val="22"/>
        </w:rPr>
        <w:t>inputs and interests of the p</w:t>
      </w:r>
      <w:r w:rsidR="00446B36" w:rsidRPr="0061488A">
        <w:rPr>
          <w:sz w:val="22"/>
          <w:szCs w:val="22"/>
        </w:rPr>
        <w:t xml:space="preserve">rivate </w:t>
      </w:r>
      <w:r w:rsidR="00DB299E" w:rsidRPr="0061488A">
        <w:rPr>
          <w:sz w:val="22"/>
          <w:szCs w:val="22"/>
        </w:rPr>
        <w:t>sector.</w:t>
      </w:r>
      <w:r w:rsidRPr="0061488A">
        <w:rPr>
          <w:sz w:val="22"/>
          <w:szCs w:val="22"/>
        </w:rPr>
        <w:t xml:space="preserve"> </w:t>
      </w:r>
      <w:r w:rsidR="00DB299E" w:rsidRPr="0061488A">
        <w:rPr>
          <w:sz w:val="22"/>
          <w:szCs w:val="22"/>
        </w:rPr>
        <w:t>To date</w:t>
      </w:r>
      <w:r w:rsidRPr="0061488A">
        <w:rPr>
          <w:sz w:val="22"/>
          <w:szCs w:val="22"/>
        </w:rPr>
        <w:t xml:space="preserve">, the GGP </w:t>
      </w:r>
      <w:r w:rsidR="00DB299E" w:rsidRPr="0061488A">
        <w:rPr>
          <w:sz w:val="22"/>
          <w:szCs w:val="22"/>
        </w:rPr>
        <w:t xml:space="preserve">is </w:t>
      </w:r>
      <w:r w:rsidRPr="0061488A">
        <w:rPr>
          <w:sz w:val="22"/>
          <w:szCs w:val="22"/>
        </w:rPr>
        <w:t xml:space="preserve">mainstreamed </w:t>
      </w:r>
      <w:r w:rsidR="00DB299E" w:rsidRPr="0061488A">
        <w:rPr>
          <w:sz w:val="22"/>
          <w:szCs w:val="22"/>
        </w:rPr>
        <w:t>in</w:t>
      </w:r>
      <w:r w:rsidRPr="0061488A">
        <w:rPr>
          <w:sz w:val="22"/>
          <w:szCs w:val="22"/>
        </w:rPr>
        <w:t xml:space="preserve">to the </w:t>
      </w:r>
      <w:r w:rsidR="00DB299E" w:rsidRPr="0061488A">
        <w:rPr>
          <w:sz w:val="22"/>
          <w:szCs w:val="22"/>
        </w:rPr>
        <w:t xml:space="preserve">process of </w:t>
      </w:r>
      <w:r w:rsidRPr="0061488A">
        <w:rPr>
          <w:sz w:val="22"/>
          <w:szCs w:val="22"/>
        </w:rPr>
        <w:t xml:space="preserve">Provincial Mid-Term Development Plan (RPJMD) and this project will </w:t>
      </w:r>
      <w:r w:rsidR="00DB299E" w:rsidRPr="0061488A">
        <w:rPr>
          <w:sz w:val="22"/>
          <w:szCs w:val="22"/>
        </w:rPr>
        <w:t xml:space="preserve">ensure the </w:t>
      </w:r>
      <w:r w:rsidRPr="0061488A">
        <w:rPr>
          <w:sz w:val="22"/>
          <w:szCs w:val="22"/>
        </w:rPr>
        <w:t xml:space="preserve">alignment </w:t>
      </w:r>
      <w:r w:rsidR="00DB299E" w:rsidRPr="0061488A">
        <w:rPr>
          <w:sz w:val="22"/>
          <w:szCs w:val="22"/>
        </w:rPr>
        <w:t xml:space="preserve">of GGP </w:t>
      </w:r>
      <w:r w:rsidRPr="0061488A">
        <w:rPr>
          <w:sz w:val="22"/>
          <w:szCs w:val="22"/>
        </w:rPr>
        <w:t>with the SRAP REDD+</w:t>
      </w:r>
      <w:r w:rsidR="00DB299E" w:rsidRPr="0061488A">
        <w:rPr>
          <w:sz w:val="22"/>
          <w:szCs w:val="22"/>
        </w:rPr>
        <w:t xml:space="preserve"> and other relevant policies</w:t>
      </w:r>
      <w:r w:rsidR="00446B36" w:rsidRPr="0061488A">
        <w:rPr>
          <w:sz w:val="22"/>
          <w:szCs w:val="22"/>
        </w:rPr>
        <w:t>.</w:t>
      </w:r>
      <w:r w:rsidR="00D00DA7" w:rsidRPr="0061488A">
        <w:rPr>
          <w:sz w:val="22"/>
          <w:szCs w:val="22"/>
        </w:rPr>
        <w:t xml:space="preserve"> We believe that if these policies are aligned, the provincial government have better ability to see the bigger picture and synergize different elements in the province in addressing deforestation.</w:t>
      </w:r>
    </w:p>
    <w:p w14:paraId="5F11FB4A" w14:textId="4D78A30E" w:rsidR="00FC5D00" w:rsidRPr="0061488A" w:rsidRDefault="00FC5D00" w:rsidP="007117E7">
      <w:pPr>
        <w:jc w:val="both"/>
        <w:rPr>
          <w:sz w:val="22"/>
          <w:szCs w:val="22"/>
        </w:rPr>
      </w:pPr>
      <w:r w:rsidRPr="0061488A">
        <w:rPr>
          <w:sz w:val="22"/>
          <w:szCs w:val="22"/>
        </w:rPr>
        <w:t>Equal gender participation has not been part of the focus in REDD+ implementation</w:t>
      </w:r>
      <w:r w:rsidR="00CA7ED2" w:rsidRPr="0061488A">
        <w:rPr>
          <w:sz w:val="22"/>
          <w:szCs w:val="22"/>
        </w:rPr>
        <w:t xml:space="preserve"> so far and the possibilities for women to engage in </w:t>
      </w:r>
      <w:r w:rsidR="00351196" w:rsidRPr="0061488A">
        <w:rPr>
          <w:sz w:val="22"/>
          <w:szCs w:val="22"/>
        </w:rPr>
        <w:t xml:space="preserve">higher </w:t>
      </w:r>
      <w:r w:rsidR="00CA7ED2" w:rsidRPr="0061488A">
        <w:rPr>
          <w:sz w:val="22"/>
          <w:szCs w:val="22"/>
        </w:rPr>
        <w:t>political dimensio</w:t>
      </w:r>
      <w:r w:rsidR="00351196" w:rsidRPr="0061488A">
        <w:rPr>
          <w:sz w:val="22"/>
          <w:szCs w:val="22"/>
        </w:rPr>
        <w:t>n and its process</w:t>
      </w:r>
      <w:r w:rsidR="00CA7ED2" w:rsidRPr="0061488A">
        <w:rPr>
          <w:sz w:val="22"/>
          <w:szCs w:val="22"/>
        </w:rPr>
        <w:t xml:space="preserve"> is currently limited</w:t>
      </w:r>
      <w:r w:rsidR="002831E8" w:rsidRPr="0061488A">
        <w:rPr>
          <w:sz w:val="22"/>
          <w:szCs w:val="22"/>
        </w:rPr>
        <w:t xml:space="preserve"> due to complicated bureaucracy system</w:t>
      </w:r>
      <w:r w:rsidR="00CA7ED2" w:rsidRPr="0061488A">
        <w:rPr>
          <w:sz w:val="22"/>
          <w:szCs w:val="22"/>
        </w:rPr>
        <w:t xml:space="preserve">. </w:t>
      </w:r>
      <w:r w:rsidR="006D2DF4" w:rsidRPr="0061488A">
        <w:rPr>
          <w:sz w:val="22"/>
          <w:szCs w:val="22"/>
        </w:rPr>
        <w:t xml:space="preserve">In the past, West Kalimantan Government didn’t have </w:t>
      </w:r>
      <w:r w:rsidR="00CC0BD5" w:rsidRPr="0061488A">
        <w:rPr>
          <w:sz w:val="22"/>
          <w:szCs w:val="22"/>
        </w:rPr>
        <w:t>women leader</w:t>
      </w:r>
      <w:r w:rsidR="002831E8" w:rsidRPr="0061488A">
        <w:rPr>
          <w:sz w:val="22"/>
          <w:szCs w:val="22"/>
        </w:rPr>
        <w:t>s</w:t>
      </w:r>
      <w:r w:rsidR="00CC0BD5" w:rsidRPr="0061488A">
        <w:rPr>
          <w:sz w:val="22"/>
          <w:szCs w:val="22"/>
        </w:rPr>
        <w:t xml:space="preserve"> </w:t>
      </w:r>
      <w:r w:rsidR="006D2DF4" w:rsidRPr="0061488A">
        <w:rPr>
          <w:sz w:val="22"/>
          <w:szCs w:val="22"/>
        </w:rPr>
        <w:t xml:space="preserve">but </w:t>
      </w:r>
      <w:r w:rsidR="00CC0BD5" w:rsidRPr="0061488A">
        <w:rPr>
          <w:sz w:val="22"/>
          <w:szCs w:val="22"/>
        </w:rPr>
        <w:t>it is changing with several districts are now led by Women, Even the 2</w:t>
      </w:r>
      <w:r w:rsidR="00CC0BD5" w:rsidRPr="0061488A">
        <w:rPr>
          <w:sz w:val="22"/>
          <w:szCs w:val="22"/>
          <w:vertAlign w:val="superscript"/>
        </w:rPr>
        <w:t>nd</w:t>
      </w:r>
      <w:r w:rsidR="00CC0BD5" w:rsidRPr="0061488A">
        <w:rPr>
          <w:sz w:val="22"/>
          <w:szCs w:val="22"/>
        </w:rPr>
        <w:t xml:space="preserve"> most voted candidate in the previous Governor election was a women.</w:t>
      </w:r>
      <w:r w:rsidR="006D2DF4" w:rsidRPr="0061488A">
        <w:rPr>
          <w:sz w:val="22"/>
          <w:szCs w:val="22"/>
        </w:rPr>
        <w:t xml:space="preserve"> Although, the scope of work in this project is limited, </w:t>
      </w:r>
      <w:r w:rsidR="00CA7ED2" w:rsidRPr="0061488A">
        <w:rPr>
          <w:sz w:val="22"/>
          <w:szCs w:val="22"/>
        </w:rPr>
        <w:t>YIDH</w:t>
      </w:r>
      <w:r w:rsidRPr="0061488A">
        <w:rPr>
          <w:sz w:val="22"/>
          <w:szCs w:val="22"/>
        </w:rPr>
        <w:t xml:space="preserve"> see the opportunity for this project to improve that situation by increasing </w:t>
      </w:r>
      <w:r w:rsidR="00CA7ED2" w:rsidRPr="0061488A">
        <w:rPr>
          <w:sz w:val="22"/>
          <w:szCs w:val="22"/>
        </w:rPr>
        <w:t xml:space="preserve">woman participation </w:t>
      </w:r>
      <w:r w:rsidRPr="0061488A">
        <w:rPr>
          <w:sz w:val="22"/>
          <w:szCs w:val="22"/>
        </w:rPr>
        <w:t>through affirmative action approach</w:t>
      </w:r>
      <w:r w:rsidR="00CA7ED2" w:rsidRPr="0061488A">
        <w:rPr>
          <w:sz w:val="22"/>
          <w:szCs w:val="22"/>
        </w:rPr>
        <w:t xml:space="preserve"> as we believe that are key to drive growth and sustainability.</w:t>
      </w:r>
      <w:r w:rsidR="00351196" w:rsidRPr="0061488A">
        <w:rPr>
          <w:sz w:val="22"/>
          <w:szCs w:val="22"/>
        </w:rPr>
        <w:t xml:space="preserve"> </w:t>
      </w:r>
      <w:r w:rsidR="006D2DF4" w:rsidRPr="0061488A">
        <w:rPr>
          <w:sz w:val="22"/>
          <w:szCs w:val="22"/>
        </w:rPr>
        <w:t xml:space="preserve">We will improve women active participation by encouraging </w:t>
      </w:r>
      <w:r w:rsidR="000D044E" w:rsidRPr="0061488A">
        <w:rPr>
          <w:sz w:val="22"/>
          <w:szCs w:val="22"/>
        </w:rPr>
        <w:t xml:space="preserve">power sharing so </w:t>
      </w:r>
      <w:r w:rsidR="006D2DF4" w:rsidRPr="0061488A">
        <w:rPr>
          <w:sz w:val="22"/>
          <w:szCs w:val="22"/>
        </w:rPr>
        <w:t>female staffs f</w:t>
      </w:r>
      <w:r w:rsidR="000D044E" w:rsidRPr="0061488A">
        <w:rPr>
          <w:sz w:val="22"/>
          <w:szCs w:val="22"/>
        </w:rPr>
        <w:t>rom the Provincial Government could</w:t>
      </w:r>
      <w:r w:rsidR="006D2DF4" w:rsidRPr="0061488A">
        <w:rPr>
          <w:sz w:val="22"/>
          <w:szCs w:val="22"/>
        </w:rPr>
        <w:t xml:space="preserve"> step up in supporting the project implementation and by ensuring that women, youth and indigenous people</w:t>
      </w:r>
      <w:r w:rsidR="003447AC" w:rsidRPr="0061488A">
        <w:rPr>
          <w:sz w:val="22"/>
          <w:szCs w:val="22"/>
        </w:rPr>
        <w:t xml:space="preserve"> </w:t>
      </w:r>
      <w:r w:rsidR="00A41F20" w:rsidRPr="0061488A">
        <w:rPr>
          <w:sz w:val="22"/>
          <w:szCs w:val="22"/>
        </w:rPr>
        <w:t>such as</w:t>
      </w:r>
      <w:r w:rsidR="003447AC" w:rsidRPr="0061488A">
        <w:rPr>
          <w:sz w:val="22"/>
          <w:szCs w:val="22"/>
        </w:rPr>
        <w:t xml:space="preserve"> </w:t>
      </w:r>
      <w:r w:rsidR="00A41F20" w:rsidRPr="0061488A">
        <w:rPr>
          <w:sz w:val="22"/>
          <w:szCs w:val="22"/>
        </w:rPr>
        <w:t>Dayak tribe</w:t>
      </w:r>
      <w:r w:rsidR="000D044E" w:rsidRPr="0061488A">
        <w:rPr>
          <w:sz w:val="22"/>
          <w:szCs w:val="22"/>
        </w:rPr>
        <w:t xml:space="preserve"> in Sungai Mawang village</w:t>
      </w:r>
      <w:r w:rsidR="00A41F20" w:rsidRPr="0061488A">
        <w:rPr>
          <w:sz w:val="22"/>
          <w:szCs w:val="22"/>
        </w:rPr>
        <w:t xml:space="preserve">, Laman Satong village </w:t>
      </w:r>
      <w:r w:rsidR="000D044E" w:rsidRPr="0061488A">
        <w:rPr>
          <w:sz w:val="22"/>
          <w:szCs w:val="22"/>
        </w:rPr>
        <w:t xml:space="preserve"> and Ambawang village</w:t>
      </w:r>
      <w:r w:rsidR="00A41F20" w:rsidRPr="0061488A">
        <w:rPr>
          <w:sz w:val="22"/>
          <w:szCs w:val="22"/>
        </w:rPr>
        <w:t xml:space="preserve"> that have experience in REDD+ approach</w:t>
      </w:r>
      <w:r w:rsidR="000D044E" w:rsidRPr="0061488A">
        <w:rPr>
          <w:sz w:val="22"/>
          <w:szCs w:val="22"/>
        </w:rPr>
        <w:t>,</w:t>
      </w:r>
      <w:r w:rsidR="006D2DF4" w:rsidRPr="0061488A">
        <w:rPr>
          <w:sz w:val="22"/>
          <w:szCs w:val="22"/>
        </w:rPr>
        <w:t xml:space="preserve"> will </w:t>
      </w:r>
      <w:r w:rsidR="000D044E" w:rsidRPr="0061488A">
        <w:rPr>
          <w:sz w:val="22"/>
          <w:szCs w:val="22"/>
        </w:rPr>
        <w:t xml:space="preserve">be </w:t>
      </w:r>
      <w:r w:rsidR="006D2DF4" w:rsidRPr="0061488A">
        <w:rPr>
          <w:sz w:val="22"/>
          <w:szCs w:val="22"/>
        </w:rPr>
        <w:t xml:space="preserve">fairly represented in </w:t>
      </w:r>
      <w:r w:rsidR="00456560" w:rsidRPr="0061488A">
        <w:rPr>
          <w:sz w:val="22"/>
          <w:szCs w:val="22"/>
        </w:rPr>
        <w:t>series of meetings and</w:t>
      </w:r>
      <w:r w:rsidR="006D2DF4" w:rsidRPr="0061488A">
        <w:rPr>
          <w:sz w:val="22"/>
          <w:szCs w:val="22"/>
        </w:rPr>
        <w:t xml:space="preserve"> public consultation</w:t>
      </w:r>
      <w:r w:rsidR="00A41F20" w:rsidRPr="0061488A">
        <w:rPr>
          <w:sz w:val="22"/>
          <w:szCs w:val="22"/>
        </w:rPr>
        <w:t>s</w:t>
      </w:r>
      <w:r w:rsidR="006D2DF4" w:rsidRPr="0061488A">
        <w:rPr>
          <w:sz w:val="22"/>
          <w:szCs w:val="22"/>
        </w:rPr>
        <w:t xml:space="preserve"> </w:t>
      </w:r>
      <w:r w:rsidR="00456560" w:rsidRPr="0061488A">
        <w:rPr>
          <w:sz w:val="22"/>
          <w:szCs w:val="22"/>
        </w:rPr>
        <w:t>with</w:t>
      </w:r>
      <w:r w:rsidR="006D2DF4" w:rsidRPr="0061488A">
        <w:rPr>
          <w:sz w:val="22"/>
          <w:szCs w:val="22"/>
        </w:rPr>
        <w:t>in the project framework.</w:t>
      </w:r>
    </w:p>
    <w:p w14:paraId="6A49D291" w14:textId="77777777" w:rsidR="006D2DF4" w:rsidRPr="0061488A" w:rsidRDefault="006D2DF4" w:rsidP="007117E7">
      <w:pPr>
        <w:rPr>
          <w:sz w:val="22"/>
          <w:szCs w:val="22"/>
        </w:rPr>
      </w:pPr>
    </w:p>
    <w:p w14:paraId="743D42A4" w14:textId="6D32872F" w:rsidR="0061488A" w:rsidRPr="0061488A" w:rsidRDefault="0069690E" w:rsidP="00E472F9">
      <w:pPr>
        <w:spacing w:after="200"/>
        <w:jc w:val="both"/>
        <w:rPr>
          <w:sz w:val="22"/>
          <w:szCs w:val="22"/>
        </w:rPr>
      </w:pPr>
      <w:r w:rsidRPr="0061488A">
        <w:rPr>
          <w:sz w:val="22"/>
          <w:szCs w:val="22"/>
        </w:rPr>
        <w:t xml:space="preserve">The </w:t>
      </w:r>
      <w:r w:rsidR="003C07ED" w:rsidRPr="0061488A">
        <w:rPr>
          <w:sz w:val="22"/>
          <w:szCs w:val="22"/>
        </w:rPr>
        <w:t xml:space="preserve">proposed </w:t>
      </w:r>
      <w:r w:rsidR="00475DC5" w:rsidRPr="0061488A">
        <w:rPr>
          <w:sz w:val="22"/>
          <w:szCs w:val="22"/>
        </w:rPr>
        <w:t>project developed</w:t>
      </w:r>
      <w:r w:rsidR="006C3015" w:rsidRPr="0061488A">
        <w:rPr>
          <w:sz w:val="22"/>
          <w:szCs w:val="22"/>
        </w:rPr>
        <w:t xml:space="preserve"> </w:t>
      </w:r>
      <w:r w:rsidR="003C07ED" w:rsidRPr="0061488A">
        <w:rPr>
          <w:sz w:val="22"/>
          <w:szCs w:val="22"/>
        </w:rPr>
        <w:t>with 4 main pillars, which are</w:t>
      </w:r>
      <w:r w:rsidR="006C3015" w:rsidRPr="0061488A">
        <w:rPr>
          <w:sz w:val="22"/>
          <w:szCs w:val="22"/>
        </w:rPr>
        <w:t xml:space="preserve">: a) Performance </w:t>
      </w:r>
      <w:r w:rsidRPr="0061488A">
        <w:rPr>
          <w:sz w:val="22"/>
          <w:szCs w:val="22"/>
        </w:rPr>
        <w:t xml:space="preserve">analysis on SRAP REDD+ </w:t>
      </w:r>
      <w:r w:rsidR="003C07ED" w:rsidRPr="0061488A">
        <w:rPr>
          <w:sz w:val="22"/>
          <w:szCs w:val="22"/>
        </w:rPr>
        <w:t xml:space="preserve">for period </w:t>
      </w:r>
      <w:r w:rsidRPr="0061488A">
        <w:rPr>
          <w:sz w:val="22"/>
          <w:szCs w:val="22"/>
        </w:rPr>
        <w:t>2012-2018</w:t>
      </w:r>
      <w:r w:rsidR="006C3015" w:rsidRPr="0061488A">
        <w:rPr>
          <w:sz w:val="22"/>
          <w:szCs w:val="22"/>
        </w:rPr>
        <w:t xml:space="preserve"> implementation </w:t>
      </w:r>
      <w:r w:rsidR="00D00DA7" w:rsidRPr="0061488A">
        <w:rPr>
          <w:sz w:val="22"/>
          <w:szCs w:val="22"/>
        </w:rPr>
        <w:t xml:space="preserve">and </w:t>
      </w:r>
      <w:r w:rsidR="00AE3042" w:rsidRPr="0061488A">
        <w:rPr>
          <w:sz w:val="22"/>
          <w:szCs w:val="22"/>
        </w:rPr>
        <w:t>other existing</w:t>
      </w:r>
      <w:r w:rsidR="00D00DA7" w:rsidRPr="0061488A">
        <w:rPr>
          <w:sz w:val="22"/>
          <w:szCs w:val="22"/>
        </w:rPr>
        <w:t xml:space="preserve"> strategies </w:t>
      </w:r>
      <w:r w:rsidR="006C3015" w:rsidRPr="0061488A">
        <w:rPr>
          <w:sz w:val="22"/>
          <w:szCs w:val="22"/>
        </w:rPr>
        <w:t xml:space="preserve">towards carbon </w:t>
      </w:r>
      <w:r w:rsidRPr="0061488A">
        <w:rPr>
          <w:sz w:val="22"/>
          <w:szCs w:val="22"/>
        </w:rPr>
        <w:t xml:space="preserve">emission </w:t>
      </w:r>
      <w:r w:rsidR="006C3015" w:rsidRPr="0061488A">
        <w:rPr>
          <w:sz w:val="22"/>
          <w:szCs w:val="22"/>
        </w:rPr>
        <w:t xml:space="preserve">reduction target, b) </w:t>
      </w:r>
      <w:r w:rsidR="003C07ED" w:rsidRPr="0061488A">
        <w:rPr>
          <w:sz w:val="22"/>
          <w:szCs w:val="22"/>
        </w:rPr>
        <w:t>Capacity building for</w:t>
      </w:r>
      <w:r w:rsidR="006C3015" w:rsidRPr="0061488A">
        <w:rPr>
          <w:sz w:val="22"/>
          <w:szCs w:val="22"/>
        </w:rPr>
        <w:t xml:space="preserve"> the SRAP REDD+ task force</w:t>
      </w:r>
      <w:r w:rsidR="00AE3042" w:rsidRPr="0061488A">
        <w:rPr>
          <w:sz w:val="22"/>
          <w:szCs w:val="22"/>
        </w:rPr>
        <w:t xml:space="preserve"> and relevant provincial platforms</w:t>
      </w:r>
      <w:r w:rsidR="006C3015" w:rsidRPr="0061488A">
        <w:rPr>
          <w:sz w:val="22"/>
          <w:szCs w:val="22"/>
        </w:rPr>
        <w:t xml:space="preserve">, c) </w:t>
      </w:r>
      <w:r w:rsidR="00446B36" w:rsidRPr="0061488A">
        <w:rPr>
          <w:sz w:val="22"/>
          <w:szCs w:val="22"/>
        </w:rPr>
        <w:t>Develop i</w:t>
      </w:r>
      <w:r w:rsidR="006C3015" w:rsidRPr="0061488A">
        <w:rPr>
          <w:sz w:val="22"/>
          <w:szCs w:val="22"/>
        </w:rPr>
        <w:t xml:space="preserve">nitial </w:t>
      </w:r>
      <w:r w:rsidR="00446B36" w:rsidRPr="0061488A">
        <w:rPr>
          <w:sz w:val="22"/>
          <w:szCs w:val="22"/>
        </w:rPr>
        <w:t>phase of governance structure for</w:t>
      </w:r>
      <w:r w:rsidR="003C07ED" w:rsidRPr="0061488A">
        <w:rPr>
          <w:sz w:val="22"/>
          <w:szCs w:val="22"/>
        </w:rPr>
        <w:t xml:space="preserve"> potential</w:t>
      </w:r>
      <w:r w:rsidR="006C3015" w:rsidRPr="0061488A">
        <w:rPr>
          <w:sz w:val="22"/>
          <w:szCs w:val="22"/>
        </w:rPr>
        <w:t xml:space="preserve"> financing mechanism </w:t>
      </w:r>
      <w:r w:rsidR="00AE3042" w:rsidRPr="0061488A">
        <w:rPr>
          <w:sz w:val="22"/>
          <w:szCs w:val="22"/>
        </w:rPr>
        <w:t xml:space="preserve">or </w:t>
      </w:r>
      <w:r w:rsidR="006C3015" w:rsidRPr="0061488A">
        <w:rPr>
          <w:sz w:val="22"/>
          <w:szCs w:val="22"/>
        </w:rPr>
        <w:t xml:space="preserve">scheme for </w:t>
      </w:r>
      <w:r w:rsidR="00AE3042" w:rsidRPr="0061488A">
        <w:rPr>
          <w:sz w:val="22"/>
          <w:szCs w:val="22"/>
        </w:rPr>
        <w:t xml:space="preserve">green investment including both from </w:t>
      </w:r>
      <w:r w:rsidR="006C3015" w:rsidRPr="0061488A">
        <w:rPr>
          <w:sz w:val="22"/>
          <w:szCs w:val="22"/>
        </w:rPr>
        <w:t>REDD+</w:t>
      </w:r>
      <w:r w:rsidR="003C07ED" w:rsidRPr="0061488A">
        <w:rPr>
          <w:sz w:val="22"/>
          <w:szCs w:val="22"/>
        </w:rPr>
        <w:t xml:space="preserve"> </w:t>
      </w:r>
      <w:r w:rsidR="00E942E9" w:rsidRPr="0061488A">
        <w:rPr>
          <w:sz w:val="22"/>
          <w:szCs w:val="22"/>
        </w:rPr>
        <w:t xml:space="preserve">and </w:t>
      </w:r>
      <w:r w:rsidR="00AE3042" w:rsidRPr="0061488A">
        <w:rPr>
          <w:sz w:val="22"/>
          <w:szCs w:val="22"/>
        </w:rPr>
        <w:t>the private sector</w:t>
      </w:r>
      <w:r w:rsidR="003C07ED" w:rsidRPr="0061488A">
        <w:rPr>
          <w:sz w:val="22"/>
          <w:szCs w:val="22"/>
        </w:rPr>
        <w:t xml:space="preserve"> and d) R</w:t>
      </w:r>
      <w:r w:rsidR="006C3015" w:rsidRPr="0061488A">
        <w:rPr>
          <w:sz w:val="22"/>
          <w:szCs w:val="22"/>
        </w:rPr>
        <w:t xml:space="preserve">egulatory framework in supporting </w:t>
      </w:r>
      <w:r w:rsidRPr="0061488A">
        <w:rPr>
          <w:sz w:val="22"/>
          <w:szCs w:val="22"/>
        </w:rPr>
        <w:t xml:space="preserve">the SRAP </w:t>
      </w:r>
      <w:r w:rsidR="006C3015" w:rsidRPr="0061488A">
        <w:rPr>
          <w:sz w:val="22"/>
          <w:szCs w:val="22"/>
        </w:rPr>
        <w:t xml:space="preserve">REDD+ </w:t>
      </w:r>
      <w:r w:rsidR="00AE3042" w:rsidRPr="0061488A">
        <w:rPr>
          <w:sz w:val="22"/>
          <w:szCs w:val="22"/>
        </w:rPr>
        <w:t xml:space="preserve">and green growth </w:t>
      </w:r>
      <w:r w:rsidR="006C3015" w:rsidRPr="0061488A">
        <w:rPr>
          <w:sz w:val="22"/>
          <w:szCs w:val="22"/>
        </w:rPr>
        <w:t>implementation.</w:t>
      </w:r>
      <w:r w:rsidR="000959B7" w:rsidRPr="0061488A">
        <w:rPr>
          <w:sz w:val="22"/>
          <w:szCs w:val="22"/>
        </w:rPr>
        <w:t xml:space="preserve"> We p</w:t>
      </w:r>
      <w:r w:rsidR="003C07ED" w:rsidRPr="0061488A">
        <w:rPr>
          <w:sz w:val="22"/>
          <w:szCs w:val="22"/>
        </w:rPr>
        <w:t xml:space="preserve">ropose </w:t>
      </w:r>
      <w:r w:rsidR="007D5DE1" w:rsidRPr="0061488A">
        <w:rPr>
          <w:sz w:val="22"/>
          <w:szCs w:val="22"/>
        </w:rPr>
        <w:t xml:space="preserve">11 </w:t>
      </w:r>
      <w:r w:rsidR="003C07ED" w:rsidRPr="0061488A">
        <w:rPr>
          <w:sz w:val="22"/>
          <w:szCs w:val="22"/>
        </w:rPr>
        <w:t xml:space="preserve">main </w:t>
      </w:r>
      <w:r w:rsidR="007D5DE1" w:rsidRPr="0061488A">
        <w:rPr>
          <w:sz w:val="22"/>
          <w:szCs w:val="22"/>
        </w:rPr>
        <w:t xml:space="preserve">activities </w:t>
      </w:r>
      <w:r w:rsidR="000959B7" w:rsidRPr="0061488A">
        <w:rPr>
          <w:sz w:val="22"/>
          <w:szCs w:val="22"/>
        </w:rPr>
        <w:t xml:space="preserve">to be </w:t>
      </w:r>
      <w:r w:rsidR="007D5DE1" w:rsidRPr="0061488A">
        <w:rPr>
          <w:sz w:val="22"/>
          <w:szCs w:val="22"/>
        </w:rPr>
        <w:t xml:space="preserve">implemented under </w:t>
      </w:r>
      <w:r w:rsidR="006C3015" w:rsidRPr="0061488A">
        <w:rPr>
          <w:sz w:val="22"/>
          <w:szCs w:val="22"/>
        </w:rPr>
        <w:t>18 months</w:t>
      </w:r>
      <w:r w:rsidR="007D5DE1" w:rsidRPr="0061488A">
        <w:rPr>
          <w:sz w:val="22"/>
          <w:szCs w:val="22"/>
        </w:rPr>
        <w:t xml:space="preserve"> of project duration</w:t>
      </w:r>
      <w:r w:rsidR="006C3015" w:rsidRPr="0061488A">
        <w:rPr>
          <w:sz w:val="22"/>
          <w:szCs w:val="22"/>
        </w:rPr>
        <w:t>. YIDH</w:t>
      </w:r>
      <w:r w:rsidRPr="0061488A">
        <w:rPr>
          <w:sz w:val="22"/>
          <w:szCs w:val="22"/>
        </w:rPr>
        <w:t>, West Kalimantan Provincial Government</w:t>
      </w:r>
      <w:r w:rsidR="006C3015" w:rsidRPr="0061488A">
        <w:rPr>
          <w:sz w:val="22"/>
          <w:szCs w:val="22"/>
        </w:rPr>
        <w:t xml:space="preserve"> and SRAP REDD+ task force are </w:t>
      </w:r>
      <w:r w:rsidRPr="0061488A">
        <w:rPr>
          <w:sz w:val="22"/>
          <w:szCs w:val="22"/>
        </w:rPr>
        <w:t xml:space="preserve">the </w:t>
      </w:r>
      <w:r w:rsidR="006C3015" w:rsidRPr="0061488A">
        <w:rPr>
          <w:sz w:val="22"/>
          <w:szCs w:val="22"/>
        </w:rPr>
        <w:t>main project implementer</w:t>
      </w:r>
      <w:r w:rsidRPr="0061488A">
        <w:rPr>
          <w:sz w:val="22"/>
          <w:szCs w:val="22"/>
        </w:rPr>
        <w:t>s</w:t>
      </w:r>
      <w:r w:rsidR="006C3015" w:rsidRPr="0061488A">
        <w:rPr>
          <w:sz w:val="22"/>
          <w:szCs w:val="22"/>
        </w:rPr>
        <w:t xml:space="preserve"> of this project</w:t>
      </w:r>
      <w:r w:rsidRPr="0061488A">
        <w:rPr>
          <w:sz w:val="22"/>
          <w:szCs w:val="22"/>
        </w:rPr>
        <w:t xml:space="preserve"> with support from</w:t>
      </w:r>
      <w:r w:rsidR="00446B36" w:rsidRPr="0061488A">
        <w:rPr>
          <w:sz w:val="22"/>
          <w:szCs w:val="22"/>
        </w:rPr>
        <w:t xml:space="preserve"> expert and local p</w:t>
      </w:r>
      <w:r w:rsidRPr="0061488A">
        <w:rPr>
          <w:sz w:val="22"/>
          <w:szCs w:val="22"/>
        </w:rPr>
        <w:t>artner</w:t>
      </w:r>
      <w:r w:rsidR="00AE3042" w:rsidRPr="0061488A">
        <w:rPr>
          <w:sz w:val="22"/>
          <w:szCs w:val="22"/>
        </w:rPr>
        <w:t>s</w:t>
      </w:r>
      <w:r w:rsidRPr="0061488A">
        <w:rPr>
          <w:sz w:val="22"/>
          <w:szCs w:val="22"/>
        </w:rPr>
        <w:t xml:space="preserve"> such as Sampan Kalimantan</w:t>
      </w:r>
      <w:r w:rsidR="00446B36" w:rsidRPr="0061488A">
        <w:rPr>
          <w:sz w:val="22"/>
          <w:szCs w:val="22"/>
        </w:rPr>
        <w:t xml:space="preserve"> and several companies</w:t>
      </w:r>
      <w:r w:rsidR="00440F17" w:rsidRPr="0061488A">
        <w:rPr>
          <w:sz w:val="22"/>
          <w:szCs w:val="22"/>
        </w:rPr>
        <w:t xml:space="preserve"> that currently </w:t>
      </w:r>
      <w:r w:rsidR="00A9598F" w:rsidRPr="0061488A">
        <w:rPr>
          <w:sz w:val="22"/>
          <w:szCs w:val="22"/>
        </w:rPr>
        <w:t>have engagement</w:t>
      </w:r>
      <w:r w:rsidR="00440F17" w:rsidRPr="0061488A">
        <w:rPr>
          <w:sz w:val="22"/>
          <w:szCs w:val="22"/>
        </w:rPr>
        <w:t xml:space="preserve"> with YIDH</w:t>
      </w:r>
      <w:r w:rsidR="006C3015" w:rsidRPr="0061488A">
        <w:rPr>
          <w:sz w:val="22"/>
          <w:szCs w:val="22"/>
        </w:rPr>
        <w:t xml:space="preserve">. </w:t>
      </w:r>
      <w:r w:rsidRPr="0061488A">
        <w:rPr>
          <w:sz w:val="22"/>
          <w:szCs w:val="22"/>
        </w:rPr>
        <w:t>For better project management, reporting and monitoring, t</w:t>
      </w:r>
      <w:r w:rsidR="003C07ED" w:rsidRPr="0061488A">
        <w:rPr>
          <w:sz w:val="22"/>
          <w:szCs w:val="22"/>
        </w:rPr>
        <w:t xml:space="preserve">he project will </w:t>
      </w:r>
      <w:r w:rsidR="00AE3042" w:rsidRPr="0061488A">
        <w:rPr>
          <w:sz w:val="22"/>
          <w:szCs w:val="22"/>
        </w:rPr>
        <w:t xml:space="preserve">be </w:t>
      </w:r>
      <w:r w:rsidR="003C07ED" w:rsidRPr="0061488A">
        <w:rPr>
          <w:sz w:val="22"/>
          <w:szCs w:val="22"/>
        </w:rPr>
        <w:t>managed by</w:t>
      </w:r>
      <w:r w:rsidRPr="0061488A">
        <w:rPr>
          <w:sz w:val="22"/>
          <w:szCs w:val="22"/>
        </w:rPr>
        <w:t xml:space="preserve"> a </w:t>
      </w:r>
      <w:r w:rsidR="006C3015" w:rsidRPr="0061488A">
        <w:rPr>
          <w:sz w:val="22"/>
          <w:szCs w:val="22"/>
        </w:rPr>
        <w:t>Project Management Unit (PMU)</w:t>
      </w:r>
      <w:r w:rsidR="00440F17" w:rsidRPr="0061488A">
        <w:rPr>
          <w:sz w:val="22"/>
          <w:szCs w:val="22"/>
        </w:rPr>
        <w:t xml:space="preserve"> under YIDH supervision.</w:t>
      </w:r>
      <w:r w:rsidR="003C07ED" w:rsidRPr="0061488A">
        <w:rPr>
          <w:sz w:val="22"/>
          <w:szCs w:val="22"/>
        </w:rPr>
        <w:t xml:space="preserve"> </w:t>
      </w:r>
      <w:r w:rsidR="00AE3042" w:rsidRPr="0061488A">
        <w:rPr>
          <w:sz w:val="22"/>
          <w:szCs w:val="22"/>
        </w:rPr>
        <w:t>It is expected that this arrangement will</w:t>
      </w:r>
      <w:r w:rsidR="003C07ED" w:rsidRPr="0061488A">
        <w:rPr>
          <w:sz w:val="22"/>
          <w:szCs w:val="22"/>
        </w:rPr>
        <w:t xml:space="preserve"> increase </w:t>
      </w:r>
      <w:r w:rsidR="00AE3042" w:rsidRPr="0061488A">
        <w:rPr>
          <w:sz w:val="22"/>
          <w:szCs w:val="22"/>
        </w:rPr>
        <w:t xml:space="preserve">further </w:t>
      </w:r>
      <w:r w:rsidR="000959B7" w:rsidRPr="0061488A">
        <w:rPr>
          <w:sz w:val="22"/>
          <w:szCs w:val="22"/>
        </w:rPr>
        <w:t xml:space="preserve">stakeholder involvement </w:t>
      </w:r>
      <w:r w:rsidR="00AE3042" w:rsidRPr="0061488A">
        <w:rPr>
          <w:sz w:val="22"/>
          <w:szCs w:val="22"/>
        </w:rPr>
        <w:t>and</w:t>
      </w:r>
      <w:r w:rsidR="003C07ED" w:rsidRPr="0061488A">
        <w:rPr>
          <w:sz w:val="22"/>
          <w:szCs w:val="22"/>
        </w:rPr>
        <w:t xml:space="preserve"> </w:t>
      </w:r>
      <w:r w:rsidR="00AE3042" w:rsidRPr="0061488A">
        <w:rPr>
          <w:sz w:val="22"/>
          <w:szCs w:val="22"/>
        </w:rPr>
        <w:t>ownership</w:t>
      </w:r>
      <w:r w:rsidR="003C07ED" w:rsidRPr="0061488A">
        <w:rPr>
          <w:sz w:val="22"/>
          <w:szCs w:val="22"/>
        </w:rPr>
        <w:t>.</w:t>
      </w:r>
    </w:p>
    <w:p w14:paraId="62389BEB" w14:textId="77777777" w:rsidR="00C50474" w:rsidRPr="00456560" w:rsidRDefault="00FA1191" w:rsidP="008529B1">
      <w:pPr>
        <w:pStyle w:val="ListParagraph"/>
        <w:numPr>
          <w:ilvl w:val="1"/>
          <w:numId w:val="1"/>
        </w:numPr>
        <w:spacing w:after="0" w:line="240" w:lineRule="auto"/>
        <w:ind w:left="567" w:hanging="567"/>
        <w:contextualSpacing w:val="0"/>
        <w:rPr>
          <w:rFonts w:ascii="Times New Roman" w:hAnsi="Times New Roman" w:cs="Times New Roman"/>
          <w:b/>
        </w:rPr>
      </w:pPr>
      <w:r w:rsidRPr="00456560">
        <w:rPr>
          <w:rFonts w:ascii="Times New Roman" w:hAnsi="Times New Roman" w:cs="Times New Roman"/>
          <w:b/>
        </w:rPr>
        <w:t>Self-Assessment</w:t>
      </w:r>
      <w:r w:rsidR="00774634" w:rsidRPr="00456560">
        <w:rPr>
          <w:rFonts w:ascii="Times New Roman" w:hAnsi="Times New Roman" w:cs="Times New Roman"/>
          <w:b/>
        </w:rPr>
        <w:t xml:space="preserve"> (2-4 pages)</w:t>
      </w:r>
    </w:p>
    <w:p w14:paraId="30C27797" w14:textId="77777777" w:rsidR="00EC1D7C" w:rsidRPr="00C80F34" w:rsidRDefault="00EC1D7C" w:rsidP="008529B1">
      <w:pPr>
        <w:pStyle w:val="ListParagraph"/>
        <w:numPr>
          <w:ilvl w:val="2"/>
          <w:numId w:val="1"/>
        </w:numPr>
        <w:spacing w:after="0" w:line="240" w:lineRule="auto"/>
        <w:ind w:left="1276" w:hanging="709"/>
        <w:jc w:val="both"/>
        <w:rPr>
          <w:rFonts w:ascii="Times New Roman" w:hAnsi="Times New Roman" w:cs="Times New Roman"/>
          <w:b/>
        </w:rPr>
      </w:pPr>
      <w:r w:rsidRPr="00C80F34">
        <w:rPr>
          <w:rFonts w:ascii="Times New Roman" w:hAnsi="Times New Roman" w:cs="Times New Roman"/>
          <w:b/>
        </w:rPr>
        <w:t>Existing Jurisdictional Strategy</w:t>
      </w:r>
    </w:p>
    <w:tbl>
      <w:tblPr>
        <w:tblStyle w:val="TableGrid"/>
        <w:tblW w:w="10490" w:type="dxa"/>
        <w:tblInd w:w="-5" w:type="dxa"/>
        <w:tblLayout w:type="fixed"/>
        <w:tblLook w:val="04A0" w:firstRow="1" w:lastRow="0" w:firstColumn="1" w:lastColumn="0" w:noHBand="0" w:noVBand="1"/>
      </w:tblPr>
      <w:tblGrid>
        <w:gridCol w:w="2127"/>
        <w:gridCol w:w="8363"/>
      </w:tblGrid>
      <w:tr w:rsidR="00EC1D7C" w:rsidRPr="00C80F34" w14:paraId="7EA70BEA" w14:textId="77777777" w:rsidTr="002B23A5">
        <w:tc>
          <w:tcPr>
            <w:tcW w:w="2127" w:type="dxa"/>
          </w:tcPr>
          <w:p w14:paraId="2F72A0F1" w14:textId="77777777" w:rsidR="00EC1D7C" w:rsidRPr="0061488A" w:rsidRDefault="00EC1D7C" w:rsidP="008529B1">
            <w:pPr>
              <w:pStyle w:val="ListParagraph"/>
              <w:ind w:left="0"/>
              <w:rPr>
                <w:rFonts w:ascii="Times New Roman" w:hAnsi="Times New Roman" w:cs="Times New Roman"/>
              </w:rPr>
            </w:pPr>
            <w:r w:rsidRPr="0061488A">
              <w:rPr>
                <w:rFonts w:ascii="Times New Roman" w:hAnsi="Times New Roman" w:cs="Times New Roman"/>
              </w:rPr>
              <w:t>Is there an existing jurisdictional REDD+ strategy?</w:t>
            </w:r>
          </w:p>
        </w:tc>
        <w:tc>
          <w:tcPr>
            <w:tcW w:w="8363" w:type="dxa"/>
          </w:tcPr>
          <w:p w14:paraId="5B950328" w14:textId="18EB6DB3" w:rsidR="00406011" w:rsidRPr="0061488A" w:rsidRDefault="005D65B1" w:rsidP="005F4F0C">
            <w:pPr>
              <w:jc w:val="both"/>
              <w:rPr>
                <w:sz w:val="22"/>
                <w:szCs w:val="22"/>
              </w:rPr>
            </w:pPr>
            <w:r w:rsidRPr="0061488A">
              <w:rPr>
                <w:sz w:val="22"/>
                <w:szCs w:val="22"/>
              </w:rPr>
              <w:t xml:space="preserve">Yes, </w:t>
            </w:r>
            <w:r w:rsidR="0003737F" w:rsidRPr="0061488A">
              <w:rPr>
                <w:sz w:val="22"/>
                <w:szCs w:val="22"/>
              </w:rPr>
              <w:t xml:space="preserve">there </w:t>
            </w:r>
            <w:r w:rsidRPr="0061488A">
              <w:rPr>
                <w:sz w:val="22"/>
                <w:szCs w:val="22"/>
              </w:rPr>
              <w:t xml:space="preserve">is. </w:t>
            </w:r>
            <w:r w:rsidR="00BA1D72" w:rsidRPr="0061488A">
              <w:rPr>
                <w:sz w:val="22"/>
                <w:szCs w:val="22"/>
              </w:rPr>
              <w:t xml:space="preserve">Regional </w:t>
            </w:r>
            <w:r w:rsidR="005C25AD" w:rsidRPr="0061488A">
              <w:rPr>
                <w:sz w:val="22"/>
                <w:szCs w:val="22"/>
              </w:rPr>
              <w:t xml:space="preserve">Strategy and Action Plan </w:t>
            </w:r>
            <w:r w:rsidR="00BA1D72" w:rsidRPr="0061488A">
              <w:rPr>
                <w:sz w:val="22"/>
                <w:szCs w:val="22"/>
              </w:rPr>
              <w:t xml:space="preserve">REDD+ </w:t>
            </w:r>
            <w:r w:rsidR="00446B36" w:rsidRPr="0061488A">
              <w:rPr>
                <w:sz w:val="22"/>
                <w:szCs w:val="22"/>
              </w:rPr>
              <w:t xml:space="preserve">or </w:t>
            </w:r>
            <w:r w:rsidR="00446B36" w:rsidRPr="0061488A">
              <w:rPr>
                <w:i/>
                <w:sz w:val="22"/>
                <w:szCs w:val="22"/>
              </w:rPr>
              <w:t>SRAP REDD+</w:t>
            </w:r>
            <w:r w:rsidR="00446B36" w:rsidRPr="0061488A">
              <w:rPr>
                <w:sz w:val="22"/>
                <w:szCs w:val="22"/>
              </w:rPr>
              <w:t xml:space="preserve"> </w:t>
            </w:r>
            <w:r w:rsidR="0003737F" w:rsidRPr="0061488A">
              <w:rPr>
                <w:sz w:val="22"/>
                <w:szCs w:val="22"/>
              </w:rPr>
              <w:t xml:space="preserve">was developed and completed </w:t>
            </w:r>
            <w:r w:rsidR="00B7253D" w:rsidRPr="0061488A">
              <w:rPr>
                <w:sz w:val="22"/>
                <w:szCs w:val="22"/>
              </w:rPr>
              <w:t>in 2012</w:t>
            </w:r>
            <w:r w:rsidR="00446B36" w:rsidRPr="0061488A">
              <w:rPr>
                <w:sz w:val="22"/>
                <w:szCs w:val="22"/>
              </w:rPr>
              <w:t xml:space="preserve"> </w:t>
            </w:r>
            <w:r w:rsidR="0003737F" w:rsidRPr="0061488A">
              <w:rPr>
                <w:sz w:val="22"/>
                <w:szCs w:val="22"/>
              </w:rPr>
              <w:t xml:space="preserve">and gazette as a </w:t>
            </w:r>
            <w:r w:rsidR="00446B36" w:rsidRPr="0061488A">
              <w:rPr>
                <w:sz w:val="22"/>
                <w:szCs w:val="22"/>
              </w:rPr>
              <w:t>Governor Regulation (PERGUB)</w:t>
            </w:r>
            <w:r w:rsidRPr="0061488A">
              <w:rPr>
                <w:sz w:val="22"/>
                <w:szCs w:val="22"/>
              </w:rPr>
              <w:t xml:space="preserve">. </w:t>
            </w:r>
            <w:r w:rsidR="0003737F" w:rsidRPr="0061488A">
              <w:rPr>
                <w:sz w:val="22"/>
                <w:szCs w:val="22"/>
              </w:rPr>
              <w:t xml:space="preserve">This </w:t>
            </w:r>
            <w:r w:rsidRPr="0061488A">
              <w:rPr>
                <w:sz w:val="22"/>
                <w:szCs w:val="22"/>
              </w:rPr>
              <w:t>is a long-term strategy</w:t>
            </w:r>
            <w:r w:rsidR="00B7253D" w:rsidRPr="0061488A">
              <w:rPr>
                <w:sz w:val="22"/>
                <w:szCs w:val="22"/>
              </w:rPr>
              <w:t xml:space="preserve"> </w:t>
            </w:r>
            <w:r w:rsidR="00446B36" w:rsidRPr="0061488A">
              <w:rPr>
                <w:sz w:val="22"/>
                <w:szCs w:val="22"/>
              </w:rPr>
              <w:t xml:space="preserve">in reducing carbon </w:t>
            </w:r>
            <w:r w:rsidR="00B7253D" w:rsidRPr="0061488A">
              <w:rPr>
                <w:sz w:val="22"/>
                <w:szCs w:val="22"/>
              </w:rPr>
              <w:t xml:space="preserve">emission </w:t>
            </w:r>
            <w:r w:rsidR="00446B36" w:rsidRPr="0061488A">
              <w:rPr>
                <w:sz w:val="22"/>
                <w:szCs w:val="22"/>
              </w:rPr>
              <w:t>that</w:t>
            </w:r>
            <w:r w:rsidR="00396267" w:rsidRPr="0061488A">
              <w:rPr>
                <w:sz w:val="22"/>
                <w:szCs w:val="22"/>
              </w:rPr>
              <w:t xml:space="preserve"> </w:t>
            </w:r>
            <w:r w:rsidR="008A56A8" w:rsidRPr="0061488A">
              <w:rPr>
                <w:sz w:val="22"/>
                <w:szCs w:val="22"/>
              </w:rPr>
              <w:t>focus</w:t>
            </w:r>
            <w:r w:rsidR="00396267" w:rsidRPr="0061488A">
              <w:rPr>
                <w:sz w:val="22"/>
                <w:szCs w:val="22"/>
              </w:rPr>
              <w:t>es</w:t>
            </w:r>
            <w:r w:rsidR="008A56A8" w:rsidRPr="0061488A">
              <w:rPr>
                <w:sz w:val="22"/>
                <w:szCs w:val="22"/>
              </w:rPr>
              <w:t xml:space="preserve"> on</w:t>
            </w:r>
            <w:r w:rsidR="00B7253D" w:rsidRPr="0061488A">
              <w:rPr>
                <w:sz w:val="22"/>
                <w:szCs w:val="22"/>
              </w:rPr>
              <w:t xml:space="preserve"> forest and land sector</w:t>
            </w:r>
            <w:r w:rsidR="0016326E" w:rsidRPr="0061488A">
              <w:rPr>
                <w:sz w:val="22"/>
                <w:szCs w:val="22"/>
              </w:rPr>
              <w:t xml:space="preserve">. </w:t>
            </w:r>
            <w:r w:rsidR="0049728D" w:rsidRPr="0061488A">
              <w:rPr>
                <w:sz w:val="22"/>
                <w:szCs w:val="22"/>
              </w:rPr>
              <w:t xml:space="preserve">In 2017, </w:t>
            </w:r>
            <w:r w:rsidR="00C929B1" w:rsidRPr="0061488A">
              <w:rPr>
                <w:sz w:val="22"/>
                <w:szCs w:val="22"/>
              </w:rPr>
              <w:t xml:space="preserve">the </w:t>
            </w:r>
            <w:r w:rsidR="0049728D" w:rsidRPr="0061488A">
              <w:rPr>
                <w:sz w:val="22"/>
                <w:szCs w:val="22"/>
              </w:rPr>
              <w:t xml:space="preserve">SRAP </w:t>
            </w:r>
            <w:r w:rsidR="0003737F" w:rsidRPr="0061488A">
              <w:rPr>
                <w:sz w:val="22"/>
                <w:szCs w:val="22"/>
              </w:rPr>
              <w:t xml:space="preserve">was </w:t>
            </w:r>
            <w:r w:rsidR="0049728D" w:rsidRPr="0061488A">
              <w:rPr>
                <w:sz w:val="22"/>
                <w:szCs w:val="22"/>
              </w:rPr>
              <w:t xml:space="preserve">strengthened </w:t>
            </w:r>
            <w:r w:rsidR="0003737F" w:rsidRPr="0061488A">
              <w:rPr>
                <w:sz w:val="22"/>
                <w:szCs w:val="22"/>
              </w:rPr>
              <w:t xml:space="preserve">with </w:t>
            </w:r>
            <w:r w:rsidR="00FA43FB" w:rsidRPr="0061488A">
              <w:rPr>
                <w:sz w:val="22"/>
                <w:szCs w:val="22"/>
              </w:rPr>
              <w:t xml:space="preserve">the finalization of </w:t>
            </w:r>
            <w:r w:rsidR="0011098A" w:rsidRPr="0061488A">
              <w:rPr>
                <w:sz w:val="22"/>
                <w:szCs w:val="22"/>
              </w:rPr>
              <w:t>Green Growth Plan</w:t>
            </w:r>
            <w:r w:rsidR="00AE0D76" w:rsidRPr="0061488A">
              <w:rPr>
                <w:sz w:val="22"/>
                <w:szCs w:val="22"/>
              </w:rPr>
              <w:t xml:space="preserve"> (GGP)</w:t>
            </w:r>
            <w:r w:rsidR="00446B36" w:rsidRPr="0061488A">
              <w:rPr>
                <w:sz w:val="22"/>
                <w:szCs w:val="22"/>
              </w:rPr>
              <w:t xml:space="preserve">. </w:t>
            </w:r>
            <w:r w:rsidR="0003737F" w:rsidRPr="0061488A">
              <w:rPr>
                <w:sz w:val="22"/>
                <w:szCs w:val="22"/>
              </w:rPr>
              <w:t xml:space="preserve">The GGP provides </w:t>
            </w:r>
            <w:r w:rsidR="007C6ABA" w:rsidRPr="0061488A">
              <w:rPr>
                <w:sz w:val="22"/>
                <w:szCs w:val="22"/>
              </w:rPr>
              <w:t>different development scenarios</w:t>
            </w:r>
            <w:r w:rsidR="00A96769" w:rsidRPr="0061488A">
              <w:rPr>
                <w:sz w:val="22"/>
                <w:szCs w:val="22"/>
              </w:rPr>
              <w:t xml:space="preserve"> for forest and land based sector</w:t>
            </w:r>
            <w:r w:rsidR="0003737F" w:rsidRPr="0061488A">
              <w:rPr>
                <w:sz w:val="22"/>
                <w:szCs w:val="22"/>
              </w:rPr>
              <w:t>s</w:t>
            </w:r>
            <w:r w:rsidR="009078C6" w:rsidRPr="0061488A">
              <w:rPr>
                <w:sz w:val="22"/>
                <w:szCs w:val="22"/>
              </w:rPr>
              <w:t>.</w:t>
            </w:r>
            <w:r w:rsidR="00446B36" w:rsidRPr="0061488A">
              <w:rPr>
                <w:sz w:val="22"/>
                <w:szCs w:val="22"/>
              </w:rPr>
              <w:t xml:space="preserve"> </w:t>
            </w:r>
            <w:r w:rsidR="0003737F" w:rsidRPr="0061488A">
              <w:rPr>
                <w:sz w:val="22"/>
                <w:szCs w:val="22"/>
              </w:rPr>
              <w:t xml:space="preserve">The GGP can </w:t>
            </w:r>
            <w:r w:rsidR="00446B36" w:rsidRPr="0061488A">
              <w:rPr>
                <w:sz w:val="22"/>
                <w:szCs w:val="22"/>
              </w:rPr>
              <w:t xml:space="preserve">also </w:t>
            </w:r>
            <w:r w:rsidR="0003737F" w:rsidRPr="0061488A">
              <w:rPr>
                <w:sz w:val="22"/>
                <w:szCs w:val="22"/>
              </w:rPr>
              <w:t xml:space="preserve">be </w:t>
            </w:r>
            <w:r w:rsidR="00446B36" w:rsidRPr="0061488A">
              <w:rPr>
                <w:sz w:val="22"/>
                <w:szCs w:val="22"/>
              </w:rPr>
              <w:t xml:space="preserve">used </w:t>
            </w:r>
            <w:r w:rsidR="0003737F" w:rsidRPr="0061488A">
              <w:rPr>
                <w:sz w:val="22"/>
                <w:szCs w:val="22"/>
              </w:rPr>
              <w:t xml:space="preserve">as the basis for </w:t>
            </w:r>
            <w:r w:rsidR="00446B36" w:rsidRPr="0061488A">
              <w:rPr>
                <w:sz w:val="22"/>
                <w:szCs w:val="22"/>
              </w:rPr>
              <w:t>mobiliz</w:t>
            </w:r>
            <w:r w:rsidR="0003737F" w:rsidRPr="0061488A">
              <w:rPr>
                <w:sz w:val="22"/>
                <w:szCs w:val="22"/>
              </w:rPr>
              <w:t>ing</w:t>
            </w:r>
            <w:r w:rsidR="00446B36" w:rsidRPr="0061488A">
              <w:rPr>
                <w:sz w:val="22"/>
                <w:szCs w:val="22"/>
              </w:rPr>
              <w:t xml:space="preserve"> green investment. </w:t>
            </w:r>
            <w:r w:rsidR="0003737F" w:rsidRPr="0061488A">
              <w:rPr>
                <w:sz w:val="22"/>
                <w:szCs w:val="22"/>
              </w:rPr>
              <w:t>Another important strategy that has been developed is the</w:t>
            </w:r>
            <w:r w:rsidR="00446B36" w:rsidRPr="0061488A">
              <w:rPr>
                <w:sz w:val="22"/>
                <w:szCs w:val="22"/>
              </w:rPr>
              <w:t xml:space="preserve"> Ecosystem Essential Area (KEE)</w:t>
            </w:r>
            <w:r w:rsidR="0003737F" w:rsidRPr="0061488A">
              <w:rPr>
                <w:sz w:val="22"/>
                <w:szCs w:val="22"/>
              </w:rPr>
              <w:t>. KEE</w:t>
            </w:r>
            <w:r w:rsidR="00446B36" w:rsidRPr="0061488A">
              <w:rPr>
                <w:sz w:val="22"/>
                <w:szCs w:val="22"/>
              </w:rPr>
              <w:t xml:space="preserve"> support</w:t>
            </w:r>
            <w:r w:rsidR="0003737F" w:rsidRPr="0061488A">
              <w:rPr>
                <w:sz w:val="22"/>
                <w:szCs w:val="22"/>
              </w:rPr>
              <w:t>s</w:t>
            </w:r>
            <w:r w:rsidR="00446B36" w:rsidRPr="0061488A">
              <w:rPr>
                <w:sz w:val="22"/>
                <w:szCs w:val="22"/>
              </w:rPr>
              <w:t xml:space="preserve"> the protection of forest </w:t>
            </w:r>
            <w:r w:rsidR="0003737F" w:rsidRPr="0061488A">
              <w:rPr>
                <w:sz w:val="22"/>
                <w:szCs w:val="22"/>
              </w:rPr>
              <w:t xml:space="preserve">cover </w:t>
            </w:r>
            <w:r w:rsidR="00446B36" w:rsidRPr="0061488A">
              <w:rPr>
                <w:sz w:val="22"/>
                <w:szCs w:val="22"/>
              </w:rPr>
              <w:t xml:space="preserve">outside conservation areas. </w:t>
            </w:r>
            <w:r w:rsidR="0003737F" w:rsidRPr="0061488A">
              <w:rPr>
                <w:sz w:val="22"/>
                <w:szCs w:val="22"/>
              </w:rPr>
              <w:t xml:space="preserve">This </w:t>
            </w:r>
            <w:r w:rsidR="00446B36" w:rsidRPr="0061488A">
              <w:rPr>
                <w:sz w:val="22"/>
                <w:szCs w:val="22"/>
              </w:rPr>
              <w:t xml:space="preserve">means that </w:t>
            </w:r>
            <w:r w:rsidR="0003737F" w:rsidRPr="0061488A">
              <w:rPr>
                <w:sz w:val="22"/>
                <w:szCs w:val="22"/>
              </w:rPr>
              <w:t xml:space="preserve">under KEE </w:t>
            </w:r>
            <w:r w:rsidR="00446B36" w:rsidRPr="0061488A">
              <w:rPr>
                <w:sz w:val="22"/>
                <w:szCs w:val="22"/>
              </w:rPr>
              <w:t xml:space="preserve">the </w:t>
            </w:r>
            <w:r w:rsidR="0003737F" w:rsidRPr="0061488A">
              <w:rPr>
                <w:sz w:val="22"/>
                <w:szCs w:val="22"/>
              </w:rPr>
              <w:t>forest cover</w:t>
            </w:r>
            <w:r w:rsidR="00446B36" w:rsidRPr="0061488A">
              <w:rPr>
                <w:sz w:val="22"/>
                <w:szCs w:val="22"/>
              </w:rPr>
              <w:t xml:space="preserve"> in other land use</w:t>
            </w:r>
            <w:r w:rsidR="0003737F" w:rsidRPr="0061488A">
              <w:rPr>
                <w:sz w:val="22"/>
                <w:szCs w:val="22"/>
              </w:rPr>
              <w:t>s</w:t>
            </w:r>
            <w:r w:rsidR="00446B36" w:rsidRPr="0061488A">
              <w:rPr>
                <w:sz w:val="22"/>
                <w:szCs w:val="22"/>
              </w:rPr>
              <w:t xml:space="preserve"> (APL), such as </w:t>
            </w:r>
            <w:r w:rsidR="0003737F" w:rsidRPr="0061488A">
              <w:rPr>
                <w:sz w:val="22"/>
                <w:szCs w:val="22"/>
              </w:rPr>
              <w:t>high conservation value (</w:t>
            </w:r>
            <w:r w:rsidR="00446B36" w:rsidRPr="0061488A">
              <w:rPr>
                <w:sz w:val="22"/>
                <w:szCs w:val="22"/>
              </w:rPr>
              <w:t>HCV</w:t>
            </w:r>
            <w:r w:rsidR="0003737F" w:rsidRPr="0061488A">
              <w:rPr>
                <w:sz w:val="22"/>
                <w:szCs w:val="22"/>
              </w:rPr>
              <w:t>)</w:t>
            </w:r>
            <w:r w:rsidR="00446B36" w:rsidRPr="0061488A">
              <w:rPr>
                <w:sz w:val="22"/>
                <w:szCs w:val="22"/>
              </w:rPr>
              <w:t xml:space="preserve"> area in </w:t>
            </w:r>
            <w:r w:rsidR="0003737F" w:rsidRPr="0061488A">
              <w:rPr>
                <w:sz w:val="22"/>
                <w:szCs w:val="22"/>
              </w:rPr>
              <w:t xml:space="preserve">palm oil </w:t>
            </w:r>
            <w:r w:rsidR="00446B36" w:rsidRPr="0061488A">
              <w:rPr>
                <w:sz w:val="22"/>
                <w:szCs w:val="22"/>
              </w:rPr>
              <w:t xml:space="preserve">concession, </w:t>
            </w:r>
            <w:r w:rsidR="0003737F" w:rsidRPr="0061488A">
              <w:rPr>
                <w:sz w:val="22"/>
                <w:szCs w:val="22"/>
              </w:rPr>
              <w:t xml:space="preserve">can and </w:t>
            </w:r>
            <w:r w:rsidR="00446B36" w:rsidRPr="0061488A">
              <w:rPr>
                <w:sz w:val="22"/>
                <w:szCs w:val="22"/>
              </w:rPr>
              <w:t>must be protected.</w:t>
            </w:r>
          </w:p>
        </w:tc>
      </w:tr>
      <w:tr w:rsidR="00EC1D7C" w:rsidRPr="00C80F34" w14:paraId="62555D94" w14:textId="77777777" w:rsidTr="002B23A5">
        <w:tc>
          <w:tcPr>
            <w:tcW w:w="2127" w:type="dxa"/>
          </w:tcPr>
          <w:p w14:paraId="69810FE8" w14:textId="77777777" w:rsidR="00EC1D7C" w:rsidRPr="0061488A" w:rsidRDefault="00EC1D7C" w:rsidP="008529B1">
            <w:pPr>
              <w:pStyle w:val="ListParagraph"/>
              <w:ind w:left="0"/>
              <w:rPr>
                <w:rFonts w:ascii="Times New Roman" w:hAnsi="Times New Roman" w:cs="Times New Roman"/>
              </w:rPr>
            </w:pPr>
            <w:r w:rsidRPr="0061488A">
              <w:rPr>
                <w:rFonts w:ascii="Times New Roman" w:hAnsi="Times New Roman" w:cs="Times New Roman"/>
              </w:rPr>
              <w:lastRenderedPageBreak/>
              <w:t>What is the geographic coverage of the strategy?</w:t>
            </w:r>
          </w:p>
        </w:tc>
        <w:tc>
          <w:tcPr>
            <w:tcW w:w="8363" w:type="dxa"/>
          </w:tcPr>
          <w:p w14:paraId="174C39E2" w14:textId="10E2741D" w:rsidR="00EC1D7C" w:rsidRPr="0061488A" w:rsidRDefault="00C929B1" w:rsidP="00C929B1">
            <w:pPr>
              <w:pStyle w:val="ListParagraph"/>
              <w:ind w:left="0"/>
              <w:rPr>
                <w:rFonts w:ascii="Times New Roman" w:hAnsi="Times New Roman" w:cs="Times New Roman"/>
              </w:rPr>
            </w:pPr>
            <w:r w:rsidRPr="0061488A">
              <w:rPr>
                <w:rFonts w:ascii="Times New Roman" w:hAnsi="Times New Roman" w:cs="Times New Roman"/>
              </w:rPr>
              <w:t xml:space="preserve">The </w:t>
            </w:r>
            <w:r w:rsidR="0016326E" w:rsidRPr="0061488A">
              <w:rPr>
                <w:rFonts w:ascii="Times New Roman" w:hAnsi="Times New Roman" w:cs="Times New Roman"/>
              </w:rPr>
              <w:t xml:space="preserve">SRAP </w:t>
            </w:r>
            <w:r w:rsidR="00446B36" w:rsidRPr="0061488A">
              <w:rPr>
                <w:rFonts w:ascii="Times New Roman" w:hAnsi="Times New Roman" w:cs="Times New Roman"/>
              </w:rPr>
              <w:t xml:space="preserve">REDD+ </w:t>
            </w:r>
            <w:r w:rsidR="0016326E" w:rsidRPr="0061488A">
              <w:rPr>
                <w:rFonts w:ascii="Times New Roman" w:hAnsi="Times New Roman" w:cs="Times New Roman"/>
              </w:rPr>
              <w:t>cover</w:t>
            </w:r>
            <w:r w:rsidR="00AE0D76" w:rsidRPr="0061488A">
              <w:rPr>
                <w:rFonts w:ascii="Times New Roman" w:hAnsi="Times New Roman" w:cs="Times New Roman"/>
              </w:rPr>
              <w:t>s</w:t>
            </w:r>
            <w:r w:rsidR="0016326E" w:rsidRPr="0061488A">
              <w:rPr>
                <w:rFonts w:ascii="Times New Roman" w:hAnsi="Times New Roman" w:cs="Times New Roman"/>
              </w:rPr>
              <w:t xml:space="preserve"> 12 districts and 2 cities</w:t>
            </w:r>
            <w:r w:rsidR="00A96769" w:rsidRPr="0061488A">
              <w:rPr>
                <w:rFonts w:ascii="Times New Roman" w:hAnsi="Times New Roman" w:cs="Times New Roman"/>
              </w:rPr>
              <w:t xml:space="preserve"> over West Kalimantan Provincial </w:t>
            </w:r>
            <w:r w:rsidR="00BA5D01" w:rsidRPr="0061488A">
              <w:rPr>
                <w:rFonts w:ascii="Times New Roman" w:hAnsi="Times New Roman" w:cs="Times New Roman"/>
              </w:rPr>
              <w:t>area</w:t>
            </w:r>
            <w:r w:rsidR="00A96769" w:rsidRPr="0061488A">
              <w:rPr>
                <w:rFonts w:ascii="Times New Roman" w:hAnsi="Times New Roman" w:cs="Times New Roman"/>
              </w:rPr>
              <w:t>s</w:t>
            </w:r>
            <w:r w:rsidR="00B71B3E" w:rsidRPr="0061488A">
              <w:rPr>
                <w:rFonts w:ascii="Times New Roman" w:hAnsi="Times New Roman" w:cs="Times New Roman"/>
              </w:rPr>
              <w:t>. GGP covers the same districts and cities but with focus of 3 districts namely Kubu Raya, Kayong Utara and Ketapang.</w:t>
            </w:r>
          </w:p>
        </w:tc>
      </w:tr>
      <w:tr w:rsidR="00EC1D7C" w:rsidRPr="00C80F34" w14:paraId="717B6ABD" w14:textId="77777777" w:rsidTr="002B23A5">
        <w:tc>
          <w:tcPr>
            <w:tcW w:w="2127" w:type="dxa"/>
          </w:tcPr>
          <w:p w14:paraId="7FF3E5BB" w14:textId="77777777" w:rsidR="00EC1D7C" w:rsidRPr="0061488A" w:rsidRDefault="00EC1D7C" w:rsidP="008529B1">
            <w:pPr>
              <w:pStyle w:val="ListParagraph"/>
              <w:ind w:left="0"/>
              <w:rPr>
                <w:rFonts w:ascii="Times New Roman" w:hAnsi="Times New Roman" w:cs="Times New Roman"/>
              </w:rPr>
            </w:pPr>
            <w:r w:rsidRPr="0061488A">
              <w:rPr>
                <w:rFonts w:ascii="Times New Roman" w:hAnsi="Times New Roman" w:cs="Times New Roman"/>
              </w:rPr>
              <w:t>Which drivers of deforestation (direct and underlying) are addressed? Which agents of deforestation/change are associated?</w:t>
            </w:r>
          </w:p>
        </w:tc>
        <w:tc>
          <w:tcPr>
            <w:tcW w:w="8363" w:type="dxa"/>
          </w:tcPr>
          <w:p w14:paraId="4AC13783" w14:textId="52F2FFB3" w:rsidR="00971766" w:rsidRPr="0061488A" w:rsidRDefault="00A96769" w:rsidP="005F4F0C">
            <w:pPr>
              <w:pStyle w:val="ListParagraph"/>
              <w:ind w:left="0"/>
              <w:jc w:val="both"/>
              <w:rPr>
                <w:rFonts w:ascii="Times New Roman" w:hAnsi="Times New Roman" w:cs="Times New Roman"/>
              </w:rPr>
            </w:pPr>
            <w:r w:rsidRPr="0061488A">
              <w:rPr>
                <w:rFonts w:ascii="Times New Roman" w:hAnsi="Times New Roman" w:cs="Times New Roman"/>
              </w:rPr>
              <w:t xml:space="preserve">The SRAP </w:t>
            </w:r>
            <w:r w:rsidR="00446B36" w:rsidRPr="0061488A">
              <w:rPr>
                <w:rFonts w:ascii="Times New Roman" w:hAnsi="Times New Roman" w:cs="Times New Roman"/>
              </w:rPr>
              <w:t xml:space="preserve">REDD+ </w:t>
            </w:r>
            <w:r w:rsidR="00B71B3E" w:rsidRPr="0061488A">
              <w:rPr>
                <w:rFonts w:ascii="Times New Roman" w:hAnsi="Times New Roman" w:cs="Times New Roman"/>
              </w:rPr>
              <w:t xml:space="preserve">identifies and focuses on 4 </w:t>
            </w:r>
            <w:r w:rsidRPr="0061488A">
              <w:rPr>
                <w:rFonts w:ascii="Times New Roman" w:hAnsi="Times New Roman" w:cs="Times New Roman"/>
              </w:rPr>
              <w:t>sectors</w:t>
            </w:r>
            <w:r w:rsidR="00B71B3E" w:rsidRPr="0061488A">
              <w:rPr>
                <w:rFonts w:ascii="Times New Roman" w:hAnsi="Times New Roman" w:cs="Times New Roman"/>
              </w:rPr>
              <w:t>,</w:t>
            </w:r>
            <w:r w:rsidRPr="0061488A">
              <w:rPr>
                <w:rFonts w:ascii="Times New Roman" w:hAnsi="Times New Roman" w:cs="Times New Roman"/>
              </w:rPr>
              <w:t xml:space="preserve"> </w:t>
            </w:r>
            <w:r w:rsidR="00B71B3E" w:rsidRPr="0061488A">
              <w:rPr>
                <w:rFonts w:ascii="Times New Roman" w:hAnsi="Times New Roman" w:cs="Times New Roman"/>
              </w:rPr>
              <w:t xml:space="preserve">i.e. </w:t>
            </w:r>
            <w:r w:rsidRPr="0061488A">
              <w:rPr>
                <w:rFonts w:ascii="Times New Roman" w:hAnsi="Times New Roman" w:cs="Times New Roman"/>
              </w:rPr>
              <w:t>plantation, forestry, mining, agriculture as key drivers of deforestation</w:t>
            </w:r>
            <w:r w:rsidR="00A01CD3" w:rsidRPr="0061488A">
              <w:rPr>
                <w:rFonts w:ascii="Times New Roman" w:hAnsi="Times New Roman" w:cs="Times New Roman"/>
              </w:rPr>
              <w:t xml:space="preserve"> and degradation</w:t>
            </w:r>
            <w:r w:rsidR="00804D8C" w:rsidRPr="0061488A">
              <w:rPr>
                <w:rFonts w:ascii="Times New Roman" w:hAnsi="Times New Roman" w:cs="Times New Roman"/>
              </w:rPr>
              <w:t xml:space="preserve">. </w:t>
            </w:r>
            <w:r w:rsidR="00B71B3E" w:rsidRPr="0061488A">
              <w:rPr>
                <w:rFonts w:ascii="Times New Roman" w:hAnsi="Times New Roman" w:cs="Times New Roman"/>
              </w:rPr>
              <w:t xml:space="preserve">Deforestation related to these </w:t>
            </w:r>
            <w:r w:rsidR="00804D8C" w:rsidRPr="0061488A">
              <w:rPr>
                <w:rFonts w:ascii="Times New Roman" w:hAnsi="Times New Roman" w:cs="Times New Roman"/>
              </w:rPr>
              <w:t>sectors</w:t>
            </w:r>
            <w:r w:rsidR="00B71B3E" w:rsidRPr="0061488A">
              <w:rPr>
                <w:rFonts w:ascii="Times New Roman" w:hAnsi="Times New Roman" w:cs="Times New Roman"/>
              </w:rPr>
              <w:t xml:space="preserve"> is driven by</w:t>
            </w:r>
            <w:r w:rsidR="009078C6" w:rsidRPr="0061488A">
              <w:rPr>
                <w:rFonts w:ascii="Times New Roman" w:hAnsi="Times New Roman" w:cs="Times New Roman"/>
              </w:rPr>
              <w:t xml:space="preserve"> </w:t>
            </w:r>
            <w:r w:rsidR="00B71B3E" w:rsidRPr="0061488A">
              <w:rPr>
                <w:rFonts w:ascii="Times New Roman" w:hAnsi="Times New Roman" w:cs="Times New Roman"/>
              </w:rPr>
              <w:t xml:space="preserve">(i) </w:t>
            </w:r>
            <w:r w:rsidR="009078C6" w:rsidRPr="0061488A">
              <w:rPr>
                <w:rFonts w:ascii="Times New Roman" w:hAnsi="Times New Roman" w:cs="Times New Roman"/>
              </w:rPr>
              <w:t>lots of misleading/in harmonize</w:t>
            </w:r>
            <w:r w:rsidR="008A56A8" w:rsidRPr="0061488A">
              <w:rPr>
                <w:rFonts w:ascii="Times New Roman" w:hAnsi="Times New Roman" w:cs="Times New Roman"/>
              </w:rPr>
              <w:t xml:space="preserve"> regulations and</w:t>
            </w:r>
            <w:r w:rsidR="009078C6" w:rsidRPr="0061488A">
              <w:rPr>
                <w:rFonts w:ascii="Times New Roman" w:hAnsi="Times New Roman" w:cs="Times New Roman"/>
              </w:rPr>
              <w:t xml:space="preserve"> policies</w:t>
            </w:r>
            <w:r w:rsidR="00C37AAB" w:rsidRPr="0061488A">
              <w:rPr>
                <w:rFonts w:ascii="Times New Roman" w:hAnsi="Times New Roman" w:cs="Times New Roman"/>
              </w:rPr>
              <w:t xml:space="preserve"> framework</w:t>
            </w:r>
            <w:r w:rsidR="00804D8C" w:rsidRPr="0061488A">
              <w:rPr>
                <w:rFonts w:ascii="Times New Roman" w:hAnsi="Times New Roman" w:cs="Times New Roman"/>
              </w:rPr>
              <w:t xml:space="preserve">, </w:t>
            </w:r>
            <w:r w:rsidR="00B71B3E" w:rsidRPr="0061488A">
              <w:rPr>
                <w:rFonts w:ascii="Times New Roman" w:hAnsi="Times New Roman" w:cs="Times New Roman"/>
              </w:rPr>
              <w:t xml:space="preserve">(ii) direct </w:t>
            </w:r>
            <w:r w:rsidR="009078C6" w:rsidRPr="0061488A">
              <w:rPr>
                <w:rFonts w:ascii="Times New Roman" w:hAnsi="Times New Roman" w:cs="Times New Roman"/>
              </w:rPr>
              <w:t xml:space="preserve">forest </w:t>
            </w:r>
            <w:r w:rsidR="00C37AAB" w:rsidRPr="0061488A">
              <w:rPr>
                <w:rFonts w:ascii="Times New Roman" w:hAnsi="Times New Roman" w:cs="Times New Roman"/>
              </w:rPr>
              <w:t xml:space="preserve">area </w:t>
            </w:r>
            <w:r w:rsidR="009078C6" w:rsidRPr="0061488A">
              <w:rPr>
                <w:rFonts w:ascii="Times New Roman" w:hAnsi="Times New Roman" w:cs="Times New Roman"/>
              </w:rPr>
              <w:t>conversion</w:t>
            </w:r>
            <w:r w:rsidR="008A56A8" w:rsidRPr="0061488A">
              <w:rPr>
                <w:rFonts w:ascii="Times New Roman" w:hAnsi="Times New Roman" w:cs="Times New Roman"/>
              </w:rPr>
              <w:t xml:space="preserve">, </w:t>
            </w:r>
            <w:r w:rsidR="00B71B3E" w:rsidRPr="0061488A">
              <w:rPr>
                <w:rFonts w:ascii="Times New Roman" w:hAnsi="Times New Roman" w:cs="Times New Roman"/>
              </w:rPr>
              <w:t xml:space="preserve">(iii) </w:t>
            </w:r>
            <w:r w:rsidR="009078C6" w:rsidRPr="0061488A">
              <w:rPr>
                <w:rFonts w:ascii="Times New Roman" w:hAnsi="Times New Roman" w:cs="Times New Roman"/>
              </w:rPr>
              <w:t xml:space="preserve">forest </w:t>
            </w:r>
            <w:r w:rsidR="00B71B3E" w:rsidRPr="0061488A">
              <w:rPr>
                <w:rFonts w:ascii="Times New Roman" w:hAnsi="Times New Roman" w:cs="Times New Roman"/>
              </w:rPr>
              <w:t xml:space="preserve">cover </w:t>
            </w:r>
            <w:r w:rsidR="009078C6" w:rsidRPr="0061488A">
              <w:rPr>
                <w:rFonts w:ascii="Times New Roman" w:hAnsi="Times New Roman" w:cs="Times New Roman"/>
              </w:rPr>
              <w:t>conversion</w:t>
            </w:r>
            <w:r w:rsidR="008A56A8" w:rsidRPr="0061488A">
              <w:rPr>
                <w:rFonts w:ascii="Times New Roman" w:hAnsi="Times New Roman" w:cs="Times New Roman"/>
              </w:rPr>
              <w:t xml:space="preserve"> in </w:t>
            </w:r>
            <w:r w:rsidR="00446B36" w:rsidRPr="0061488A">
              <w:rPr>
                <w:rFonts w:ascii="Times New Roman" w:hAnsi="Times New Roman" w:cs="Times New Roman"/>
              </w:rPr>
              <w:t>other land use</w:t>
            </w:r>
            <w:r w:rsidR="00B71B3E" w:rsidRPr="0061488A">
              <w:rPr>
                <w:rFonts w:ascii="Times New Roman" w:hAnsi="Times New Roman" w:cs="Times New Roman"/>
              </w:rPr>
              <w:t>s</w:t>
            </w:r>
            <w:r w:rsidR="00446B36" w:rsidRPr="0061488A">
              <w:rPr>
                <w:rFonts w:ascii="Times New Roman" w:hAnsi="Times New Roman" w:cs="Times New Roman"/>
              </w:rPr>
              <w:t xml:space="preserve"> (</w:t>
            </w:r>
            <w:r w:rsidR="008A56A8" w:rsidRPr="0061488A">
              <w:rPr>
                <w:rFonts w:ascii="Times New Roman" w:hAnsi="Times New Roman" w:cs="Times New Roman"/>
              </w:rPr>
              <w:t>APL</w:t>
            </w:r>
            <w:r w:rsidR="00446B36" w:rsidRPr="0061488A">
              <w:rPr>
                <w:rFonts w:ascii="Times New Roman" w:hAnsi="Times New Roman" w:cs="Times New Roman"/>
              </w:rPr>
              <w:t>)</w:t>
            </w:r>
            <w:r w:rsidR="009078C6" w:rsidRPr="0061488A">
              <w:rPr>
                <w:rFonts w:ascii="Times New Roman" w:hAnsi="Times New Roman" w:cs="Times New Roman"/>
              </w:rPr>
              <w:t xml:space="preserve">, </w:t>
            </w:r>
            <w:r w:rsidR="00B71B3E" w:rsidRPr="0061488A">
              <w:rPr>
                <w:rFonts w:ascii="Times New Roman" w:hAnsi="Times New Roman" w:cs="Times New Roman"/>
              </w:rPr>
              <w:t xml:space="preserve">(iv) </w:t>
            </w:r>
            <w:r w:rsidR="00804D8C" w:rsidRPr="0061488A">
              <w:rPr>
                <w:rFonts w:ascii="Times New Roman" w:hAnsi="Times New Roman" w:cs="Times New Roman"/>
              </w:rPr>
              <w:t>massive forest and</w:t>
            </w:r>
            <w:r w:rsidR="008A56A8" w:rsidRPr="0061488A">
              <w:rPr>
                <w:rFonts w:ascii="Times New Roman" w:hAnsi="Times New Roman" w:cs="Times New Roman"/>
              </w:rPr>
              <w:t xml:space="preserve"> land based investment allocation </w:t>
            </w:r>
            <w:r w:rsidR="009078C6" w:rsidRPr="0061488A">
              <w:rPr>
                <w:rFonts w:ascii="Times New Roman" w:hAnsi="Times New Roman" w:cs="Times New Roman"/>
              </w:rPr>
              <w:t xml:space="preserve">(palm oil, </w:t>
            </w:r>
            <w:r w:rsidR="00D3649D" w:rsidRPr="0061488A">
              <w:rPr>
                <w:rFonts w:ascii="Times New Roman" w:hAnsi="Times New Roman" w:cs="Times New Roman"/>
              </w:rPr>
              <w:t xml:space="preserve">pulp </w:t>
            </w:r>
            <w:r w:rsidR="00CA5D47" w:rsidRPr="0061488A">
              <w:rPr>
                <w:rFonts w:ascii="Times New Roman" w:hAnsi="Times New Roman" w:cs="Times New Roman"/>
              </w:rPr>
              <w:t xml:space="preserve">and </w:t>
            </w:r>
            <w:r w:rsidR="00D3649D" w:rsidRPr="0061488A">
              <w:rPr>
                <w:rFonts w:ascii="Times New Roman" w:hAnsi="Times New Roman" w:cs="Times New Roman"/>
              </w:rPr>
              <w:t>paper</w:t>
            </w:r>
            <w:r w:rsidR="009078C6" w:rsidRPr="0061488A">
              <w:rPr>
                <w:rFonts w:ascii="Times New Roman" w:hAnsi="Times New Roman" w:cs="Times New Roman"/>
              </w:rPr>
              <w:t>, logging, mining, food state)</w:t>
            </w:r>
            <w:r w:rsidR="00804D8C" w:rsidRPr="0061488A">
              <w:rPr>
                <w:rFonts w:ascii="Times New Roman" w:hAnsi="Times New Roman" w:cs="Times New Roman"/>
              </w:rPr>
              <w:t xml:space="preserve">, </w:t>
            </w:r>
            <w:r w:rsidR="00B71B3E" w:rsidRPr="0061488A">
              <w:rPr>
                <w:rFonts w:ascii="Times New Roman" w:hAnsi="Times New Roman" w:cs="Times New Roman"/>
              </w:rPr>
              <w:t xml:space="preserve">(v) </w:t>
            </w:r>
            <w:r w:rsidR="00804D8C" w:rsidRPr="0061488A">
              <w:rPr>
                <w:rFonts w:ascii="Times New Roman" w:hAnsi="Times New Roman" w:cs="Times New Roman"/>
              </w:rPr>
              <w:t>illegal activity</w:t>
            </w:r>
            <w:r w:rsidR="009078C6" w:rsidRPr="0061488A">
              <w:rPr>
                <w:rFonts w:ascii="Times New Roman" w:hAnsi="Times New Roman" w:cs="Times New Roman"/>
              </w:rPr>
              <w:t xml:space="preserve"> (logging and mining)</w:t>
            </w:r>
            <w:r w:rsidR="00804D8C" w:rsidRPr="0061488A">
              <w:rPr>
                <w:rFonts w:ascii="Times New Roman" w:hAnsi="Times New Roman" w:cs="Times New Roman"/>
              </w:rPr>
              <w:t xml:space="preserve">, </w:t>
            </w:r>
            <w:r w:rsidR="00B71B3E" w:rsidRPr="0061488A">
              <w:rPr>
                <w:rFonts w:ascii="Times New Roman" w:hAnsi="Times New Roman" w:cs="Times New Roman"/>
              </w:rPr>
              <w:t xml:space="preserve">(vi) </w:t>
            </w:r>
            <w:r w:rsidR="009078C6" w:rsidRPr="0061488A">
              <w:rPr>
                <w:rFonts w:ascii="Times New Roman" w:hAnsi="Times New Roman" w:cs="Times New Roman"/>
              </w:rPr>
              <w:t>forest</w:t>
            </w:r>
            <w:r w:rsidR="00A01CD3" w:rsidRPr="0061488A">
              <w:rPr>
                <w:rFonts w:ascii="Times New Roman" w:hAnsi="Times New Roman" w:cs="Times New Roman"/>
              </w:rPr>
              <w:t xml:space="preserve"> and land</w:t>
            </w:r>
            <w:r w:rsidR="009078C6" w:rsidRPr="0061488A">
              <w:rPr>
                <w:rFonts w:ascii="Times New Roman" w:hAnsi="Times New Roman" w:cs="Times New Roman"/>
              </w:rPr>
              <w:t xml:space="preserve"> fires, </w:t>
            </w:r>
            <w:r w:rsidR="00B71B3E" w:rsidRPr="0061488A">
              <w:rPr>
                <w:rFonts w:ascii="Times New Roman" w:hAnsi="Times New Roman" w:cs="Times New Roman"/>
              </w:rPr>
              <w:t xml:space="preserve">(vi) </w:t>
            </w:r>
            <w:r w:rsidR="00804D8C" w:rsidRPr="0061488A">
              <w:rPr>
                <w:rFonts w:ascii="Times New Roman" w:hAnsi="Times New Roman" w:cs="Times New Roman"/>
              </w:rPr>
              <w:t xml:space="preserve">development of </w:t>
            </w:r>
            <w:r w:rsidR="008A56A8" w:rsidRPr="0061488A">
              <w:rPr>
                <w:rFonts w:ascii="Times New Roman" w:hAnsi="Times New Roman" w:cs="Times New Roman"/>
              </w:rPr>
              <w:t xml:space="preserve">social infrastructure, </w:t>
            </w:r>
            <w:r w:rsidR="00804D8C" w:rsidRPr="0061488A">
              <w:rPr>
                <w:rFonts w:ascii="Times New Roman" w:hAnsi="Times New Roman" w:cs="Times New Roman"/>
              </w:rPr>
              <w:t>community</w:t>
            </w:r>
            <w:r w:rsidR="009078C6" w:rsidRPr="0061488A">
              <w:rPr>
                <w:rFonts w:ascii="Times New Roman" w:hAnsi="Times New Roman" w:cs="Times New Roman"/>
              </w:rPr>
              <w:t>’</w:t>
            </w:r>
            <w:r w:rsidR="00804D8C" w:rsidRPr="0061488A">
              <w:rPr>
                <w:rFonts w:ascii="Times New Roman" w:hAnsi="Times New Roman" w:cs="Times New Roman"/>
              </w:rPr>
              <w:t xml:space="preserve"> </w:t>
            </w:r>
            <w:r w:rsidR="00A85D52" w:rsidRPr="0061488A">
              <w:rPr>
                <w:rFonts w:ascii="Times New Roman" w:hAnsi="Times New Roman" w:cs="Times New Roman"/>
              </w:rPr>
              <w:t>se</w:t>
            </w:r>
            <w:r w:rsidR="009078C6" w:rsidRPr="0061488A">
              <w:rPr>
                <w:rFonts w:ascii="Times New Roman" w:hAnsi="Times New Roman" w:cs="Times New Roman"/>
              </w:rPr>
              <w:t xml:space="preserve">ttlement and cultivation areas, </w:t>
            </w:r>
            <w:r w:rsidR="008A56A8" w:rsidRPr="0061488A">
              <w:rPr>
                <w:rFonts w:ascii="Times New Roman" w:hAnsi="Times New Roman" w:cs="Times New Roman"/>
              </w:rPr>
              <w:t>and transmigration</w:t>
            </w:r>
            <w:r w:rsidR="009078C6" w:rsidRPr="0061488A">
              <w:rPr>
                <w:rFonts w:ascii="Times New Roman" w:hAnsi="Times New Roman" w:cs="Times New Roman"/>
              </w:rPr>
              <w:t>.</w:t>
            </w:r>
          </w:p>
        </w:tc>
      </w:tr>
      <w:tr w:rsidR="00EC1D7C" w:rsidRPr="00C80F34" w14:paraId="444B5BDC" w14:textId="77777777" w:rsidTr="002B23A5">
        <w:tc>
          <w:tcPr>
            <w:tcW w:w="2127" w:type="dxa"/>
          </w:tcPr>
          <w:p w14:paraId="26BABFCF" w14:textId="77777777" w:rsidR="00EC1D7C" w:rsidRPr="0061488A" w:rsidRDefault="00EC1D7C" w:rsidP="008529B1">
            <w:pPr>
              <w:pStyle w:val="ListParagraph"/>
              <w:ind w:left="0"/>
              <w:rPr>
                <w:rFonts w:ascii="Times New Roman" w:hAnsi="Times New Roman" w:cs="Times New Roman"/>
              </w:rPr>
            </w:pPr>
            <w:r w:rsidRPr="0061488A">
              <w:rPr>
                <w:rFonts w:ascii="Times New Roman" w:hAnsi="Times New Roman" w:cs="Times New Roman"/>
              </w:rPr>
              <w:t>How does the strategy fit with the broader policy framework, including sectoral policies? Are there any inconsistencies?</w:t>
            </w:r>
          </w:p>
        </w:tc>
        <w:tc>
          <w:tcPr>
            <w:tcW w:w="8363" w:type="dxa"/>
          </w:tcPr>
          <w:p w14:paraId="655D3872" w14:textId="70E96902" w:rsidR="00971766" w:rsidRPr="0061488A" w:rsidRDefault="001323FA" w:rsidP="005F4F0C">
            <w:pPr>
              <w:pStyle w:val="ListParagraph"/>
              <w:ind w:left="0"/>
              <w:jc w:val="both"/>
              <w:rPr>
                <w:rFonts w:ascii="Times New Roman" w:hAnsi="Times New Roman" w:cs="Times New Roman"/>
              </w:rPr>
            </w:pPr>
            <w:r w:rsidRPr="0061488A">
              <w:rPr>
                <w:rFonts w:ascii="Times New Roman" w:hAnsi="Times New Roman" w:cs="Times New Roman"/>
              </w:rPr>
              <w:t>The SRAP</w:t>
            </w:r>
            <w:r w:rsidR="00446B36" w:rsidRPr="0061488A">
              <w:rPr>
                <w:rFonts w:ascii="Times New Roman" w:hAnsi="Times New Roman" w:cs="Times New Roman"/>
              </w:rPr>
              <w:t xml:space="preserve"> REDD+</w:t>
            </w:r>
            <w:r w:rsidR="002B5486" w:rsidRPr="0061488A">
              <w:rPr>
                <w:rFonts w:ascii="Times New Roman" w:hAnsi="Times New Roman" w:cs="Times New Roman"/>
              </w:rPr>
              <w:t xml:space="preserve"> </w:t>
            </w:r>
            <w:r w:rsidR="00201B1F" w:rsidRPr="0061488A">
              <w:rPr>
                <w:rFonts w:ascii="Times New Roman" w:hAnsi="Times New Roman" w:cs="Times New Roman"/>
              </w:rPr>
              <w:t xml:space="preserve">and GGP </w:t>
            </w:r>
            <w:r w:rsidR="009E4F3F" w:rsidRPr="0061488A">
              <w:rPr>
                <w:rFonts w:ascii="Times New Roman" w:hAnsi="Times New Roman" w:cs="Times New Roman"/>
              </w:rPr>
              <w:t xml:space="preserve">fit </w:t>
            </w:r>
            <w:r w:rsidR="008A56A8" w:rsidRPr="0061488A">
              <w:rPr>
                <w:rFonts w:ascii="Times New Roman" w:hAnsi="Times New Roman" w:cs="Times New Roman"/>
              </w:rPr>
              <w:t xml:space="preserve">with </w:t>
            </w:r>
            <w:r w:rsidR="00B606D3" w:rsidRPr="0061488A">
              <w:rPr>
                <w:rFonts w:ascii="Times New Roman" w:hAnsi="Times New Roman" w:cs="Times New Roman"/>
              </w:rPr>
              <w:t xml:space="preserve">sub-national, </w:t>
            </w:r>
            <w:r w:rsidR="008A56A8" w:rsidRPr="0061488A">
              <w:rPr>
                <w:rFonts w:ascii="Times New Roman" w:hAnsi="Times New Roman" w:cs="Times New Roman"/>
              </w:rPr>
              <w:t>national and international policies framework and sectoral regulation.</w:t>
            </w:r>
            <w:r w:rsidR="00526A83" w:rsidRPr="0061488A">
              <w:rPr>
                <w:rFonts w:ascii="Times New Roman" w:hAnsi="Times New Roman" w:cs="Times New Roman"/>
              </w:rPr>
              <w:t xml:space="preserve"> The</w:t>
            </w:r>
            <w:r w:rsidR="008A56A8" w:rsidRPr="0061488A">
              <w:rPr>
                <w:rFonts w:ascii="Times New Roman" w:hAnsi="Times New Roman" w:cs="Times New Roman"/>
              </w:rPr>
              <w:t xml:space="preserve">se policies </w:t>
            </w:r>
            <w:r w:rsidR="00526A83" w:rsidRPr="0061488A">
              <w:rPr>
                <w:rFonts w:ascii="Times New Roman" w:hAnsi="Times New Roman" w:cs="Times New Roman"/>
              </w:rPr>
              <w:t xml:space="preserve">framework </w:t>
            </w:r>
            <w:r w:rsidR="008A56A8" w:rsidRPr="0061488A">
              <w:rPr>
                <w:rFonts w:ascii="Times New Roman" w:hAnsi="Times New Roman" w:cs="Times New Roman"/>
              </w:rPr>
              <w:t xml:space="preserve">target </w:t>
            </w:r>
            <w:r w:rsidR="00BD6102" w:rsidRPr="0061488A">
              <w:rPr>
                <w:rFonts w:ascii="Times New Roman" w:hAnsi="Times New Roman" w:cs="Times New Roman"/>
              </w:rPr>
              <w:t>forest and land based sector</w:t>
            </w:r>
            <w:r w:rsidR="00201B1F" w:rsidRPr="0061488A">
              <w:rPr>
                <w:rFonts w:ascii="Times New Roman" w:hAnsi="Times New Roman" w:cs="Times New Roman"/>
              </w:rPr>
              <w:t>s</w:t>
            </w:r>
            <w:r w:rsidR="00BD6102" w:rsidRPr="0061488A">
              <w:rPr>
                <w:rFonts w:ascii="Times New Roman" w:hAnsi="Times New Roman" w:cs="Times New Roman"/>
              </w:rPr>
              <w:t xml:space="preserve"> as key sector</w:t>
            </w:r>
            <w:r w:rsidR="00201B1F" w:rsidRPr="0061488A">
              <w:rPr>
                <w:rFonts w:ascii="Times New Roman" w:hAnsi="Times New Roman" w:cs="Times New Roman"/>
              </w:rPr>
              <w:t>s</w:t>
            </w:r>
            <w:r w:rsidR="00BD6102" w:rsidRPr="0061488A">
              <w:rPr>
                <w:rFonts w:ascii="Times New Roman" w:hAnsi="Times New Roman" w:cs="Times New Roman"/>
              </w:rPr>
              <w:t xml:space="preserve"> to </w:t>
            </w:r>
            <w:r w:rsidR="00201B1F" w:rsidRPr="0061488A">
              <w:rPr>
                <w:rFonts w:ascii="Times New Roman" w:hAnsi="Times New Roman" w:cs="Times New Roman"/>
              </w:rPr>
              <w:t xml:space="preserve">contribute to the </w:t>
            </w:r>
            <w:r w:rsidR="00BD6102" w:rsidRPr="0061488A">
              <w:rPr>
                <w:rFonts w:ascii="Times New Roman" w:hAnsi="Times New Roman" w:cs="Times New Roman"/>
              </w:rPr>
              <w:t>achiev</w:t>
            </w:r>
            <w:r w:rsidR="00201B1F" w:rsidRPr="0061488A">
              <w:rPr>
                <w:rFonts w:ascii="Times New Roman" w:hAnsi="Times New Roman" w:cs="Times New Roman"/>
              </w:rPr>
              <w:t>ement of</w:t>
            </w:r>
            <w:r w:rsidR="00BD6102" w:rsidRPr="0061488A">
              <w:rPr>
                <w:rFonts w:ascii="Times New Roman" w:hAnsi="Times New Roman" w:cs="Times New Roman"/>
              </w:rPr>
              <w:t xml:space="preserve"> national and </w:t>
            </w:r>
            <w:r w:rsidR="0064311C" w:rsidRPr="0061488A">
              <w:rPr>
                <w:rFonts w:ascii="Times New Roman" w:hAnsi="Times New Roman" w:cs="Times New Roman"/>
              </w:rPr>
              <w:t xml:space="preserve">global </w:t>
            </w:r>
            <w:r w:rsidR="00BD6102" w:rsidRPr="0061488A">
              <w:rPr>
                <w:rFonts w:ascii="Times New Roman" w:hAnsi="Times New Roman" w:cs="Times New Roman"/>
              </w:rPr>
              <w:t>emission reduction target</w:t>
            </w:r>
            <w:r w:rsidR="00201B1F" w:rsidRPr="0061488A">
              <w:rPr>
                <w:rFonts w:ascii="Times New Roman" w:hAnsi="Times New Roman" w:cs="Times New Roman"/>
              </w:rPr>
              <w:t>s</w:t>
            </w:r>
            <w:r w:rsidR="00BD6102" w:rsidRPr="0061488A">
              <w:rPr>
                <w:rFonts w:ascii="Times New Roman" w:hAnsi="Times New Roman" w:cs="Times New Roman"/>
              </w:rPr>
              <w:t xml:space="preserve">. </w:t>
            </w:r>
            <w:r w:rsidR="0064311C" w:rsidRPr="0061488A">
              <w:rPr>
                <w:rFonts w:ascii="Times New Roman" w:hAnsi="Times New Roman" w:cs="Times New Roman"/>
              </w:rPr>
              <w:t xml:space="preserve">The SRAP </w:t>
            </w:r>
            <w:r w:rsidR="00201B1F" w:rsidRPr="0061488A">
              <w:rPr>
                <w:rFonts w:ascii="Times New Roman" w:hAnsi="Times New Roman" w:cs="Times New Roman"/>
              </w:rPr>
              <w:t xml:space="preserve">targets </w:t>
            </w:r>
            <w:r w:rsidR="006E0435" w:rsidRPr="0061488A">
              <w:rPr>
                <w:rFonts w:ascii="Times New Roman" w:hAnsi="Times New Roman" w:cs="Times New Roman"/>
              </w:rPr>
              <w:t>emission</w:t>
            </w:r>
            <w:r w:rsidR="00201B1F" w:rsidRPr="0061488A">
              <w:rPr>
                <w:rFonts w:ascii="Times New Roman" w:hAnsi="Times New Roman" w:cs="Times New Roman"/>
              </w:rPr>
              <w:t>s</w:t>
            </w:r>
            <w:r w:rsidR="006E0435" w:rsidRPr="0061488A">
              <w:rPr>
                <w:rFonts w:ascii="Times New Roman" w:hAnsi="Times New Roman" w:cs="Times New Roman"/>
              </w:rPr>
              <w:t xml:space="preserve"> </w:t>
            </w:r>
            <w:r w:rsidR="00C420B1" w:rsidRPr="0061488A">
              <w:rPr>
                <w:rFonts w:ascii="Times New Roman" w:hAnsi="Times New Roman" w:cs="Times New Roman"/>
              </w:rPr>
              <w:t xml:space="preserve">reduction </w:t>
            </w:r>
            <w:r w:rsidR="006E0435" w:rsidRPr="0061488A">
              <w:rPr>
                <w:rFonts w:ascii="Times New Roman" w:hAnsi="Times New Roman" w:cs="Times New Roman"/>
              </w:rPr>
              <w:t>by</w:t>
            </w:r>
            <w:r w:rsidR="0064311C" w:rsidRPr="0061488A">
              <w:rPr>
                <w:rFonts w:ascii="Times New Roman" w:hAnsi="Times New Roman" w:cs="Times New Roman"/>
              </w:rPr>
              <w:t xml:space="preserve"> </w:t>
            </w:r>
            <w:r w:rsidR="00C420B1" w:rsidRPr="0061488A">
              <w:rPr>
                <w:rFonts w:ascii="Times New Roman" w:hAnsi="Times New Roman" w:cs="Times New Roman"/>
              </w:rPr>
              <w:t xml:space="preserve">60 percent in 2030 </w:t>
            </w:r>
            <w:r w:rsidR="004347D4" w:rsidRPr="0061488A">
              <w:rPr>
                <w:rFonts w:ascii="Times New Roman" w:hAnsi="Times New Roman" w:cs="Times New Roman"/>
              </w:rPr>
              <w:t>for</w:t>
            </w:r>
            <w:r w:rsidR="00C420B1" w:rsidRPr="0061488A">
              <w:rPr>
                <w:rFonts w:ascii="Times New Roman" w:hAnsi="Times New Roman" w:cs="Times New Roman"/>
              </w:rPr>
              <w:t xml:space="preserve"> </w:t>
            </w:r>
            <w:r w:rsidR="008E71E0" w:rsidRPr="0061488A">
              <w:rPr>
                <w:rFonts w:ascii="Times New Roman" w:hAnsi="Times New Roman" w:cs="Times New Roman"/>
              </w:rPr>
              <w:t>Nationa</w:t>
            </w:r>
            <w:r w:rsidR="00E34D0C" w:rsidRPr="0061488A">
              <w:rPr>
                <w:rFonts w:ascii="Times New Roman" w:hAnsi="Times New Roman" w:cs="Times New Roman"/>
              </w:rPr>
              <w:t>l Determined Contribu</w:t>
            </w:r>
            <w:r w:rsidR="00A53850" w:rsidRPr="0061488A">
              <w:rPr>
                <w:rFonts w:ascii="Times New Roman" w:hAnsi="Times New Roman" w:cs="Times New Roman"/>
              </w:rPr>
              <w:t>tion (NDC) and international co</w:t>
            </w:r>
            <w:r w:rsidR="00E34D0C" w:rsidRPr="0061488A">
              <w:rPr>
                <w:rFonts w:ascii="Times New Roman" w:hAnsi="Times New Roman" w:cs="Times New Roman"/>
              </w:rPr>
              <w:t>venants</w:t>
            </w:r>
            <w:r w:rsidR="00A53850" w:rsidRPr="0061488A">
              <w:rPr>
                <w:rFonts w:ascii="Times New Roman" w:hAnsi="Times New Roman" w:cs="Times New Roman"/>
              </w:rPr>
              <w:t xml:space="preserve"> on REDD+</w:t>
            </w:r>
            <w:r w:rsidR="001403F0" w:rsidRPr="0061488A">
              <w:rPr>
                <w:rFonts w:ascii="Times New Roman" w:hAnsi="Times New Roman" w:cs="Times New Roman"/>
              </w:rPr>
              <w:t xml:space="preserve">. </w:t>
            </w:r>
            <w:r w:rsidR="00446B36" w:rsidRPr="0061488A">
              <w:rPr>
                <w:rFonts w:ascii="Times New Roman" w:hAnsi="Times New Roman" w:cs="Times New Roman"/>
              </w:rPr>
              <w:t>However, i</w:t>
            </w:r>
            <w:r w:rsidR="009930AE" w:rsidRPr="0061488A">
              <w:rPr>
                <w:rFonts w:ascii="Times New Roman" w:hAnsi="Times New Roman" w:cs="Times New Roman"/>
              </w:rPr>
              <w:t xml:space="preserve">nconsistency </w:t>
            </w:r>
            <w:r w:rsidR="00201B1F" w:rsidRPr="0061488A">
              <w:rPr>
                <w:rFonts w:ascii="Times New Roman" w:hAnsi="Times New Roman" w:cs="Times New Roman"/>
              </w:rPr>
              <w:t xml:space="preserve">still </w:t>
            </w:r>
            <w:r w:rsidR="009930AE" w:rsidRPr="0061488A">
              <w:rPr>
                <w:rFonts w:ascii="Times New Roman" w:hAnsi="Times New Roman" w:cs="Times New Roman"/>
              </w:rPr>
              <w:t>happens</w:t>
            </w:r>
            <w:r w:rsidR="00285375" w:rsidRPr="0061488A">
              <w:rPr>
                <w:rFonts w:ascii="Times New Roman" w:hAnsi="Times New Roman" w:cs="Times New Roman"/>
              </w:rPr>
              <w:t xml:space="preserve"> </w:t>
            </w:r>
            <w:r w:rsidR="00865CA2" w:rsidRPr="0061488A">
              <w:rPr>
                <w:rFonts w:ascii="Times New Roman" w:hAnsi="Times New Roman" w:cs="Times New Roman"/>
              </w:rPr>
              <w:t>among</w:t>
            </w:r>
            <w:r w:rsidR="006801AD" w:rsidRPr="0061488A">
              <w:rPr>
                <w:rFonts w:ascii="Times New Roman" w:hAnsi="Times New Roman" w:cs="Times New Roman"/>
              </w:rPr>
              <w:t xml:space="preserve"> sectoral regulations</w:t>
            </w:r>
            <w:r w:rsidR="009930AE" w:rsidRPr="0061488A">
              <w:rPr>
                <w:rFonts w:ascii="Times New Roman" w:hAnsi="Times New Roman" w:cs="Times New Roman"/>
              </w:rPr>
              <w:t xml:space="preserve"> that</w:t>
            </w:r>
            <w:r w:rsidR="001403F0" w:rsidRPr="0061488A">
              <w:rPr>
                <w:rFonts w:ascii="Times New Roman" w:hAnsi="Times New Roman" w:cs="Times New Roman"/>
              </w:rPr>
              <w:t xml:space="preserve"> affect</w:t>
            </w:r>
            <w:r w:rsidR="009930AE" w:rsidRPr="0061488A">
              <w:rPr>
                <w:rFonts w:ascii="Times New Roman" w:hAnsi="Times New Roman" w:cs="Times New Roman"/>
              </w:rPr>
              <w:t xml:space="preserve"> the</w:t>
            </w:r>
            <w:r w:rsidR="00FF26DB" w:rsidRPr="0061488A">
              <w:rPr>
                <w:rFonts w:ascii="Times New Roman" w:hAnsi="Times New Roman" w:cs="Times New Roman"/>
              </w:rPr>
              <w:t xml:space="preserve"> achievement </w:t>
            </w:r>
            <w:r w:rsidR="00201B1F" w:rsidRPr="0061488A">
              <w:rPr>
                <w:rFonts w:ascii="Times New Roman" w:hAnsi="Times New Roman" w:cs="Times New Roman"/>
              </w:rPr>
              <w:t xml:space="preserve">of </w:t>
            </w:r>
            <w:r w:rsidR="001403F0" w:rsidRPr="0061488A">
              <w:rPr>
                <w:rFonts w:ascii="Times New Roman" w:hAnsi="Times New Roman" w:cs="Times New Roman"/>
              </w:rPr>
              <w:t>emission</w:t>
            </w:r>
            <w:r w:rsidR="00201B1F" w:rsidRPr="0061488A">
              <w:rPr>
                <w:rFonts w:ascii="Times New Roman" w:hAnsi="Times New Roman" w:cs="Times New Roman"/>
              </w:rPr>
              <w:t>s</w:t>
            </w:r>
            <w:r w:rsidR="001403F0" w:rsidRPr="0061488A">
              <w:rPr>
                <w:rFonts w:ascii="Times New Roman" w:hAnsi="Times New Roman" w:cs="Times New Roman"/>
              </w:rPr>
              <w:t xml:space="preserve"> reduction.</w:t>
            </w:r>
            <w:r w:rsidR="00FF26DB" w:rsidRPr="0061488A">
              <w:rPr>
                <w:rFonts w:ascii="Times New Roman" w:hAnsi="Times New Roman" w:cs="Times New Roman"/>
              </w:rPr>
              <w:t xml:space="preserve"> </w:t>
            </w:r>
            <w:r w:rsidR="00285FEC" w:rsidRPr="0061488A">
              <w:rPr>
                <w:rFonts w:ascii="Times New Roman" w:hAnsi="Times New Roman" w:cs="Times New Roman"/>
              </w:rPr>
              <w:t xml:space="preserve">For </w:t>
            </w:r>
            <w:r w:rsidR="00A241F8" w:rsidRPr="0061488A">
              <w:rPr>
                <w:rFonts w:ascii="Times New Roman" w:hAnsi="Times New Roman" w:cs="Times New Roman"/>
              </w:rPr>
              <w:t>examples,</w:t>
            </w:r>
            <w:r w:rsidR="00446B36" w:rsidRPr="0061488A">
              <w:rPr>
                <w:rFonts w:ascii="Times New Roman" w:hAnsi="Times New Roman" w:cs="Times New Roman"/>
              </w:rPr>
              <w:t xml:space="preserve"> different </w:t>
            </w:r>
            <w:r w:rsidR="00211D95" w:rsidRPr="0061488A">
              <w:rPr>
                <w:rFonts w:ascii="Times New Roman" w:hAnsi="Times New Roman" w:cs="Times New Roman"/>
              </w:rPr>
              <w:t xml:space="preserve">ministries </w:t>
            </w:r>
            <w:r w:rsidR="00446B36" w:rsidRPr="0061488A">
              <w:rPr>
                <w:rFonts w:ascii="Times New Roman" w:hAnsi="Times New Roman" w:cs="Times New Roman"/>
              </w:rPr>
              <w:t>have different</w:t>
            </w:r>
            <w:r w:rsidR="00A241F8" w:rsidRPr="0061488A">
              <w:rPr>
                <w:rFonts w:ascii="Times New Roman" w:hAnsi="Times New Roman" w:cs="Times New Roman"/>
              </w:rPr>
              <w:t xml:space="preserve"> </w:t>
            </w:r>
            <w:r w:rsidR="00211D95" w:rsidRPr="0061488A">
              <w:rPr>
                <w:rFonts w:ascii="Times New Roman" w:hAnsi="Times New Roman" w:cs="Times New Roman"/>
              </w:rPr>
              <w:t xml:space="preserve">regulatory </w:t>
            </w:r>
            <w:r w:rsidR="0007342A" w:rsidRPr="0061488A">
              <w:rPr>
                <w:rFonts w:ascii="Times New Roman" w:hAnsi="Times New Roman" w:cs="Times New Roman"/>
              </w:rPr>
              <w:t>framework</w:t>
            </w:r>
            <w:r w:rsidR="00211D95" w:rsidRPr="0061488A">
              <w:rPr>
                <w:rFonts w:ascii="Times New Roman" w:hAnsi="Times New Roman" w:cs="Times New Roman"/>
              </w:rPr>
              <w:t>s</w:t>
            </w:r>
            <w:r w:rsidR="0007342A" w:rsidRPr="0061488A">
              <w:rPr>
                <w:rFonts w:ascii="Times New Roman" w:hAnsi="Times New Roman" w:cs="Times New Roman"/>
              </w:rPr>
              <w:t xml:space="preserve"> </w:t>
            </w:r>
            <w:r w:rsidR="00446B36" w:rsidRPr="0061488A">
              <w:rPr>
                <w:rFonts w:ascii="Times New Roman" w:hAnsi="Times New Roman" w:cs="Times New Roman"/>
              </w:rPr>
              <w:t>for</w:t>
            </w:r>
            <w:r w:rsidR="003F5307" w:rsidRPr="0061488A">
              <w:rPr>
                <w:rFonts w:ascii="Times New Roman" w:hAnsi="Times New Roman" w:cs="Times New Roman"/>
              </w:rPr>
              <w:t xml:space="preserve"> </w:t>
            </w:r>
            <w:r w:rsidR="006801AD" w:rsidRPr="0061488A">
              <w:rPr>
                <w:rFonts w:ascii="Times New Roman" w:hAnsi="Times New Roman" w:cs="Times New Roman"/>
              </w:rPr>
              <w:t>the pro</w:t>
            </w:r>
            <w:r w:rsidR="00E94090" w:rsidRPr="0061488A">
              <w:rPr>
                <w:rFonts w:ascii="Times New Roman" w:hAnsi="Times New Roman" w:cs="Times New Roman"/>
              </w:rPr>
              <w:t xml:space="preserve">tection of </w:t>
            </w:r>
            <w:r w:rsidR="00446B36" w:rsidRPr="0061488A">
              <w:rPr>
                <w:rFonts w:ascii="Times New Roman" w:hAnsi="Times New Roman" w:cs="Times New Roman"/>
              </w:rPr>
              <w:t>forest</w:t>
            </w:r>
            <w:r w:rsidR="00211D95" w:rsidRPr="0061488A">
              <w:rPr>
                <w:rFonts w:ascii="Times New Roman" w:hAnsi="Times New Roman" w:cs="Times New Roman"/>
              </w:rPr>
              <w:t xml:space="preserve"> cover</w:t>
            </w:r>
            <w:r w:rsidR="00E94090" w:rsidRPr="0061488A">
              <w:rPr>
                <w:rFonts w:ascii="Times New Roman" w:hAnsi="Times New Roman" w:cs="Times New Roman"/>
              </w:rPr>
              <w:t xml:space="preserve"> within </w:t>
            </w:r>
            <w:r w:rsidR="00446B36" w:rsidRPr="0061488A">
              <w:rPr>
                <w:rFonts w:ascii="Times New Roman" w:hAnsi="Times New Roman" w:cs="Times New Roman"/>
              </w:rPr>
              <w:t>agriculture</w:t>
            </w:r>
            <w:r w:rsidR="00E94090" w:rsidRPr="0061488A">
              <w:rPr>
                <w:rFonts w:ascii="Times New Roman" w:hAnsi="Times New Roman" w:cs="Times New Roman"/>
              </w:rPr>
              <w:t xml:space="preserve"> area</w:t>
            </w:r>
            <w:r w:rsidR="00211D95" w:rsidRPr="0061488A">
              <w:rPr>
                <w:rFonts w:ascii="Times New Roman" w:hAnsi="Times New Roman" w:cs="Times New Roman"/>
              </w:rPr>
              <w:t xml:space="preserve"> or APL</w:t>
            </w:r>
            <w:r w:rsidR="006801AD" w:rsidRPr="0061488A">
              <w:rPr>
                <w:rFonts w:ascii="Times New Roman" w:hAnsi="Times New Roman" w:cs="Times New Roman"/>
              </w:rPr>
              <w:t>.</w:t>
            </w:r>
            <w:r w:rsidR="003F5307" w:rsidRPr="0061488A">
              <w:rPr>
                <w:rFonts w:ascii="Times New Roman" w:hAnsi="Times New Roman" w:cs="Times New Roman"/>
              </w:rPr>
              <w:t xml:space="preserve"> </w:t>
            </w:r>
            <w:r w:rsidR="00211D95" w:rsidRPr="0061488A">
              <w:rPr>
                <w:rFonts w:ascii="Times New Roman" w:hAnsi="Times New Roman" w:cs="Times New Roman"/>
              </w:rPr>
              <w:t xml:space="preserve">To address such differences, the provincial </w:t>
            </w:r>
            <w:r w:rsidR="003F5307" w:rsidRPr="0061488A">
              <w:rPr>
                <w:rFonts w:ascii="Times New Roman" w:hAnsi="Times New Roman" w:cs="Times New Roman"/>
              </w:rPr>
              <w:t>government</w:t>
            </w:r>
            <w:r w:rsidR="006801AD" w:rsidRPr="0061488A">
              <w:rPr>
                <w:rFonts w:ascii="Times New Roman" w:hAnsi="Times New Roman" w:cs="Times New Roman"/>
              </w:rPr>
              <w:t xml:space="preserve"> and M</w:t>
            </w:r>
            <w:r w:rsidR="003F5307" w:rsidRPr="0061488A">
              <w:rPr>
                <w:rFonts w:ascii="Times New Roman" w:hAnsi="Times New Roman" w:cs="Times New Roman"/>
              </w:rPr>
              <w:t xml:space="preserve">inistry of Environment and Forestry (MoEF) </w:t>
            </w:r>
            <w:r w:rsidR="006801AD" w:rsidRPr="0061488A">
              <w:rPr>
                <w:rFonts w:ascii="Times New Roman" w:hAnsi="Times New Roman" w:cs="Times New Roman"/>
              </w:rPr>
              <w:t xml:space="preserve">encourage </w:t>
            </w:r>
            <w:r w:rsidR="00446B36" w:rsidRPr="0061488A">
              <w:rPr>
                <w:rFonts w:ascii="Times New Roman" w:hAnsi="Times New Roman" w:cs="Times New Roman"/>
              </w:rPr>
              <w:t>the</w:t>
            </w:r>
            <w:r w:rsidR="00211D95" w:rsidRPr="0061488A">
              <w:rPr>
                <w:rFonts w:ascii="Times New Roman" w:hAnsi="Times New Roman" w:cs="Times New Roman"/>
              </w:rPr>
              <w:t xml:space="preserve"> development of</w:t>
            </w:r>
            <w:r w:rsidR="00446B36" w:rsidRPr="0061488A">
              <w:rPr>
                <w:rFonts w:ascii="Times New Roman" w:hAnsi="Times New Roman" w:cs="Times New Roman"/>
              </w:rPr>
              <w:t xml:space="preserve"> KEE,</w:t>
            </w:r>
            <w:r w:rsidR="006801AD" w:rsidRPr="0061488A">
              <w:rPr>
                <w:rFonts w:ascii="Times New Roman" w:hAnsi="Times New Roman" w:cs="Times New Roman"/>
              </w:rPr>
              <w:t xml:space="preserve"> </w:t>
            </w:r>
            <w:r w:rsidR="00211D95" w:rsidRPr="0061488A">
              <w:rPr>
                <w:rFonts w:ascii="Times New Roman" w:hAnsi="Times New Roman" w:cs="Times New Roman"/>
              </w:rPr>
              <w:t>trying to synergize</w:t>
            </w:r>
            <w:r w:rsidR="00BF6B07" w:rsidRPr="0061488A">
              <w:rPr>
                <w:rFonts w:ascii="Times New Roman" w:hAnsi="Times New Roman" w:cs="Times New Roman"/>
              </w:rPr>
              <w:t xml:space="preserve"> </w:t>
            </w:r>
            <w:r w:rsidR="00211D95" w:rsidRPr="0061488A">
              <w:rPr>
                <w:rFonts w:ascii="Times New Roman" w:hAnsi="Times New Roman" w:cs="Times New Roman"/>
              </w:rPr>
              <w:t xml:space="preserve">different </w:t>
            </w:r>
            <w:r w:rsidR="00BF6B07" w:rsidRPr="0061488A">
              <w:rPr>
                <w:rFonts w:ascii="Times New Roman" w:hAnsi="Times New Roman" w:cs="Times New Roman"/>
              </w:rPr>
              <w:t>regulation</w:t>
            </w:r>
            <w:r w:rsidR="00211D95" w:rsidRPr="0061488A">
              <w:rPr>
                <w:rFonts w:ascii="Times New Roman" w:hAnsi="Times New Roman" w:cs="Times New Roman"/>
              </w:rPr>
              <w:t>s</w:t>
            </w:r>
            <w:r w:rsidR="00BF6B07" w:rsidRPr="0061488A">
              <w:rPr>
                <w:rFonts w:ascii="Times New Roman" w:hAnsi="Times New Roman" w:cs="Times New Roman"/>
              </w:rPr>
              <w:t xml:space="preserve"> applied in</w:t>
            </w:r>
            <w:r w:rsidR="00211D95" w:rsidRPr="0061488A">
              <w:rPr>
                <w:rFonts w:ascii="Times New Roman" w:hAnsi="Times New Roman" w:cs="Times New Roman"/>
              </w:rPr>
              <w:t xml:space="preserve"> this context</w:t>
            </w:r>
            <w:r w:rsidR="006801AD" w:rsidRPr="0061488A">
              <w:rPr>
                <w:rFonts w:ascii="Times New Roman" w:hAnsi="Times New Roman" w:cs="Times New Roman"/>
              </w:rPr>
              <w:t xml:space="preserve">. </w:t>
            </w:r>
          </w:p>
        </w:tc>
      </w:tr>
      <w:tr w:rsidR="00EC1D7C" w:rsidRPr="00C80F34" w14:paraId="4CDD8FA1" w14:textId="77777777" w:rsidTr="002B23A5">
        <w:tc>
          <w:tcPr>
            <w:tcW w:w="2127" w:type="dxa"/>
          </w:tcPr>
          <w:p w14:paraId="1A0FD6B9" w14:textId="77777777" w:rsidR="00EC1D7C" w:rsidRPr="0061488A" w:rsidRDefault="00EC1D7C" w:rsidP="00A01175">
            <w:pPr>
              <w:pStyle w:val="ListParagraph"/>
              <w:ind w:left="0"/>
              <w:rPr>
                <w:rFonts w:ascii="Times New Roman" w:hAnsi="Times New Roman" w:cs="Times New Roman"/>
              </w:rPr>
            </w:pPr>
            <w:r w:rsidRPr="0061488A">
              <w:rPr>
                <w:rFonts w:ascii="Times New Roman" w:hAnsi="Times New Roman" w:cs="Times New Roman"/>
              </w:rPr>
              <w:t>Is there a link between the jurisdictional strategy and national REDD+ strategy or processes</w:t>
            </w:r>
            <w:r w:rsidR="00A01175" w:rsidRPr="0061488A">
              <w:rPr>
                <w:rFonts w:ascii="Times New Roman" w:hAnsi="Times New Roman" w:cs="Times New Roman"/>
              </w:rPr>
              <w:t xml:space="preserve"> and </w:t>
            </w:r>
            <w:r w:rsidRPr="0061488A">
              <w:rPr>
                <w:rFonts w:ascii="Times New Roman" w:hAnsi="Times New Roman" w:cs="Times New Roman"/>
              </w:rPr>
              <w:t>global processes?</w:t>
            </w:r>
          </w:p>
        </w:tc>
        <w:tc>
          <w:tcPr>
            <w:tcW w:w="8363" w:type="dxa"/>
          </w:tcPr>
          <w:p w14:paraId="6CAD3BD7" w14:textId="15B59B30" w:rsidR="00EC1D7C" w:rsidRPr="0061488A" w:rsidRDefault="006801AD" w:rsidP="005F4F0C">
            <w:pPr>
              <w:pStyle w:val="ListParagraph"/>
              <w:ind w:left="0"/>
              <w:jc w:val="both"/>
              <w:rPr>
                <w:rFonts w:ascii="Times New Roman" w:hAnsi="Times New Roman" w:cs="Times New Roman"/>
              </w:rPr>
            </w:pPr>
            <w:r w:rsidRPr="0061488A">
              <w:rPr>
                <w:rFonts w:ascii="Times New Roman" w:hAnsi="Times New Roman" w:cs="Times New Roman"/>
              </w:rPr>
              <w:t>Yes, there is.</w:t>
            </w:r>
            <w:r w:rsidR="00492FCE" w:rsidRPr="0061488A">
              <w:rPr>
                <w:rFonts w:ascii="Times New Roman" w:hAnsi="Times New Roman" w:cs="Times New Roman"/>
              </w:rPr>
              <w:t xml:space="preserve"> </w:t>
            </w:r>
            <w:r w:rsidR="00AE0D76" w:rsidRPr="0061488A">
              <w:rPr>
                <w:rFonts w:ascii="Times New Roman" w:hAnsi="Times New Roman" w:cs="Times New Roman"/>
              </w:rPr>
              <w:t xml:space="preserve">The </w:t>
            </w:r>
            <w:r w:rsidR="00492FCE" w:rsidRPr="0061488A">
              <w:rPr>
                <w:rFonts w:ascii="Times New Roman" w:hAnsi="Times New Roman" w:cs="Times New Roman"/>
              </w:rPr>
              <w:t xml:space="preserve">SRAP </w:t>
            </w:r>
            <w:r w:rsidR="00446B36" w:rsidRPr="0061488A">
              <w:rPr>
                <w:rFonts w:ascii="Times New Roman" w:hAnsi="Times New Roman" w:cs="Times New Roman"/>
              </w:rPr>
              <w:t xml:space="preserve">REDD+ </w:t>
            </w:r>
            <w:r w:rsidR="009E4F3F" w:rsidRPr="0061488A">
              <w:rPr>
                <w:rFonts w:ascii="Times New Roman" w:hAnsi="Times New Roman" w:cs="Times New Roman"/>
              </w:rPr>
              <w:t>link</w:t>
            </w:r>
            <w:r w:rsidR="00CF0AE8" w:rsidRPr="0061488A">
              <w:rPr>
                <w:rFonts w:ascii="Times New Roman" w:hAnsi="Times New Roman" w:cs="Times New Roman"/>
              </w:rPr>
              <w:t>s</w:t>
            </w:r>
            <w:r w:rsidR="009E4F3F" w:rsidRPr="0061488A">
              <w:rPr>
                <w:rFonts w:ascii="Times New Roman" w:hAnsi="Times New Roman" w:cs="Times New Roman"/>
              </w:rPr>
              <w:t xml:space="preserve"> with</w:t>
            </w:r>
            <w:r w:rsidR="00492FCE" w:rsidRPr="0061488A">
              <w:rPr>
                <w:rFonts w:ascii="Times New Roman" w:hAnsi="Times New Roman" w:cs="Times New Roman"/>
              </w:rPr>
              <w:t xml:space="preserve"> </w:t>
            </w:r>
            <w:r w:rsidR="00446B36" w:rsidRPr="0061488A">
              <w:rPr>
                <w:rFonts w:ascii="Times New Roman" w:hAnsi="Times New Roman" w:cs="Times New Roman"/>
              </w:rPr>
              <w:t xml:space="preserve">the </w:t>
            </w:r>
            <w:r w:rsidR="00492FCE" w:rsidRPr="0061488A">
              <w:rPr>
                <w:rFonts w:ascii="Times New Roman" w:hAnsi="Times New Roman" w:cs="Times New Roman"/>
              </w:rPr>
              <w:t>National REDD+ Strategy</w:t>
            </w:r>
            <w:r w:rsidR="00DD1B4F" w:rsidRPr="0061488A">
              <w:rPr>
                <w:rFonts w:ascii="Times New Roman" w:hAnsi="Times New Roman" w:cs="Times New Roman"/>
              </w:rPr>
              <w:t xml:space="preserve">. </w:t>
            </w:r>
            <w:r w:rsidR="00A72801" w:rsidRPr="0061488A">
              <w:rPr>
                <w:rFonts w:ascii="Times New Roman" w:hAnsi="Times New Roman" w:cs="Times New Roman"/>
              </w:rPr>
              <w:t xml:space="preserve">The SRAP </w:t>
            </w:r>
            <w:r w:rsidR="00444A10" w:rsidRPr="0061488A">
              <w:rPr>
                <w:rFonts w:ascii="Times New Roman" w:hAnsi="Times New Roman" w:cs="Times New Roman"/>
              </w:rPr>
              <w:t>elements</w:t>
            </w:r>
            <w:r w:rsidR="00BD5005" w:rsidRPr="0061488A">
              <w:rPr>
                <w:rFonts w:ascii="Times New Roman" w:hAnsi="Times New Roman" w:cs="Times New Roman"/>
              </w:rPr>
              <w:t xml:space="preserve">, </w:t>
            </w:r>
            <w:r w:rsidR="00CF0AE8" w:rsidRPr="0061488A">
              <w:rPr>
                <w:rFonts w:ascii="Times New Roman" w:hAnsi="Times New Roman" w:cs="Times New Roman"/>
              </w:rPr>
              <w:t>emission factors</w:t>
            </w:r>
            <w:r w:rsidR="00BD5005" w:rsidRPr="0061488A">
              <w:rPr>
                <w:rFonts w:ascii="Times New Roman" w:hAnsi="Times New Roman" w:cs="Times New Roman"/>
              </w:rPr>
              <w:t>,</w:t>
            </w:r>
            <w:r w:rsidR="006F4559" w:rsidRPr="0061488A">
              <w:rPr>
                <w:rFonts w:ascii="Times New Roman" w:hAnsi="Times New Roman" w:cs="Times New Roman"/>
              </w:rPr>
              <w:t xml:space="preserve"> and</w:t>
            </w:r>
            <w:r w:rsidR="00BD5005" w:rsidRPr="0061488A">
              <w:rPr>
                <w:rFonts w:ascii="Times New Roman" w:hAnsi="Times New Roman" w:cs="Times New Roman"/>
              </w:rPr>
              <w:t xml:space="preserve"> Safeguard Information System (SIS) </w:t>
            </w:r>
            <w:r w:rsidR="006F4559" w:rsidRPr="0061488A">
              <w:rPr>
                <w:rFonts w:ascii="Times New Roman" w:hAnsi="Times New Roman" w:cs="Times New Roman"/>
              </w:rPr>
              <w:t xml:space="preserve">of </w:t>
            </w:r>
            <w:r w:rsidR="00BD5005" w:rsidRPr="0061488A">
              <w:rPr>
                <w:rFonts w:ascii="Times New Roman" w:hAnsi="Times New Roman" w:cs="Times New Roman"/>
              </w:rPr>
              <w:t xml:space="preserve">REDD+ comply with </w:t>
            </w:r>
            <w:r w:rsidR="00446B36" w:rsidRPr="0061488A">
              <w:rPr>
                <w:rFonts w:ascii="Times New Roman" w:hAnsi="Times New Roman" w:cs="Times New Roman"/>
              </w:rPr>
              <w:t xml:space="preserve">the </w:t>
            </w:r>
            <w:r w:rsidR="00BD5005" w:rsidRPr="0061488A">
              <w:rPr>
                <w:rFonts w:ascii="Times New Roman" w:hAnsi="Times New Roman" w:cs="Times New Roman"/>
              </w:rPr>
              <w:t xml:space="preserve">national REDD+ elements, </w:t>
            </w:r>
            <w:r w:rsidR="0041294A" w:rsidRPr="0061488A">
              <w:rPr>
                <w:rFonts w:ascii="Times New Roman" w:hAnsi="Times New Roman" w:cs="Times New Roman"/>
              </w:rPr>
              <w:t>emission factors</w:t>
            </w:r>
            <w:r w:rsidR="00BD5005" w:rsidRPr="0061488A">
              <w:rPr>
                <w:rFonts w:ascii="Times New Roman" w:hAnsi="Times New Roman" w:cs="Times New Roman"/>
              </w:rPr>
              <w:t xml:space="preserve"> and national SIS REDD+</w:t>
            </w:r>
            <w:r w:rsidR="0041294A" w:rsidRPr="0061488A">
              <w:rPr>
                <w:rFonts w:ascii="Times New Roman" w:hAnsi="Times New Roman" w:cs="Times New Roman"/>
              </w:rPr>
              <w:t xml:space="preserve">. </w:t>
            </w:r>
            <w:r w:rsidR="00444A10" w:rsidRPr="0061488A">
              <w:rPr>
                <w:rFonts w:ascii="Times New Roman" w:hAnsi="Times New Roman" w:cs="Times New Roman"/>
              </w:rPr>
              <w:t xml:space="preserve">The </w:t>
            </w:r>
            <w:r w:rsidR="00BD5005" w:rsidRPr="0061488A">
              <w:rPr>
                <w:rFonts w:ascii="Times New Roman" w:hAnsi="Times New Roman" w:cs="Times New Roman"/>
              </w:rPr>
              <w:t xml:space="preserve">SRAP </w:t>
            </w:r>
            <w:r w:rsidR="00492FCE" w:rsidRPr="0061488A">
              <w:rPr>
                <w:rFonts w:ascii="Times New Roman" w:hAnsi="Times New Roman" w:cs="Times New Roman"/>
              </w:rPr>
              <w:t>also link</w:t>
            </w:r>
            <w:r w:rsidR="006F4559" w:rsidRPr="0061488A">
              <w:rPr>
                <w:rFonts w:ascii="Times New Roman" w:hAnsi="Times New Roman" w:cs="Times New Roman"/>
              </w:rPr>
              <w:t>s</w:t>
            </w:r>
            <w:r w:rsidR="00492FCE" w:rsidRPr="0061488A">
              <w:rPr>
                <w:rFonts w:ascii="Times New Roman" w:hAnsi="Times New Roman" w:cs="Times New Roman"/>
              </w:rPr>
              <w:t xml:space="preserve"> with </w:t>
            </w:r>
            <w:r w:rsidR="006F4559" w:rsidRPr="0061488A">
              <w:rPr>
                <w:rFonts w:ascii="Times New Roman" w:hAnsi="Times New Roman" w:cs="Times New Roman"/>
              </w:rPr>
              <w:t xml:space="preserve">the </w:t>
            </w:r>
            <w:r w:rsidR="00492FCE" w:rsidRPr="0061488A">
              <w:rPr>
                <w:rFonts w:ascii="Times New Roman" w:hAnsi="Times New Roman" w:cs="Times New Roman"/>
              </w:rPr>
              <w:t>global process</w:t>
            </w:r>
            <w:r w:rsidR="00444A10" w:rsidRPr="0061488A">
              <w:rPr>
                <w:rFonts w:ascii="Times New Roman" w:hAnsi="Times New Roman" w:cs="Times New Roman"/>
              </w:rPr>
              <w:t xml:space="preserve">. The SRAP goals and action plans </w:t>
            </w:r>
            <w:r w:rsidR="00BD5005" w:rsidRPr="0061488A">
              <w:rPr>
                <w:rFonts w:ascii="Times New Roman" w:hAnsi="Times New Roman" w:cs="Times New Roman"/>
              </w:rPr>
              <w:t xml:space="preserve">had </w:t>
            </w:r>
            <w:r w:rsidR="00444A10" w:rsidRPr="0061488A">
              <w:rPr>
                <w:rFonts w:ascii="Times New Roman" w:hAnsi="Times New Roman" w:cs="Times New Roman"/>
              </w:rPr>
              <w:t xml:space="preserve">3 times </w:t>
            </w:r>
            <w:r w:rsidR="00BD5005" w:rsidRPr="0061488A">
              <w:rPr>
                <w:rFonts w:ascii="Times New Roman" w:hAnsi="Times New Roman" w:cs="Times New Roman"/>
              </w:rPr>
              <w:t xml:space="preserve">revised </w:t>
            </w:r>
            <w:r w:rsidR="00031876" w:rsidRPr="0061488A">
              <w:rPr>
                <w:rFonts w:ascii="Times New Roman" w:hAnsi="Times New Roman" w:cs="Times New Roman"/>
              </w:rPr>
              <w:t xml:space="preserve">as </w:t>
            </w:r>
            <w:r w:rsidR="00444A10" w:rsidRPr="0061488A">
              <w:rPr>
                <w:rFonts w:ascii="Times New Roman" w:hAnsi="Times New Roman" w:cs="Times New Roman"/>
              </w:rPr>
              <w:t xml:space="preserve">massive </w:t>
            </w:r>
            <w:r w:rsidR="00031876" w:rsidRPr="0061488A">
              <w:rPr>
                <w:rFonts w:ascii="Times New Roman" w:hAnsi="Times New Roman" w:cs="Times New Roman"/>
              </w:rPr>
              <w:t xml:space="preserve">global policy framework </w:t>
            </w:r>
            <w:r w:rsidR="009C4A76" w:rsidRPr="0061488A">
              <w:rPr>
                <w:rFonts w:ascii="Times New Roman" w:hAnsi="Times New Roman" w:cs="Times New Roman"/>
              </w:rPr>
              <w:t xml:space="preserve">emerged </w:t>
            </w:r>
            <w:r w:rsidR="00444A10" w:rsidRPr="0061488A">
              <w:rPr>
                <w:rFonts w:ascii="Times New Roman" w:hAnsi="Times New Roman" w:cs="Times New Roman"/>
              </w:rPr>
              <w:t>such as Paris Agreement that produced NDC, Rio Branco Declaration and GCF commitment.</w:t>
            </w:r>
            <w:r w:rsidR="00AE0D76" w:rsidRPr="0061488A">
              <w:rPr>
                <w:rFonts w:ascii="Times New Roman" w:hAnsi="Times New Roman" w:cs="Times New Roman"/>
              </w:rPr>
              <w:t xml:space="preserve"> For GGP, </w:t>
            </w:r>
            <w:r w:rsidR="006F4559" w:rsidRPr="0061488A">
              <w:rPr>
                <w:rFonts w:ascii="Times New Roman" w:hAnsi="Times New Roman" w:cs="Times New Roman"/>
              </w:rPr>
              <w:t xml:space="preserve">this </w:t>
            </w:r>
            <w:r w:rsidR="00AE0D76" w:rsidRPr="0061488A">
              <w:rPr>
                <w:rFonts w:ascii="Times New Roman" w:hAnsi="Times New Roman" w:cs="Times New Roman"/>
              </w:rPr>
              <w:t>directly links with National Green Growth Plan Framework by National Planning Agency</w:t>
            </w:r>
            <w:r w:rsidR="006F4559" w:rsidRPr="0061488A">
              <w:rPr>
                <w:rFonts w:ascii="Times New Roman" w:hAnsi="Times New Roman" w:cs="Times New Roman"/>
              </w:rPr>
              <w:t xml:space="preserve"> as well as Low Carbon Development Indonesia/LCDI</w:t>
            </w:r>
            <w:r w:rsidR="00AE0D76" w:rsidRPr="0061488A">
              <w:rPr>
                <w:rFonts w:ascii="Times New Roman" w:hAnsi="Times New Roman" w:cs="Times New Roman"/>
              </w:rPr>
              <w:t xml:space="preserve"> (</w:t>
            </w:r>
            <w:r w:rsidR="006F4559" w:rsidRPr="0061488A">
              <w:rPr>
                <w:rFonts w:ascii="Times New Roman" w:hAnsi="Times New Roman" w:cs="Times New Roman"/>
              </w:rPr>
              <w:t>Bappenas</w:t>
            </w:r>
            <w:r w:rsidR="00AE0D76" w:rsidRPr="0061488A">
              <w:rPr>
                <w:rFonts w:ascii="Times New Roman" w:hAnsi="Times New Roman" w:cs="Times New Roman"/>
              </w:rPr>
              <w:t xml:space="preserve">). </w:t>
            </w:r>
            <w:r w:rsidR="006F4559" w:rsidRPr="0061488A">
              <w:rPr>
                <w:rFonts w:ascii="Times New Roman" w:hAnsi="Times New Roman" w:cs="Times New Roman"/>
              </w:rPr>
              <w:t xml:space="preserve">The GGP has also been </w:t>
            </w:r>
            <w:r w:rsidR="00446B36" w:rsidRPr="0061488A">
              <w:rPr>
                <w:rFonts w:ascii="Times New Roman" w:hAnsi="Times New Roman" w:cs="Times New Roman"/>
              </w:rPr>
              <w:t xml:space="preserve">used </w:t>
            </w:r>
            <w:r w:rsidR="006F4559" w:rsidRPr="0061488A">
              <w:rPr>
                <w:rFonts w:ascii="Times New Roman" w:hAnsi="Times New Roman" w:cs="Times New Roman"/>
              </w:rPr>
              <w:t>b</w:t>
            </w:r>
            <w:r w:rsidR="00446B36" w:rsidRPr="0061488A">
              <w:rPr>
                <w:rFonts w:ascii="Times New Roman" w:hAnsi="Times New Roman" w:cs="Times New Roman"/>
              </w:rPr>
              <w:t>y several global green investment</w:t>
            </w:r>
            <w:r w:rsidR="006F4559" w:rsidRPr="0061488A">
              <w:rPr>
                <w:rFonts w:ascii="Times New Roman" w:hAnsi="Times New Roman" w:cs="Times New Roman"/>
              </w:rPr>
              <w:t xml:space="preserve"> vehicles</w:t>
            </w:r>
            <w:r w:rsidR="00446B36" w:rsidRPr="0061488A">
              <w:rPr>
                <w:rFonts w:ascii="Times New Roman" w:hAnsi="Times New Roman" w:cs="Times New Roman"/>
              </w:rPr>
              <w:t xml:space="preserve"> such as </w:t>
            </w:r>
            <w:r w:rsidR="00C42F97" w:rsidRPr="0061488A">
              <w:rPr>
                <w:rFonts w:ascii="Times New Roman" w:hAnsi="Times New Roman" w:cs="Times New Roman"/>
              </w:rPr>
              <w:t>And</w:t>
            </w:r>
            <w:r w:rsidR="00440F17" w:rsidRPr="0061488A">
              <w:rPr>
                <w:rFonts w:ascii="Times New Roman" w:hAnsi="Times New Roman" w:cs="Times New Roman"/>
              </w:rPr>
              <w:t>g</w:t>
            </w:r>
            <w:r w:rsidR="00C42F97" w:rsidRPr="0061488A">
              <w:rPr>
                <w:rFonts w:ascii="Times New Roman" w:hAnsi="Times New Roman" w:cs="Times New Roman"/>
              </w:rPr>
              <w:t>reen</w:t>
            </w:r>
            <w:r w:rsidR="00446B36" w:rsidRPr="0061488A">
              <w:rPr>
                <w:rFonts w:ascii="Times New Roman" w:hAnsi="Times New Roman" w:cs="Times New Roman"/>
              </w:rPr>
              <w:t>.Fund</w:t>
            </w:r>
            <w:r w:rsidR="006F4559" w:rsidRPr="0061488A">
              <w:rPr>
                <w:rFonts w:ascii="Times New Roman" w:hAnsi="Times New Roman" w:cs="Times New Roman"/>
              </w:rPr>
              <w:t xml:space="preserve"> (</w:t>
            </w:r>
            <w:r w:rsidR="00446B36" w:rsidRPr="0061488A">
              <w:rPr>
                <w:rFonts w:ascii="Times New Roman" w:hAnsi="Times New Roman" w:cs="Times New Roman"/>
              </w:rPr>
              <w:t xml:space="preserve">supported by </w:t>
            </w:r>
            <w:r w:rsidR="006F4559" w:rsidRPr="0061488A">
              <w:rPr>
                <w:rFonts w:ascii="Times New Roman" w:hAnsi="Times New Roman" w:cs="Times New Roman"/>
              </w:rPr>
              <w:t xml:space="preserve">the </w:t>
            </w:r>
            <w:r w:rsidR="00446B36" w:rsidRPr="0061488A">
              <w:rPr>
                <w:rFonts w:ascii="Times New Roman" w:hAnsi="Times New Roman" w:cs="Times New Roman"/>
              </w:rPr>
              <w:t xml:space="preserve">Norway Government and </w:t>
            </w:r>
            <w:r w:rsidR="006F4559" w:rsidRPr="0061488A">
              <w:rPr>
                <w:rFonts w:ascii="Times New Roman" w:hAnsi="Times New Roman" w:cs="Times New Roman"/>
              </w:rPr>
              <w:t xml:space="preserve">Consumer Good Forum company </w:t>
            </w:r>
            <w:r w:rsidR="00446B36" w:rsidRPr="0061488A">
              <w:rPr>
                <w:rFonts w:ascii="Times New Roman" w:hAnsi="Times New Roman" w:cs="Times New Roman"/>
              </w:rPr>
              <w:t>such as Unilever</w:t>
            </w:r>
            <w:r w:rsidR="006F4559" w:rsidRPr="0061488A">
              <w:rPr>
                <w:rFonts w:ascii="Times New Roman" w:hAnsi="Times New Roman" w:cs="Times New Roman"/>
              </w:rPr>
              <w:t>) to assess whether a jurisdiction is considered investible</w:t>
            </w:r>
            <w:r w:rsidR="00446B36" w:rsidRPr="0061488A">
              <w:rPr>
                <w:rFonts w:ascii="Times New Roman" w:hAnsi="Times New Roman" w:cs="Times New Roman"/>
              </w:rPr>
              <w:t>.</w:t>
            </w:r>
          </w:p>
        </w:tc>
      </w:tr>
      <w:tr w:rsidR="00EC1D7C" w:rsidRPr="00C80F34" w14:paraId="7767A21B" w14:textId="77777777" w:rsidTr="002B23A5">
        <w:tc>
          <w:tcPr>
            <w:tcW w:w="2127" w:type="dxa"/>
          </w:tcPr>
          <w:p w14:paraId="6ADBFC50" w14:textId="77777777" w:rsidR="00EC1D7C" w:rsidRPr="0061488A" w:rsidRDefault="00EC1D7C" w:rsidP="008529B1">
            <w:pPr>
              <w:pStyle w:val="ListParagraph"/>
              <w:ind w:left="0"/>
              <w:rPr>
                <w:rFonts w:ascii="Times New Roman" w:hAnsi="Times New Roman" w:cs="Times New Roman"/>
              </w:rPr>
            </w:pPr>
            <w:r w:rsidRPr="0061488A">
              <w:rPr>
                <w:rFonts w:ascii="Times New Roman" w:hAnsi="Times New Roman" w:cs="Times New Roman"/>
              </w:rPr>
              <w:t>Is there a system for monitoring progress of the existing jurisdictional strategy (forest and non-forest data)?</w:t>
            </w:r>
          </w:p>
        </w:tc>
        <w:tc>
          <w:tcPr>
            <w:tcW w:w="8363" w:type="dxa"/>
          </w:tcPr>
          <w:p w14:paraId="146B6753" w14:textId="74F63AFD" w:rsidR="00E658CD" w:rsidRPr="0061488A" w:rsidRDefault="00446B36" w:rsidP="005F4F0C">
            <w:pPr>
              <w:pStyle w:val="ListParagraph"/>
              <w:ind w:left="0"/>
              <w:jc w:val="both"/>
              <w:rPr>
                <w:rFonts w:ascii="Times New Roman" w:hAnsi="Times New Roman" w:cs="Times New Roman"/>
              </w:rPr>
            </w:pPr>
            <w:r w:rsidRPr="0061488A">
              <w:rPr>
                <w:rFonts w:ascii="Times New Roman" w:hAnsi="Times New Roman" w:cs="Times New Roman"/>
              </w:rPr>
              <w:t xml:space="preserve">Yes, there is. West Kalimantan </w:t>
            </w:r>
            <w:r w:rsidR="00C42F97" w:rsidRPr="0061488A">
              <w:rPr>
                <w:rFonts w:ascii="Times New Roman" w:hAnsi="Times New Roman" w:cs="Times New Roman"/>
              </w:rPr>
              <w:t xml:space="preserve">government </w:t>
            </w:r>
            <w:r w:rsidRPr="0061488A">
              <w:rPr>
                <w:rFonts w:ascii="Times New Roman" w:hAnsi="Times New Roman" w:cs="Times New Roman"/>
              </w:rPr>
              <w:t xml:space="preserve">once has measured their achievement on emission reduction 2012-2016. However, a comprehensive analysis on REDD+ performance </w:t>
            </w:r>
            <w:r w:rsidR="00C42F97" w:rsidRPr="0061488A">
              <w:rPr>
                <w:rFonts w:ascii="Times New Roman" w:hAnsi="Times New Roman" w:cs="Times New Roman"/>
              </w:rPr>
              <w:t xml:space="preserve">has </w:t>
            </w:r>
            <w:r w:rsidRPr="0061488A">
              <w:rPr>
                <w:rFonts w:ascii="Times New Roman" w:hAnsi="Times New Roman" w:cs="Times New Roman"/>
              </w:rPr>
              <w:t xml:space="preserve">never been </w:t>
            </w:r>
            <w:r w:rsidR="00C42F97" w:rsidRPr="0061488A">
              <w:rPr>
                <w:rFonts w:ascii="Times New Roman" w:hAnsi="Times New Roman" w:cs="Times New Roman"/>
              </w:rPr>
              <w:t>under</w:t>
            </w:r>
            <w:r w:rsidRPr="0061488A">
              <w:rPr>
                <w:rFonts w:ascii="Times New Roman" w:hAnsi="Times New Roman" w:cs="Times New Roman"/>
              </w:rPr>
              <w:t xml:space="preserve">taken to measure whether REDD+ activities and initiatives </w:t>
            </w:r>
            <w:r w:rsidR="00C42F97" w:rsidRPr="0061488A">
              <w:rPr>
                <w:rFonts w:ascii="Times New Roman" w:hAnsi="Times New Roman" w:cs="Times New Roman"/>
              </w:rPr>
              <w:t xml:space="preserve">have </w:t>
            </w:r>
            <w:r w:rsidRPr="0061488A">
              <w:rPr>
                <w:rFonts w:ascii="Times New Roman" w:hAnsi="Times New Roman" w:cs="Times New Roman"/>
              </w:rPr>
              <w:t>contribute</w:t>
            </w:r>
            <w:r w:rsidR="00C42F97" w:rsidRPr="0061488A">
              <w:rPr>
                <w:rFonts w:ascii="Times New Roman" w:hAnsi="Times New Roman" w:cs="Times New Roman"/>
              </w:rPr>
              <w:t>d</w:t>
            </w:r>
            <w:r w:rsidRPr="0061488A">
              <w:rPr>
                <w:rFonts w:ascii="Times New Roman" w:hAnsi="Times New Roman" w:cs="Times New Roman"/>
              </w:rPr>
              <w:t xml:space="preserve"> to emission</w:t>
            </w:r>
            <w:r w:rsidR="00C42F97" w:rsidRPr="0061488A">
              <w:rPr>
                <w:rFonts w:ascii="Times New Roman" w:hAnsi="Times New Roman" w:cs="Times New Roman"/>
              </w:rPr>
              <w:t>s</w:t>
            </w:r>
            <w:r w:rsidRPr="0061488A">
              <w:rPr>
                <w:rFonts w:ascii="Times New Roman" w:hAnsi="Times New Roman" w:cs="Times New Roman"/>
              </w:rPr>
              <w:t xml:space="preserve"> reduction. Since the establishment of SRAP REDD+ in 2012, a proper sub-national MRV institution and system that comply with national MRV standards </w:t>
            </w:r>
            <w:r w:rsidR="00C42F97" w:rsidRPr="0061488A">
              <w:rPr>
                <w:rFonts w:ascii="Times New Roman" w:hAnsi="Times New Roman" w:cs="Times New Roman"/>
              </w:rPr>
              <w:t>are yet to</w:t>
            </w:r>
            <w:r w:rsidRPr="0061488A">
              <w:rPr>
                <w:rFonts w:ascii="Times New Roman" w:hAnsi="Times New Roman" w:cs="Times New Roman"/>
              </w:rPr>
              <w:t xml:space="preserve"> </w:t>
            </w:r>
            <w:r w:rsidR="00C42F97" w:rsidRPr="0061488A">
              <w:rPr>
                <w:rFonts w:ascii="Times New Roman" w:hAnsi="Times New Roman" w:cs="Times New Roman"/>
              </w:rPr>
              <w:t xml:space="preserve">be </w:t>
            </w:r>
            <w:r w:rsidRPr="0061488A">
              <w:rPr>
                <w:rFonts w:ascii="Times New Roman" w:hAnsi="Times New Roman" w:cs="Times New Roman"/>
              </w:rPr>
              <w:t xml:space="preserve">developed. </w:t>
            </w:r>
            <w:r w:rsidR="00C42F97" w:rsidRPr="0061488A">
              <w:rPr>
                <w:rFonts w:ascii="Times New Roman" w:hAnsi="Times New Roman" w:cs="Times New Roman"/>
              </w:rPr>
              <w:t>Starting from</w:t>
            </w:r>
            <w:r w:rsidRPr="0061488A">
              <w:rPr>
                <w:rFonts w:ascii="Times New Roman" w:hAnsi="Times New Roman" w:cs="Times New Roman"/>
              </w:rPr>
              <w:t xml:space="preserve"> 2018, </w:t>
            </w:r>
            <w:r w:rsidR="00C42F97" w:rsidRPr="0061488A">
              <w:rPr>
                <w:rFonts w:ascii="Times New Roman" w:hAnsi="Times New Roman" w:cs="Times New Roman"/>
              </w:rPr>
              <w:t>the</w:t>
            </w:r>
            <w:r w:rsidRPr="0061488A">
              <w:rPr>
                <w:rFonts w:ascii="Times New Roman" w:hAnsi="Times New Roman" w:cs="Times New Roman"/>
              </w:rPr>
              <w:t xml:space="preserve"> West Kalimantan </w:t>
            </w:r>
            <w:r w:rsidR="00C42F97" w:rsidRPr="0061488A">
              <w:rPr>
                <w:rFonts w:ascii="Times New Roman" w:hAnsi="Times New Roman" w:cs="Times New Roman"/>
              </w:rPr>
              <w:t xml:space="preserve">government </w:t>
            </w:r>
            <w:r w:rsidRPr="0061488A">
              <w:rPr>
                <w:rFonts w:ascii="Times New Roman" w:hAnsi="Times New Roman" w:cs="Times New Roman"/>
              </w:rPr>
              <w:t>supported by YIDH</w:t>
            </w:r>
            <w:r w:rsidR="00C42F97" w:rsidRPr="0061488A">
              <w:rPr>
                <w:rFonts w:ascii="Times New Roman" w:hAnsi="Times New Roman" w:cs="Times New Roman"/>
              </w:rPr>
              <w:t xml:space="preserve">, has been developing </w:t>
            </w:r>
            <w:r w:rsidRPr="0061488A">
              <w:rPr>
                <w:rFonts w:ascii="Times New Roman" w:hAnsi="Times New Roman" w:cs="Times New Roman"/>
              </w:rPr>
              <w:t xml:space="preserve">a system for monitoring internal progress by different </w:t>
            </w:r>
            <w:r w:rsidR="00C42F97" w:rsidRPr="0061488A">
              <w:rPr>
                <w:rFonts w:ascii="Times New Roman" w:hAnsi="Times New Roman" w:cs="Times New Roman"/>
              </w:rPr>
              <w:t xml:space="preserve">government </w:t>
            </w:r>
            <w:r w:rsidRPr="0061488A">
              <w:rPr>
                <w:rFonts w:ascii="Times New Roman" w:hAnsi="Times New Roman" w:cs="Times New Roman"/>
              </w:rPr>
              <w:t xml:space="preserve">agencies </w:t>
            </w:r>
            <w:r w:rsidR="00C42F97" w:rsidRPr="0061488A">
              <w:rPr>
                <w:rFonts w:ascii="Times New Roman" w:hAnsi="Times New Roman" w:cs="Times New Roman"/>
              </w:rPr>
              <w:t xml:space="preserve">to </w:t>
            </w:r>
            <w:r w:rsidRPr="0061488A">
              <w:rPr>
                <w:rFonts w:ascii="Times New Roman" w:hAnsi="Times New Roman" w:cs="Times New Roman"/>
              </w:rPr>
              <w:t xml:space="preserve">assess environment performance </w:t>
            </w:r>
            <w:r w:rsidR="00C42F97" w:rsidRPr="0061488A">
              <w:rPr>
                <w:rFonts w:ascii="Times New Roman" w:hAnsi="Times New Roman" w:cs="Times New Roman"/>
              </w:rPr>
              <w:t xml:space="preserve">of the </w:t>
            </w:r>
            <w:r w:rsidRPr="0061488A">
              <w:rPr>
                <w:rFonts w:ascii="Times New Roman" w:hAnsi="Times New Roman" w:cs="Times New Roman"/>
              </w:rPr>
              <w:t>private sector</w:t>
            </w:r>
            <w:r w:rsidR="00C42F97" w:rsidRPr="0061488A">
              <w:rPr>
                <w:rFonts w:ascii="Times New Roman" w:hAnsi="Times New Roman" w:cs="Times New Roman"/>
              </w:rPr>
              <w:t>, for example, by using a PROPER tool managed by Provincial Environment Agency</w:t>
            </w:r>
            <w:r w:rsidRPr="0061488A">
              <w:rPr>
                <w:rFonts w:ascii="Times New Roman" w:hAnsi="Times New Roman" w:cs="Times New Roman"/>
              </w:rPr>
              <w:t xml:space="preserve">.  </w:t>
            </w:r>
          </w:p>
        </w:tc>
      </w:tr>
      <w:tr w:rsidR="00EC1D7C" w:rsidRPr="00C80F34" w14:paraId="06DB0136" w14:textId="77777777" w:rsidTr="002B23A5">
        <w:tc>
          <w:tcPr>
            <w:tcW w:w="2127" w:type="dxa"/>
          </w:tcPr>
          <w:p w14:paraId="5DC2E689" w14:textId="77777777" w:rsidR="00EC1D7C" w:rsidRPr="007117E7" w:rsidRDefault="00EC1D7C" w:rsidP="00B56368">
            <w:pPr>
              <w:pStyle w:val="ListParagraph"/>
              <w:ind w:left="0"/>
              <w:rPr>
                <w:rFonts w:ascii="Times New Roman" w:hAnsi="Times New Roman" w:cs="Times New Roman"/>
              </w:rPr>
            </w:pPr>
            <w:r w:rsidRPr="007117E7">
              <w:rPr>
                <w:rFonts w:ascii="Times New Roman" w:hAnsi="Times New Roman" w:cs="Times New Roman"/>
              </w:rPr>
              <w:t xml:space="preserve">Does the strategy link to national forest monitoring systems, </w:t>
            </w:r>
            <w:r w:rsidR="00B56368" w:rsidRPr="007117E7">
              <w:rPr>
                <w:rFonts w:ascii="Times New Roman" w:hAnsi="Times New Roman" w:cs="Times New Roman"/>
              </w:rPr>
              <w:t>SIS</w:t>
            </w:r>
            <w:r w:rsidRPr="007117E7">
              <w:rPr>
                <w:rFonts w:ascii="Times New Roman" w:hAnsi="Times New Roman" w:cs="Times New Roman"/>
              </w:rPr>
              <w:t>, or other relevant national/global monitoring processes?</w:t>
            </w:r>
          </w:p>
        </w:tc>
        <w:tc>
          <w:tcPr>
            <w:tcW w:w="8363" w:type="dxa"/>
          </w:tcPr>
          <w:p w14:paraId="1912F202" w14:textId="0D43AFA2" w:rsidR="00EC1D7C" w:rsidRPr="007117E7" w:rsidRDefault="006911E3" w:rsidP="005F4F0C">
            <w:pPr>
              <w:pStyle w:val="ListParagraph"/>
              <w:ind w:left="0"/>
              <w:jc w:val="both"/>
              <w:rPr>
                <w:rFonts w:ascii="Times New Roman" w:hAnsi="Times New Roman" w:cs="Times New Roman"/>
              </w:rPr>
            </w:pPr>
            <w:r w:rsidRPr="007117E7">
              <w:rPr>
                <w:rFonts w:ascii="Times New Roman" w:hAnsi="Times New Roman" w:cs="Times New Roman"/>
              </w:rPr>
              <w:t xml:space="preserve">Yes, it does. Since </w:t>
            </w:r>
            <w:r w:rsidR="00AE0D76" w:rsidRPr="007117E7">
              <w:rPr>
                <w:rFonts w:ascii="Times New Roman" w:hAnsi="Times New Roman" w:cs="Times New Roman"/>
              </w:rPr>
              <w:t xml:space="preserve">the SRAP </w:t>
            </w:r>
            <w:r w:rsidR="00E32D5D" w:rsidRPr="007117E7">
              <w:rPr>
                <w:rFonts w:ascii="Times New Roman" w:hAnsi="Times New Roman" w:cs="Times New Roman"/>
              </w:rPr>
              <w:t xml:space="preserve">development has been supervised by the MoEF at the </w:t>
            </w:r>
            <w:r w:rsidRPr="007117E7">
              <w:rPr>
                <w:rFonts w:ascii="Times New Roman" w:hAnsi="Times New Roman" w:cs="Times New Roman"/>
              </w:rPr>
              <w:t xml:space="preserve">national </w:t>
            </w:r>
            <w:r w:rsidR="00E32D5D" w:rsidRPr="007117E7">
              <w:rPr>
                <w:rFonts w:ascii="Times New Roman" w:hAnsi="Times New Roman" w:cs="Times New Roman"/>
              </w:rPr>
              <w:t>level</w:t>
            </w:r>
            <w:r w:rsidRPr="007117E7">
              <w:rPr>
                <w:rFonts w:ascii="Times New Roman" w:hAnsi="Times New Roman" w:cs="Times New Roman"/>
              </w:rPr>
              <w:t xml:space="preserve">, </w:t>
            </w:r>
            <w:r w:rsidR="00E32D5D" w:rsidRPr="007117E7">
              <w:rPr>
                <w:rFonts w:ascii="Times New Roman" w:hAnsi="Times New Roman" w:cs="Times New Roman"/>
              </w:rPr>
              <w:t xml:space="preserve">this immediately </w:t>
            </w:r>
            <w:r w:rsidR="005B746E" w:rsidRPr="007117E7">
              <w:rPr>
                <w:rFonts w:ascii="Times New Roman" w:hAnsi="Times New Roman" w:cs="Times New Roman"/>
              </w:rPr>
              <w:t xml:space="preserve">links with national MRV and SIS REDD+. </w:t>
            </w:r>
            <w:r w:rsidR="00B56368" w:rsidRPr="007117E7">
              <w:rPr>
                <w:rFonts w:ascii="Times New Roman" w:hAnsi="Times New Roman" w:cs="Times New Roman"/>
              </w:rPr>
              <w:t xml:space="preserve">Forest Reference Emission Level/FREL that will be used by the MRV later on to measure sub-national emission reduction achievement </w:t>
            </w:r>
            <w:r w:rsidR="00E32D5D" w:rsidRPr="007117E7">
              <w:rPr>
                <w:rFonts w:ascii="Times New Roman" w:hAnsi="Times New Roman" w:cs="Times New Roman"/>
              </w:rPr>
              <w:t xml:space="preserve">also </w:t>
            </w:r>
            <w:r w:rsidR="00B56368" w:rsidRPr="007117E7">
              <w:rPr>
                <w:rFonts w:ascii="Times New Roman" w:hAnsi="Times New Roman" w:cs="Times New Roman"/>
              </w:rPr>
              <w:t xml:space="preserve">links </w:t>
            </w:r>
            <w:r w:rsidR="00C223ED" w:rsidRPr="007117E7">
              <w:rPr>
                <w:rFonts w:ascii="Times New Roman" w:hAnsi="Times New Roman" w:cs="Times New Roman"/>
              </w:rPr>
              <w:t>with national FREL</w:t>
            </w:r>
            <w:r w:rsidR="00B56368" w:rsidRPr="007117E7">
              <w:rPr>
                <w:rFonts w:ascii="Times New Roman" w:hAnsi="Times New Roman" w:cs="Times New Roman"/>
              </w:rPr>
              <w:t xml:space="preserve">. </w:t>
            </w:r>
            <w:r w:rsidR="0081595A" w:rsidRPr="007117E7">
              <w:rPr>
                <w:rFonts w:ascii="Times New Roman" w:hAnsi="Times New Roman" w:cs="Times New Roman"/>
              </w:rPr>
              <w:t xml:space="preserve">However, </w:t>
            </w:r>
            <w:r w:rsidR="00FB4324" w:rsidRPr="007117E7">
              <w:rPr>
                <w:rFonts w:ascii="Times New Roman" w:hAnsi="Times New Roman" w:cs="Times New Roman"/>
              </w:rPr>
              <w:t>2 out of 9 methodologies</w:t>
            </w:r>
            <w:r w:rsidR="0081595A" w:rsidRPr="007117E7">
              <w:rPr>
                <w:rFonts w:ascii="Times New Roman" w:hAnsi="Times New Roman" w:cs="Times New Roman"/>
              </w:rPr>
              <w:t xml:space="preserve"> </w:t>
            </w:r>
            <w:r w:rsidR="00B56368" w:rsidRPr="007117E7">
              <w:rPr>
                <w:rFonts w:ascii="Times New Roman" w:hAnsi="Times New Roman" w:cs="Times New Roman"/>
              </w:rPr>
              <w:t xml:space="preserve">of sub-national FREL </w:t>
            </w:r>
            <w:r w:rsidR="0081595A" w:rsidRPr="007117E7">
              <w:rPr>
                <w:rFonts w:ascii="Times New Roman" w:hAnsi="Times New Roman" w:cs="Times New Roman"/>
              </w:rPr>
              <w:t>still need to be adjusted based on assessment by national REDD+ team in May 2018.</w:t>
            </w:r>
            <w:r w:rsidR="00520863" w:rsidRPr="007117E7">
              <w:rPr>
                <w:rFonts w:ascii="Times New Roman" w:hAnsi="Times New Roman" w:cs="Times New Roman"/>
              </w:rPr>
              <w:t xml:space="preserve"> </w:t>
            </w:r>
            <w:r w:rsidR="00E32D5D" w:rsidRPr="007117E7">
              <w:rPr>
                <w:rFonts w:ascii="Times New Roman" w:hAnsi="Times New Roman" w:cs="Times New Roman"/>
              </w:rPr>
              <w:t xml:space="preserve">A </w:t>
            </w:r>
            <w:r w:rsidR="00520863" w:rsidRPr="007117E7">
              <w:rPr>
                <w:rFonts w:ascii="Times New Roman" w:hAnsi="Times New Roman" w:cs="Times New Roman"/>
              </w:rPr>
              <w:t xml:space="preserve">sub-national SIS REDD+ </w:t>
            </w:r>
            <w:r w:rsidR="00E32D5D" w:rsidRPr="007117E7">
              <w:rPr>
                <w:rFonts w:ascii="Times New Roman" w:hAnsi="Times New Roman" w:cs="Times New Roman"/>
              </w:rPr>
              <w:t xml:space="preserve">also </w:t>
            </w:r>
            <w:r w:rsidR="007A2E3D" w:rsidRPr="007117E7">
              <w:rPr>
                <w:rFonts w:ascii="Times New Roman" w:hAnsi="Times New Roman" w:cs="Times New Roman"/>
              </w:rPr>
              <w:t xml:space="preserve">refers to </w:t>
            </w:r>
            <w:r w:rsidR="007F1F91" w:rsidRPr="007117E7">
              <w:rPr>
                <w:rFonts w:ascii="Times New Roman" w:hAnsi="Times New Roman" w:cs="Times New Roman"/>
              </w:rPr>
              <w:t xml:space="preserve">national SIS REDD+. </w:t>
            </w:r>
            <w:r w:rsidR="00E32D5D" w:rsidRPr="007117E7">
              <w:rPr>
                <w:rFonts w:ascii="Times New Roman" w:hAnsi="Times New Roman" w:cs="Times New Roman"/>
              </w:rPr>
              <w:t>The provincial government has</w:t>
            </w:r>
            <w:r w:rsidR="007F1F91" w:rsidRPr="007117E7">
              <w:rPr>
                <w:rFonts w:ascii="Times New Roman" w:hAnsi="Times New Roman" w:cs="Times New Roman"/>
              </w:rPr>
              <w:t xml:space="preserve"> </w:t>
            </w:r>
            <w:r w:rsidR="00E32D5D" w:rsidRPr="007117E7">
              <w:rPr>
                <w:rFonts w:ascii="Times New Roman" w:hAnsi="Times New Roman" w:cs="Times New Roman"/>
              </w:rPr>
              <w:t xml:space="preserve">also </w:t>
            </w:r>
            <w:r w:rsidR="007F1F91" w:rsidRPr="007117E7">
              <w:rPr>
                <w:rFonts w:ascii="Times New Roman" w:hAnsi="Times New Roman" w:cs="Times New Roman"/>
              </w:rPr>
              <w:t xml:space="preserve">already registered </w:t>
            </w:r>
            <w:r w:rsidR="00E32D5D" w:rsidRPr="007117E7">
              <w:rPr>
                <w:rFonts w:ascii="Times New Roman" w:hAnsi="Times New Roman" w:cs="Times New Roman"/>
              </w:rPr>
              <w:t xml:space="preserve">this </w:t>
            </w:r>
            <w:r w:rsidR="007F1F91" w:rsidRPr="007117E7">
              <w:rPr>
                <w:rFonts w:ascii="Times New Roman" w:hAnsi="Times New Roman" w:cs="Times New Roman"/>
              </w:rPr>
              <w:t xml:space="preserve">in the system but the data need to be </w:t>
            </w:r>
            <w:r w:rsidR="00E32D5D" w:rsidRPr="007117E7">
              <w:rPr>
                <w:rFonts w:ascii="Times New Roman" w:hAnsi="Times New Roman" w:cs="Times New Roman"/>
              </w:rPr>
              <w:t xml:space="preserve">further </w:t>
            </w:r>
            <w:r w:rsidR="007F1F91" w:rsidRPr="007117E7">
              <w:rPr>
                <w:rFonts w:ascii="Times New Roman" w:hAnsi="Times New Roman" w:cs="Times New Roman"/>
              </w:rPr>
              <w:t xml:space="preserve">adjusted to meet the </w:t>
            </w:r>
            <w:r w:rsidR="00E32D5D" w:rsidRPr="007117E7">
              <w:rPr>
                <w:rFonts w:ascii="Times New Roman" w:hAnsi="Times New Roman" w:cs="Times New Roman"/>
              </w:rPr>
              <w:t xml:space="preserve">national </w:t>
            </w:r>
            <w:r w:rsidR="007F1F91" w:rsidRPr="007117E7">
              <w:rPr>
                <w:rFonts w:ascii="Times New Roman" w:hAnsi="Times New Roman" w:cs="Times New Roman"/>
              </w:rPr>
              <w:t xml:space="preserve">SIS REDD+ </w:t>
            </w:r>
            <w:r w:rsidR="00FE739C" w:rsidRPr="007117E7">
              <w:rPr>
                <w:rFonts w:ascii="Times New Roman" w:hAnsi="Times New Roman" w:cs="Times New Roman"/>
              </w:rPr>
              <w:t xml:space="preserve">requirements. </w:t>
            </w:r>
          </w:p>
        </w:tc>
      </w:tr>
    </w:tbl>
    <w:p w14:paraId="1ACA16DD" w14:textId="77777777" w:rsidR="00EC1D7C" w:rsidRPr="00C80F34" w:rsidRDefault="00EC1D7C" w:rsidP="008529B1">
      <w:pPr>
        <w:pStyle w:val="ListParagraph"/>
        <w:spacing w:after="0" w:line="240" w:lineRule="auto"/>
        <w:ind w:left="1134"/>
        <w:jc w:val="both"/>
        <w:rPr>
          <w:rFonts w:ascii="Times New Roman" w:hAnsi="Times New Roman" w:cs="Times New Roman"/>
          <w:b/>
        </w:rPr>
      </w:pPr>
    </w:p>
    <w:p w14:paraId="55DBD022" w14:textId="77777777" w:rsidR="00EC1D7C" w:rsidRPr="00C80F34" w:rsidRDefault="00374A50" w:rsidP="008529B1">
      <w:pPr>
        <w:pStyle w:val="ListParagraph"/>
        <w:numPr>
          <w:ilvl w:val="2"/>
          <w:numId w:val="1"/>
        </w:numPr>
        <w:spacing w:after="0" w:line="240" w:lineRule="auto"/>
        <w:ind w:left="1276" w:hanging="709"/>
        <w:jc w:val="both"/>
        <w:rPr>
          <w:rFonts w:ascii="Times New Roman" w:hAnsi="Times New Roman" w:cs="Times New Roman"/>
          <w:b/>
        </w:rPr>
      </w:pPr>
      <w:r w:rsidRPr="00C80F34">
        <w:rPr>
          <w:rFonts w:ascii="Times New Roman" w:hAnsi="Times New Roman" w:cs="Times New Roman"/>
          <w:b/>
        </w:rPr>
        <w:t>Other Relevant Low-Emissions Development Processes</w:t>
      </w:r>
    </w:p>
    <w:tbl>
      <w:tblPr>
        <w:tblStyle w:val="TableGrid"/>
        <w:tblW w:w="10490" w:type="dxa"/>
        <w:tblInd w:w="-5" w:type="dxa"/>
        <w:tblLook w:val="04A0" w:firstRow="1" w:lastRow="0" w:firstColumn="1" w:lastColumn="0" w:noHBand="0" w:noVBand="1"/>
      </w:tblPr>
      <w:tblGrid>
        <w:gridCol w:w="2127"/>
        <w:gridCol w:w="8363"/>
      </w:tblGrid>
      <w:tr w:rsidR="00B75FA5" w:rsidRPr="00C80F34" w14:paraId="2FFF3393" w14:textId="77777777" w:rsidTr="00C26272">
        <w:tc>
          <w:tcPr>
            <w:tcW w:w="2127" w:type="dxa"/>
          </w:tcPr>
          <w:p w14:paraId="6CCC9CDD" w14:textId="77777777" w:rsidR="00B75FA5" w:rsidRPr="0061488A" w:rsidRDefault="00B75FA5" w:rsidP="008529B1">
            <w:pPr>
              <w:pStyle w:val="ListParagraph"/>
              <w:ind w:left="0"/>
              <w:rPr>
                <w:rFonts w:ascii="Times New Roman" w:hAnsi="Times New Roman" w:cs="Times New Roman"/>
              </w:rPr>
            </w:pPr>
            <w:r w:rsidRPr="0061488A">
              <w:rPr>
                <w:rFonts w:ascii="Times New Roman" w:hAnsi="Times New Roman" w:cs="Times New Roman"/>
              </w:rPr>
              <w:t xml:space="preserve">Are there any supply chain commitments </w:t>
            </w:r>
            <w:r w:rsidRPr="0061488A">
              <w:rPr>
                <w:rFonts w:ascii="Times New Roman" w:hAnsi="Times New Roman" w:cs="Times New Roman"/>
              </w:rPr>
              <w:lastRenderedPageBreak/>
              <w:t>and/or initiatives currently active in the jurisdiction?</w:t>
            </w:r>
          </w:p>
        </w:tc>
        <w:tc>
          <w:tcPr>
            <w:tcW w:w="8363" w:type="dxa"/>
          </w:tcPr>
          <w:p w14:paraId="00AAB570" w14:textId="3E458039" w:rsidR="00B75FA5" w:rsidRPr="0061488A" w:rsidRDefault="006911E3" w:rsidP="005F4F0C">
            <w:pPr>
              <w:jc w:val="both"/>
              <w:rPr>
                <w:sz w:val="22"/>
                <w:szCs w:val="22"/>
              </w:rPr>
            </w:pPr>
            <w:r w:rsidRPr="0061488A">
              <w:rPr>
                <w:sz w:val="22"/>
                <w:szCs w:val="22"/>
              </w:rPr>
              <w:lastRenderedPageBreak/>
              <w:t xml:space="preserve">Yes, they are. </w:t>
            </w:r>
            <w:r w:rsidR="0096717C" w:rsidRPr="0061488A">
              <w:rPr>
                <w:sz w:val="22"/>
                <w:szCs w:val="22"/>
              </w:rPr>
              <w:t xml:space="preserve">The development of sustainable </w:t>
            </w:r>
            <w:r w:rsidR="00446B36" w:rsidRPr="0061488A">
              <w:rPr>
                <w:sz w:val="22"/>
                <w:szCs w:val="22"/>
              </w:rPr>
              <w:t>supply chain</w:t>
            </w:r>
            <w:r w:rsidR="00421195" w:rsidRPr="0061488A">
              <w:rPr>
                <w:sz w:val="22"/>
                <w:szCs w:val="22"/>
              </w:rPr>
              <w:t xml:space="preserve"> has been </w:t>
            </w:r>
            <w:r w:rsidR="0096717C" w:rsidRPr="0061488A">
              <w:rPr>
                <w:sz w:val="22"/>
                <w:szCs w:val="22"/>
              </w:rPr>
              <w:t xml:space="preserve">one of key focuses of the </w:t>
            </w:r>
            <w:r w:rsidR="00421195" w:rsidRPr="0061488A">
              <w:rPr>
                <w:sz w:val="22"/>
                <w:szCs w:val="22"/>
              </w:rPr>
              <w:t>provincial government</w:t>
            </w:r>
            <w:r w:rsidR="0089180E" w:rsidRPr="0061488A">
              <w:rPr>
                <w:sz w:val="22"/>
                <w:szCs w:val="22"/>
              </w:rPr>
              <w:t>’s</w:t>
            </w:r>
            <w:r w:rsidR="00421195" w:rsidRPr="0061488A">
              <w:rPr>
                <w:sz w:val="22"/>
                <w:szCs w:val="22"/>
              </w:rPr>
              <w:t xml:space="preserve"> focus since </w:t>
            </w:r>
            <w:r w:rsidR="009E714A" w:rsidRPr="0061488A">
              <w:rPr>
                <w:sz w:val="22"/>
                <w:szCs w:val="22"/>
              </w:rPr>
              <w:t>2015</w:t>
            </w:r>
            <w:r w:rsidR="00446B36" w:rsidRPr="0061488A">
              <w:rPr>
                <w:sz w:val="22"/>
                <w:szCs w:val="22"/>
              </w:rPr>
              <w:t xml:space="preserve">. With </w:t>
            </w:r>
            <w:r w:rsidR="0096717C" w:rsidRPr="0061488A">
              <w:rPr>
                <w:sz w:val="22"/>
                <w:szCs w:val="22"/>
              </w:rPr>
              <w:t xml:space="preserve">the </w:t>
            </w:r>
            <w:r w:rsidR="00446B36" w:rsidRPr="0061488A">
              <w:rPr>
                <w:sz w:val="22"/>
                <w:szCs w:val="22"/>
              </w:rPr>
              <w:t xml:space="preserve">support from YIDH, </w:t>
            </w:r>
            <w:r w:rsidR="00F92C13" w:rsidRPr="0061488A">
              <w:rPr>
                <w:sz w:val="22"/>
                <w:szCs w:val="22"/>
              </w:rPr>
              <w:t xml:space="preserve">such approach </w:t>
            </w:r>
            <w:r w:rsidR="00F92C13" w:rsidRPr="0061488A">
              <w:rPr>
                <w:sz w:val="22"/>
                <w:szCs w:val="22"/>
              </w:rPr>
              <w:lastRenderedPageBreak/>
              <w:t>is continued to be strengthened, mainly through</w:t>
            </w:r>
            <w:r w:rsidR="00C26272" w:rsidRPr="0061488A">
              <w:rPr>
                <w:sz w:val="22"/>
                <w:szCs w:val="22"/>
              </w:rPr>
              <w:t xml:space="preserve"> Protectio</w:t>
            </w:r>
            <w:r w:rsidR="009A62F3" w:rsidRPr="0061488A">
              <w:rPr>
                <w:sz w:val="22"/>
                <w:szCs w:val="22"/>
              </w:rPr>
              <w:t>n Production Inclusion</w:t>
            </w:r>
            <w:r w:rsidR="00F92C13" w:rsidRPr="0061488A">
              <w:rPr>
                <w:sz w:val="22"/>
                <w:szCs w:val="22"/>
              </w:rPr>
              <w:t xml:space="preserve"> (PPI)</w:t>
            </w:r>
            <w:r w:rsidR="009A62F3" w:rsidRPr="0061488A">
              <w:rPr>
                <w:sz w:val="22"/>
                <w:szCs w:val="22"/>
              </w:rPr>
              <w:t xml:space="preserve"> Compact</w:t>
            </w:r>
            <w:r w:rsidR="00F92C13" w:rsidRPr="0061488A">
              <w:rPr>
                <w:sz w:val="22"/>
                <w:szCs w:val="22"/>
              </w:rPr>
              <w:t xml:space="preserve"> (or agreement) </w:t>
            </w:r>
            <w:r w:rsidR="0089180E" w:rsidRPr="0061488A">
              <w:rPr>
                <w:sz w:val="22"/>
                <w:szCs w:val="22"/>
              </w:rPr>
              <w:t xml:space="preserve">with the private sector, verified sourcing areas (VSA) </w:t>
            </w:r>
            <w:r w:rsidR="00AF2D7C" w:rsidRPr="0061488A">
              <w:rPr>
                <w:sz w:val="22"/>
                <w:szCs w:val="22"/>
              </w:rPr>
              <w:t xml:space="preserve">and </w:t>
            </w:r>
            <w:r w:rsidR="00446B36" w:rsidRPr="0061488A">
              <w:rPr>
                <w:sz w:val="22"/>
                <w:szCs w:val="22"/>
              </w:rPr>
              <w:t>the GGP</w:t>
            </w:r>
            <w:r w:rsidR="00F92C13" w:rsidRPr="0061488A">
              <w:rPr>
                <w:sz w:val="22"/>
                <w:szCs w:val="22"/>
              </w:rPr>
              <w:t xml:space="preserve"> development</w:t>
            </w:r>
            <w:r w:rsidR="009E714A" w:rsidRPr="0061488A">
              <w:rPr>
                <w:sz w:val="22"/>
                <w:szCs w:val="22"/>
              </w:rPr>
              <w:t xml:space="preserve">. </w:t>
            </w:r>
            <w:r w:rsidR="00F92C13" w:rsidRPr="0061488A">
              <w:rPr>
                <w:sz w:val="22"/>
                <w:szCs w:val="22"/>
              </w:rPr>
              <w:t xml:space="preserve">Key </w:t>
            </w:r>
            <w:r w:rsidR="0089180E" w:rsidRPr="0061488A">
              <w:rPr>
                <w:sz w:val="22"/>
                <w:szCs w:val="22"/>
              </w:rPr>
              <w:t xml:space="preserve">companies show their </w:t>
            </w:r>
            <w:r w:rsidR="00F92C13" w:rsidRPr="0061488A">
              <w:rPr>
                <w:sz w:val="22"/>
                <w:szCs w:val="22"/>
              </w:rPr>
              <w:t>commitments</w:t>
            </w:r>
            <w:r w:rsidR="0089180E" w:rsidRPr="0061488A">
              <w:rPr>
                <w:sz w:val="22"/>
                <w:szCs w:val="22"/>
              </w:rPr>
              <w:t xml:space="preserve"> such as from</w:t>
            </w:r>
            <w:r w:rsidR="00F92C13" w:rsidRPr="0061488A">
              <w:rPr>
                <w:sz w:val="22"/>
                <w:szCs w:val="22"/>
              </w:rPr>
              <w:t xml:space="preserve"> </w:t>
            </w:r>
            <w:r w:rsidR="00446B36" w:rsidRPr="0061488A">
              <w:rPr>
                <w:sz w:val="22"/>
                <w:szCs w:val="22"/>
              </w:rPr>
              <w:t>Asia Pulp and Paper (APP)</w:t>
            </w:r>
            <w:r w:rsidR="001C7796" w:rsidRPr="0061488A">
              <w:rPr>
                <w:sz w:val="22"/>
                <w:szCs w:val="22"/>
              </w:rPr>
              <w:t xml:space="preserve">, Sumitomo </w:t>
            </w:r>
            <w:r w:rsidR="00421195" w:rsidRPr="0061488A">
              <w:rPr>
                <w:sz w:val="22"/>
                <w:szCs w:val="22"/>
              </w:rPr>
              <w:t>Forestry, Bumitama Agro Group</w:t>
            </w:r>
            <w:r w:rsidR="00446B36" w:rsidRPr="0061488A">
              <w:rPr>
                <w:sz w:val="22"/>
                <w:szCs w:val="22"/>
              </w:rPr>
              <w:t xml:space="preserve"> (BGA)</w:t>
            </w:r>
            <w:r w:rsidR="00421195" w:rsidRPr="0061488A">
              <w:rPr>
                <w:sz w:val="22"/>
                <w:szCs w:val="22"/>
              </w:rPr>
              <w:t xml:space="preserve">, </w:t>
            </w:r>
            <w:r w:rsidR="00446B36" w:rsidRPr="0061488A">
              <w:rPr>
                <w:sz w:val="22"/>
                <w:szCs w:val="22"/>
              </w:rPr>
              <w:t xml:space="preserve">PT </w:t>
            </w:r>
            <w:r w:rsidR="00027D5D" w:rsidRPr="0061488A">
              <w:rPr>
                <w:sz w:val="22"/>
                <w:szCs w:val="22"/>
              </w:rPr>
              <w:t>P</w:t>
            </w:r>
            <w:r w:rsidR="00446B36" w:rsidRPr="0061488A">
              <w:rPr>
                <w:sz w:val="22"/>
                <w:szCs w:val="22"/>
              </w:rPr>
              <w:t>asifik Agro Sentosa (P</w:t>
            </w:r>
            <w:r w:rsidR="00027D5D" w:rsidRPr="0061488A">
              <w:rPr>
                <w:sz w:val="22"/>
                <w:szCs w:val="22"/>
              </w:rPr>
              <w:t>AS</w:t>
            </w:r>
            <w:r w:rsidR="00446B36" w:rsidRPr="0061488A">
              <w:rPr>
                <w:sz w:val="22"/>
                <w:szCs w:val="22"/>
              </w:rPr>
              <w:t>)</w:t>
            </w:r>
            <w:r w:rsidR="00421195" w:rsidRPr="0061488A">
              <w:rPr>
                <w:sz w:val="22"/>
                <w:szCs w:val="22"/>
              </w:rPr>
              <w:t xml:space="preserve">, </w:t>
            </w:r>
            <w:r w:rsidR="00120E74" w:rsidRPr="0061488A">
              <w:rPr>
                <w:sz w:val="22"/>
                <w:szCs w:val="22"/>
              </w:rPr>
              <w:t xml:space="preserve">Cargill, </w:t>
            </w:r>
            <w:r w:rsidR="00AF2D7C" w:rsidRPr="0061488A">
              <w:rPr>
                <w:sz w:val="22"/>
                <w:szCs w:val="22"/>
              </w:rPr>
              <w:t xml:space="preserve">PT </w:t>
            </w:r>
            <w:r w:rsidR="00446B36" w:rsidRPr="0061488A">
              <w:rPr>
                <w:sz w:val="22"/>
                <w:szCs w:val="22"/>
              </w:rPr>
              <w:t>Kandelia Alam (KLIA),</w:t>
            </w:r>
            <w:r w:rsidR="00AF2D7C" w:rsidRPr="0061488A">
              <w:rPr>
                <w:sz w:val="22"/>
                <w:szCs w:val="22"/>
              </w:rPr>
              <w:t xml:space="preserve"> Alas Kusuma Group</w:t>
            </w:r>
            <w:r w:rsidR="00446B36" w:rsidRPr="0061488A">
              <w:rPr>
                <w:sz w:val="22"/>
                <w:szCs w:val="22"/>
              </w:rPr>
              <w:t xml:space="preserve"> and others</w:t>
            </w:r>
            <w:r w:rsidR="00C26272" w:rsidRPr="0061488A">
              <w:rPr>
                <w:sz w:val="22"/>
                <w:szCs w:val="22"/>
              </w:rPr>
              <w:t xml:space="preserve">. </w:t>
            </w:r>
            <w:r w:rsidR="0089180E" w:rsidRPr="0061488A">
              <w:rPr>
                <w:sz w:val="22"/>
                <w:szCs w:val="22"/>
              </w:rPr>
              <w:t>In addition,</w:t>
            </w:r>
            <w:r w:rsidR="00446B36" w:rsidRPr="0061488A">
              <w:rPr>
                <w:sz w:val="22"/>
                <w:szCs w:val="22"/>
              </w:rPr>
              <w:t xml:space="preserve"> </w:t>
            </w:r>
            <w:r w:rsidR="0089180E" w:rsidRPr="0061488A">
              <w:rPr>
                <w:sz w:val="22"/>
                <w:szCs w:val="22"/>
              </w:rPr>
              <w:t>the provincial government</w:t>
            </w:r>
            <w:r w:rsidR="00446B36" w:rsidRPr="0061488A">
              <w:rPr>
                <w:sz w:val="22"/>
                <w:szCs w:val="22"/>
              </w:rPr>
              <w:t xml:space="preserve"> </w:t>
            </w:r>
            <w:r w:rsidR="0089180E" w:rsidRPr="0061488A">
              <w:rPr>
                <w:sz w:val="22"/>
                <w:szCs w:val="22"/>
              </w:rPr>
              <w:t>supports</w:t>
            </w:r>
            <w:r w:rsidR="00670547" w:rsidRPr="0061488A">
              <w:rPr>
                <w:sz w:val="22"/>
                <w:szCs w:val="22"/>
              </w:rPr>
              <w:t xml:space="preserve"> </w:t>
            </w:r>
            <w:r w:rsidR="00446B36" w:rsidRPr="0061488A">
              <w:rPr>
                <w:sz w:val="22"/>
                <w:szCs w:val="22"/>
              </w:rPr>
              <w:t xml:space="preserve">independent smallholders and </w:t>
            </w:r>
            <w:r w:rsidR="00670547" w:rsidRPr="0061488A">
              <w:rPr>
                <w:sz w:val="22"/>
                <w:szCs w:val="22"/>
              </w:rPr>
              <w:t>small-scale commodity production</w:t>
            </w:r>
            <w:r w:rsidR="00446B36" w:rsidRPr="0061488A">
              <w:rPr>
                <w:sz w:val="22"/>
                <w:szCs w:val="22"/>
              </w:rPr>
              <w:t>s</w:t>
            </w:r>
            <w:r w:rsidR="00670547" w:rsidRPr="0061488A">
              <w:rPr>
                <w:sz w:val="22"/>
                <w:szCs w:val="22"/>
              </w:rPr>
              <w:t xml:space="preserve"> </w:t>
            </w:r>
            <w:r w:rsidR="00841753" w:rsidRPr="0061488A">
              <w:rPr>
                <w:sz w:val="22"/>
                <w:szCs w:val="22"/>
              </w:rPr>
              <w:t xml:space="preserve">that </w:t>
            </w:r>
            <w:r w:rsidR="0089180E" w:rsidRPr="0061488A">
              <w:rPr>
                <w:sz w:val="22"/>
                <w:szCs w:val="22"/>
              </w:rPr>
              <w:t xml:space="preserve">are mostly </w:t>
            </w:r>
            <w:r w:rsidR="002A63A9" w:rsidRPr="0061488A">
              <w:rPr>
                <w:sz w:val="22"/>
                <w:szCs w:val="22"/>
              </w:rPr>
              <w:t xml:space="preserve">managed </w:t>
            </w:r>
            <w:r w:rsidR="0089180E" w:rsidRPr="0061488A">
              <w:rPr>
                <w:sz w:val="22"/>
                <w:szCs w:val="22"/>
              </w:rPr>
              <w:t xml:space="preserve">by </w:t>
            </w:r>
            <w:r w:rsidR="00446B36" w:rsidRPr="0061488A">
              <w:rPr>
                <w:sz w:val="22"/>
                <w:szCs w:val="22"/>
              </w:rPr>
              <w:t>communities</w:t>
            </w:r>
            <w:r w:rsidR="00670547" w:rsidRPr="0061488A">
              <w:rPr>
                <w:sz w:val="22"/>
                <w:szCs w:val="22"/>
              </w:rPr>
              <w:t xml:space="preserve">. </w:t>
            </w:r>
            <w:r w:rsidR="00506495" w:rsidRPr="0061488A">
              <w:rPr>
                <w:sz w:val="22"/>
                <w:szCs w:val="22"/>
              </w:rPr>
              <w:t>T</w:t>
            </w:r>
            <w:r w:rsidR="009A62F3" w:rsidRPr="0061488A">
              <w:rPr>
                <w:sz w:val="22"/>
                <w:szCs w:val="22"/>
              </w:rPr>
              <w:t xml:space="preserve">he government is </w:t>
            </w:r>
            <w:r w:rsidR="00446B36" w:rsidRPr="0061488A">
              <w:rPr>
                <w:sz w:val="22"/>
                <w:szCs w:val="22"/>
              </w:rPr>
              <w:t xml:space="preserve">also </w:t>
            </w:r>
            <w:r w:rsidR="0089180E" w:rsidRPr="0061488A">
              <w:rPr>
                <w:sz w:val="22"/>
                <w:szCs w:val="22"/>
              </w:rPr>
              <w:t xml:space="preserve">in the </w:t>
            </w:r>
            <w:r w:rsidR="00506495" w:rsidRPr="0061488A">
              <w:rPr>
                <w:sz w:val="22"/>
                <w:szCs w:val="22"/>
              </w:rPr>
              <w:t xml:space="preserve">process </w:t>
            </w:r>
            <w:r w:rsidR="0089180E" w:rsidRPr="0061488A">
              <w:rPr>
                <w:sz w:val="22"/>
                <w:szCs w:val="22"/>
              </w:rPr>
              <w:t xml:space="preserve">of </w:t>
            </w:r>
            <w:r w:rsidR="00446B36" w:rsidRPr="0061488A">
              <w:rPr>
                <w:sz w:val="22"/>
                <w:szCs w:val="22"/>
              </w:rPr>
              <w:t>accelerating certification and land legality for</w:t>
            </w:r>
            <w:r w:rsidR="009A62F3" w:rsidRPr="0061488A">
              <w:rPr>
                <w:sz w:val="22"/>
                <w:szCs w:val="22"/>
              </w:rPr>
              <w:t xml:space="preserve"> </w:t>
            </w:r>
            <w:r w:rsidR="008F485D" w:rsidRPr="0061488A">
              <w:rPr>
                <w:sz w:val="22"/>
                <w:szCs w:val="22"/>
              </w:rPr>
              <w:t xml:space="preserve">independent smallholder </w:t>
            </w:r>
            <w:r w:rsidR="002A63A9" w:rsidRPr="0061488A">
              <w:rPr>
                <w:sz w:val="22"/>
                <w:szCs w:val="22"/>
              </w:rPr>
              <w:t xml:space="preserve">plantation areas </w:t>
            </w:r>
            <w:r w:rsidR="009A62F3" w:rsidRPr="0061488A">
              <w:rPr>
                <w:sz w:val="22"/>
                <w:szCs w:val="22"/>
              </w:rPr>
              <w:t xml:space="preserve">to meet </w:t>
            </w:r>
            <w:r w:rsidR="00421195" w:rsidRPr="0061488A">
              <w:rPr>
                <w:sz w:val="22"/>
                <w:szCs w:val="22"/>
              </w:rPr>
              <w:t xml:space="preserve">ISPO, </w:t>
            </w:r>
            <w:r w:rsidR="008F485D" w:rsidRPr="0061488A">
              <w:rPr>
                <w:sz w:val="22"/>
                <w:szCs w:val="22"/>
              </w:rPr>
              <w:t xml:space="preserve">RSPO </w:t>
            </w:r>
            <w:r w:rsidR="0089180E" w:rsidRPr="0061488A">
              <w:rPr>
                <w:sz w:val="22"/>
                <w:szCs w:val="22"/>
              </w:rPr>
              <w:t xml:space="preserve">and relevant market related </w:t>
            </w:r>
            <w:r w:rsidR="002F6D6E" w:rsidRPr="0061488A">
              <w:rPr>
                <w:sz w:val="22"/>
                <w:szCs w:val="22"/>
              </w:rPr>
              <w:t xml:space="preserve">sustainability </w:t>
            </w:r>
            <w:r w:rsidR="00446B36" w:rsidRPr="0061488A">
              <w:rPr>
                <w:sz w:val="22"/>
                <w:szCs w:val="22"/>
              </w:rPr>
              <w:t>requirements</w:t>
            </w:r>
            <w:r w:rsidR="008F485D" w:rsidRPr="0061488A">
              <w:rPr>
                <w:sz w:val="22"/>
                <w:szCs w:val="22"/>
              </w:rPr>
              <w:t xml:space="preserve">. </w:t>
            </w:r>
          </w:p>
        </w:tc>
      </w:tr>
      <w:tr w:rsidR="00676B1F" w:rsidRPr="00C80F34" w14:paraId="6B215FBA" w14:textId="77777777" w:rsidTr="00C26272">
        <w:trPr>
          <w:trHeight w:val="387"/>
        </w:trPr>
        <w:tc>
          <w:tcPr>
            <w:tcW w:w="2127" w:type="dxa"/>
          </w:tcPr>
          <w:p w14:paraId="6C6A567B" w14:textId="77777777" w:rsidR="00676B1F" w:rsidRPr="0061488A" w:rsidRDefault="00676B1F" w:rsidP="00676B1F">
            <w:pPr>
              <w:pStyle w:val="ListParagraph"/>
              <w:ind w:left="0"/>
              <w:rPr>
                <w:rFonts w:ascii="Times New Roman" w:hAnsi="Times New Roman" w:cs="Times New Roman"/>
              </w:rPr>
            </w:pPr>
            <w:r w:rsidRPr="0061488A">
              <w:rPr>
                <w:rFonts w:ascii="Times New Roman" w:hAnsi="Times New Roman" w:cs="Times New Roman"/>
              </w:rPr>
              <w:lastRenderedPageBreak/>
              <w:t>If yes, how does your existing jurisdictional strategy relate to existing sustainable supply chain initiatives, if at all?</w:t>
            </w:r>
          </w:p>
        </w:tc>
        <w:tc>
          <w:tcPr>
            <w:tcW w:w="8363" w:type="dxa"/>
          </w:tcPr>
          <w:p w14:paraId="4684AE59" w14:textId="2B35D370" w:rsidR="00446B36" w:rsidRPr="0061488A" w:rsidRDefault="00446B36" w:rsidP="005F4F0C">
            <w:pPr>
              <w:pStyle w:val="ListParagraph"/>
              <w:ind w:left="0"/>
              <w:jc w:val="both"/>
              <w:rPr>
                <w:rFonts w:ascii="Times New Roman" w:hAnsi="Times New Roman" w:cs="Times New Roman"/>
              </w:rPr>
            </w:pPr>
            <w:r w:rsidRPr="0061488A">
              <w:rPr>
                <w:rFonts w:ascii="Times New Roman" w:hAnsi="Times New Roman" w:cs="Times New Roman"/>
              </w:rPr>
              <w:t>Under the</w:t>
            </w:r>
            <w:r w:rsidR="00506495" w:rsidRPr="0061488A">
              <w:rPr>
                <w:rFonts w:ascii="Times New Roman" w:hAnsi="Times New Roman" w:cs="Times New Roman"/>
              </w:rPr>
              <w:t xml:space="preserve"> </w:t>
            </w:r>
            <w:r w:rsidR="00676B1F" w:rsidRPr="0061488A">
              <w:rPr>
                <w:rFonts w:ascii="Times New Roman" w:hAnsi="Times New Roman" w:cs="Times New Roman"/>
              </w:rPr>
              <w:t>SRAP REDD+ and</w:t>
            </w:r>
            <w:r w:rsidR="00AE0D76" w:rsidRPr="0061488A">
              <w:rPr>
                <w:rFonts w:ascii="Times New Roman" w:hAnsi="Times New Roman" w:cs="Times New Roman"/>
              </w:rPr>
              <w:t xml:space="preserve"> </w:t>
            </w:r>
            <w:r w:rsidRPr="0061488A">
              <w:rPr>
                <w:rFonts w:ascii="Times New Roman" w:hAnsi="Times New Roman" w:cs="Times New Roman"/>
              </w:rPr>
              <w:t xml:space="preserve">the </w:t>
            </w:r>
            <w:r w:rsidR="00AE0D76" w:rsidRPr="0061488A">
              <w:rPr>
                <w:rFonts w:ascii="Times New Roman" w:hAnsi="Times New Roman" w:cs="Times New Roman"/>
              </w:rPr>
              <w:t>GGP</w:t>
            </w:r>
            <w:r w:rsidRPr="0061488A">
              <w:rPr>
                <w:rFonts w:ascii="Times New Roman" w:hAnsi="Times New Roman" w:cs="Times New Roman"/>
              </w:rPr>
              <w:t xml:space="preserve"> framework, the G</w:t>
            </w:r>
            <w:r w:rsidR="00676B1F" w:rsidRPr="0061488A">
              <w:rPr>
                <w:rFonts w:ascii="Times New Roman" w:hAnsi="Times New Roman" w:cs="Times New Roman"/>
              </w:rPr>
              <w:t xml:space="preserve">overnment is working with </w:t>
            </w:r>
            <w:r w:rsidR="00BF5137" w:rsidRPr="0061488A">
              <w:rPr>
                <w:rFonts w:ascii="Times New Roman" w:hAnsi="Times New Roman" w:cs="Times New Roman"/>
              </w:rPr>
              <w:t xml:space="preserve">the </w:t>
            </w:r>
            <w:r w:rsidR="00AF2D7C" w:rsidRPr="0061488A">
              <w:rPr>
                <w:rFonts w:ascii="Times New Roman" w:hAnsi="Times New Roman" w:cs="Times New Roman"/>
              </w:rPr>
              <w:t>number of companies</w:t>
            </w:r>
            <w:r w:rsidR="00676B1F" w:rsidRPr="0061488A">
              <w:rPr>
                <w:rFonts w:ascii="Times New Roman" w:hAnsi="Times New Roman" w:cs="Times New Roman"/>
              </w:rPr>
              <w:t xml:space="preserve"> for </w:t>
            </w:r>
            <w:r w:rsidR="002F6D6E" w:rsidRPr="0061488A">
              <w:rPr>
                <w:rFonts w:ascii="Times New Roman" w:hAnsi="Times New Roman" w:cs="Times New Roman"/>
              </w:rPr>
              <w:t xml:space="preserve">exploring, implementing and strengthening </w:t>
            </w:r>
            <w:r w:rsidR="00676B1F" w:rsidRPr="0061488A">
              <w:rPr>
                <w:rFonts w:ascii="Times New Roman" w:hAnsi="Times New Roman" w:cs="Times New Roman"/>
              </w:rPr>
              <w:t>green business</w:t>
            </w:r>
            <w:r w:rsidR="00AF0415" w:rsidRPr="0061488A">
              <w:rPr>
                <w:rFonts w:ascii="Times New Roman" w:hAnsi="Times New Roman" w:cs="Times New Roman"/>
              </w:rPr>
              <w:t>/investment</w:t>
            </w:r>
            <w:r w:rsidR="00676B1F" w:rsidRPr="0061488A">
              <w:rPr>
                <w:rFonts w:ascii="Times New Roman" w:hAnsi="Times New Roman" w:cs="Times New Roman"/>
              </w:rPr>
              <w:t xml:space="preserve"> </w:t>
            </w:r>
            <w:r w:rsidRPr="0061488A">
              <w:rPr>
                <w:rFonts w:ascii="Times New Roman" w:hAnsi="Times New Roman" w:cs="Times New Roman"/>
              </w:rPr>
              <w:t>model</w:t>
            </w:r>
            <w:r w:rsidR="002F6D6E" w:rsidRPr="0061488A">
              <w:rPr>
                <w:rFonts w:ascii="Times New Roman" w:hAnsi="Times New Roman" w:cs="Times New Roman"/>
              </w:rPr>
              <w:t>s</w:t>
            </w:r>
            <w:r w:rsidR="00676B1F" w:rsidRPr="0061488A">
              <w:rPr>
                <w:rFonts w:ascii="Times New Roman" w:hAnsi="Times New Roman" w:cs="Times New Roman"/>
              </w:rPr>
              <w:t xml:space="preserve">. </w:t>
            </w:r>
            <w:r w:rsidR="002F6D6E" w:rsidRPr="0061488A">
              <w:rPr>
                <w:rFonts w:ascii="Times New Roman" w:hAnsi="Times New Roman" w:cs="Times New Roman"/>
              </w:rPr>
              <w:t>As an example</w:t>
            </w:r>
            <w:r w:rsidR="00676B1F" w:rsidRPr="0061488A">
              <w:rPr>
                <w:rFonts w:ascii="Times New Roman" w:hAnsi="Times New Roman" w:cs="Times New Roman"/>
              </w:rPr>
              <w:t xml:space="preserve">, </w:t>
            </w:r>
            <w:r w:rsidRPr="0061488A">
              <w:rPr>
                <w:rFonts w:ascii="Times New Roman" w:hAnsi="Times New Roman" w:cs="Times New Roman"/>
              </w:rPr>
              <w:t xml:space="preserve">the </w:t>
            </w:r>
            <w:r w:rsidR="002F6D6E" w:rsidRPr="0061488A">
              <w:rPr>
                <w:rFonts w:ascii="Times New Roman" w:hAnsi="Times New Roman" w:cs="Times New Roman"/>
              </w:rPr>
              <w:t xml:space="preserve">provincial government – with the support of YIDH – </w:t>
            </w:r>
            <w:r w:rsidR="00AF0415" w:rsidRPr="0061488A">
              <w:rPr>
                <w:rFonts w:ascii="Times New Roman" w:hAnsi="Times New Roman" w:cs="Times New Roman"/>
              </w:rPr>
              <w:t>is</w:t>
            </w:r>
            <w:r w:rsidR="002F6D6E" w:rsidRPr="0061488A">
              <w:rPr>
                <w:rFonts w:ascii="Times New Roman" w:hAnsi="Times New Roman" w:cs="Times New Roman"/>
              </w:rPr>
              <w:t xml:space="preserve"> </w:t>
            </w:r>
            <w:r w:rsidR="0080346E" w:rsidRPr="0061488A">
              <w:rPr>
                <w:rFonts w:ascii="Times New Roman" w:hAnsi="Times New Roman" w:cs="Times New Roman"/>
              </w:rPr>
              <w:t xml:space="preserve">working with </w:t>
            </w:r>
            <w:r w:rsidR="00676B1F" w:rsidRPr="0061488A">
              <w:rPr>
                <w:rFonts w:ascii="Times New Roman" w:hAnsi="Times New Roman" w:cs="Times New Roman"/>
              </w:rPr>
              <w:t xml:space="preserve">palm </w:t>
            </w:r>
            <w:r w:rsidR="0080346E" w:rsidRPr="0061488A">
              <w:rPr>
                <w:rFonts w:ascii="Times New Roman" w:hAnsi="Times New Roman" w:cs="Times New Roman"/>
              </w:rPr>
              <w:t xml:space="preserve">oil </w:t>
            </w:r>
            <w:r w:rsidR="00676B1F" w:rsidRPr="0061488A">
              <w:rPr>
                <w:rFonts w:ascii="Times New Roman" w:hAnsi="Times New Roman" w:cs="Times New Roman"/>
              </w:rPr>
              <w:t>concessions</w:t>
            </w:r>
            <w:r w:rsidRPr="0061488A">
              <w:rPr>
                <w:rFonts w:ascii="Times New Roman" w:hAnsi="Times New Roman" w:cs="Times New Roman"/>
              </w:rPr>
              <w:t>,</w:t>
            </w:r>
            <w:r w:rsidR="00676B1F" w:rsidRPr="0061488A">
              <w:rPr>
                <w:rFonts w:ascii="Times New Roman" w:hAnsi="Times New Roman" w:cs="Times New Roman"/>
              </w:rPr>
              <w:t xml:space="preserve"> PT Cipta Usaha Sejahtera (PT CUS</w:t>
            </w:r>
            <w:r w:rsidR="00AF0415" w:rsidRPr="0061488A">
              <w:rPr>
                <w:rFonts w:ascii="Times New Roman" w:hAnsi="Times New Roman" w:cs="Times New Roman"/>
              </w:rPr>
              <w:t xml:space="preserve">) and PT Mitra Aneka Rezeki (PT MAR) </w:t>
            </w:r>
            <w:r w:rsidR="00676B1F" w:rsidRPr="0061488A">
              <w:rPr>
                <w:rFonts w:ascii="Times New Roman" w:hAnsi="Times New Roman" w:cs="Times New Roman"/>
              </w:rPr>
              <w:t xml:space="preserve">to get RSPO </w:t>
            </w:r>
            <w:r w:rsidRPr="0061488A">
              <w:rPr>
                <w:rFonts w:ascii="Times New Roman" w:hAnsi="Times New Roman" w:cs="Times New Roman"/>
              </w:rPr>
              <w:t>certificate</w:t>
            </w:r>
            <w:r w:rsidR="00676B1F" w:rsidRPr="0061488A">
              <w:rPr>
                <w:rFonts w:ascii="Times New Roman" w:hAnsi="Times New Roman" w:cs="Times New Roman"/>
              </w:rPr>
              <w:t xml:space="preserve">. </w:t>
            </w:r>
            <w:r w:rsidRPr="0061488A">
              <w:rPr>
                <w:rFonts w:ascii="Times New Roman" w:hAnsi="Times New Roman" w:cs="Times New Roman"/>
              </w:rPr>
              <w:t>The companies</w:t>
            </w:r>
            <w:r w:rsidR="00216A0B" w:rsidRPr="0061488A">
              <w:rPr>
                <w:rFonts w:ascii="Times New Roman" w:hAnsi="Times New Roman" w:cs="Times New Roman"/>
              </w:rPr>
              <w:t xml:space="preserve"> protect </w:t>
            </w:r>
            <w:r w:rsidR="00676B1F" w:rsidRPr="0061488A">
              <w:rPr>
                <w:rFonts w:ascii="Times New Roman" w:hAnsi="Times New Roman" w:cs="Times New Roman"/>
              </w:rPr>
              <w:t>12</w:t>
            </w:r>
            <w:r w:rsidR="002F6D6E" w:rsidRPr="0061488A">
              <w:rPr>
                <w:rFonts w:ascii="Times New Roman" w:hAnsi="Times New Roman" w:cs="Times New Roman"/>
              </w:rPr>
              <w:t>,</w:t>
            </w:r>
            <w:r w:rsidR="00676B1F" w:rsidRPr="0061488A">
              <w:rPr>
                <w:rFonts w:ascii="Times New Roman" w:hAnsi="Times New Roman" w:cs="Times New Roman"/>
              </w:rPr>
              <w:t>000 hectares of fores</w:t>
            </w:r>
            <w:r w:rsidR="00D06045" w:rsidRPr="0061488A">
              <w:rPr>
                <w:rFonts w:ascii="Times New Roman" w:hAnsi="Times New Roman" w:cs="Times New Roman"/>
              </w:rPr>
              <w:t>t</w:t>
            </w:r>
            <w:r w:rsidR="00676B1F" w:rsidRPr="0061488A">
              <w:rPr>
                <w:rFonts w:ascii="Times New Roman" w:hAnsi="Times New Roman" w:cs="Times New Roman"/>
              </w:rPr>
              <w:t xml:space="preserve"> </w:t>
            </w:r>
            <w:r w:rsidR="00D06045" w:rsidRPr="0061488A">
              <w:rPr>
                <w:rFonts w:ascii="Times New Roman" w:hAnsi="Times New Roman" w:cs="Times New Roman"/>
              </w:rPr>
              <w:t>cover (</w:t>
            </w:r>
            <w:r w:rsidR="00676B1F" w:rsidRPr="0061488A">
              <w:rPr>
                <w:rFonts w:ascii="Times New Roman" w:hAnsi="Times New Roman" w:cs="Times New Roman"/>
              </w:rPr>
              <w:t xml:space="preserve">of their </w:t>
            </w:r>
            <w:r w:rsidR="0080346E" w:rsidRPr="0061488A">
              <w:rPr>
                <w:rFonts w:ascii="Times New Roman" w:hAnsi="Times New Roman" w:cs="Times New Roman"/>
              </w:rPr>
              <w:t>40</w:t>
            </w:r>
            <w:r w:rsidR="0074628E" w:rsidRPr="0061488A">
              <w:rPr>
                <w:rFonts w:ascii="Times New Roman" w:hAnsi="Times New Roman" w:cs="Times New Roman"/>
              </w:rPr>
              <w:t>,</w:t>
            </w:r>
            <w:r w:rsidR="0080346E" w:rsidRPr="0061488A">
              <w:rPr>
                <w:rFonts w:ascii="Times New Roman" w:hAnsi="Times New Roman" w:cs="Times New Roman"/>
              </w:rPr>
              <w:t xml:space="preserve">000 hectares </w:t>
            </w:r>
            <w:r w:rsidR="00D06045" w:rsidRPr="0061488A">
              <w:rPr>
                <w:rFonts w:ascii="Times New Roman" w:hAnsi="Times New Roman" w:cs="Times New Roman"/>
              </w:rPr>
              <w:t xml:space="preserve">of </w:t>
            </w:r>
            <w:r w:rsidRPr="0061488A">
              <w:rPr>
                <w:rFonts w:ascii="Times New Roman" w:hAnsi="Times New Roman" w:cs="Times New Roman"/>
              </w:rPr>
              <w:t>APL</w:t>
            </w:r>
            <w:r w:rsidR="00D06045" w:rsidRPr="0061488A">
              <w:rPr>
                <w:rFonts w:ascii="Times New Roman" w:hAnsi="Times New Roman" w:cs="Times New Roman"/>
              </w:rPr>
              <w:t>)</w:t>
            </w:r>
            <w:r w:rsidRPr="0061488A">
              <w:rPr>
                <w:rFonts w:ascii="Times New Roman" w:hAnsi="Times New Roman" w:cs="Times New Roman"/>
              </w:rPr>
              <w:t xml:space="preserve">, </w:t>
            </w:r>
            <w:r w:rsidR="00676B1F" w:rsidRPr="0061488A">
              <w:rPr>
                <w:rFonts w:ascii="Times New Roman" w:hAnsi="Times New Roman" w:cs="Times New Roman"/>
              </w:rPr>
              <w:t>und</w:t>
            </w:r>
            <w:r w:rsidRPr="0061488A">
              <w:rPr>
                <w:rFonts w:ascii="Times New Roman" w:hAnsi="Times New Roman" w:cs="Times New Roman"/>
              </w:rPr>
              <w:t>er the Ecosystem Essential Area (KEE</w:t>
            </w:r>
            <w:r w:rsidR="00676B1F" w:rsidRPr="0061488A">
              <w:rPr>
                <w:rFonts w:ascii="Times New Roman" w:hAnsi="Times New Roman" w:cs="Times New Roman"/>
              </w:rPr>
              <w:t>)</w:t>
            </w:r>
            <w:r w:rsidRPr="0061488A">
              <w:rPr>
                <w:rFonts w:ascii="Times New Roman" w:hAnsi="Times New Roman" w:cs="Times New Roman"/>
              </w:rPr>
              <w:t xml:space="preserve"> scheme</w:t>
            </w:r>
            <w:r w:rsidR="0080346E" w:rsidRPr="0061488A">
              <w:rPr>
                <w:rFonts w:ascii="Times New Roman" w:hAnsi="Times New Roman" w:cs="Times New Roman"/>
              </w:rPr>
              <w:t>.T</w:t>
            </w:r>
            <w:r w:rsidRPr="0061488A">
              <w:rPr>
                <w:rFonts w:ascii="Times New Roman" w:hAnsi="Times New Roman" w:cs="Times New Roman"/>
              </w:rPr>
              <w:t>he companies</w:t>
            </w:r>
            <w:r w:rsidR="00676B1F" w:rsidRPr="0061488A">
              <w:rPr>
                <w:rFonts w:ascii="Times New Roman" w:hAnsi="Times New Roman" w:cs="Times New Roman"/>
              </w:rPr>
              <w:t xml:space="preserve"> </w:t>
            </w:r>
            <w:r w:rsidR="00D06045" w:rsidRPr="0061488A">
              <w:rPr>
                <w:rFonts w:ascii="Times New Roman" w:hAnsi="Times New Roman" w:cs="Times New Roman"/>
              </w:rPr>
              <w:t>are further</w:t>
            </w:r>
            <w:r w:rsidRPr="0061488A">
              <w:rPr>
                <w:rFonts w:ascii="Times New Roman" w:hAnsi="Times New Roman" w:cs="Times New Roman"/>
              </w:rPr>
              <w:t xml:space="preserve"> preparing</w:t>
            </w:r>
            <w:r w:rsidR="0080346E" w:rsidRPr="0061488A">
              <w:rPr>
                <w:rFonts w:ascii="Times New Roman" w:hAnsi="Times New Roman" w:cs="Times New Roman"/>
              </w:rPr>
              <w:t xml:space="preserve"> </w:t>
            </w:r>
            <w:r w:rsidR="00676B1F" w:rsidRPr="0061488A">
              <w:rPr>
                <w:rFonts w:ascii="Times New Roman" w:hAnsi="Times New Roman" w:cs="Times New Roman"/>
              </w:rPr>
              <w:t>VC</w:t>
            </w:r>
            <w:r w:rsidR="00701E5F" w:rsidRPr="0061488A">
              <w:rPr>
                <w:rFonts w:ascii="Times New Roman" w:hAnsi="Times New Roman" w:cs="Times New Roman"/>
              </w:rPr>
              <w:t>S carbon</w:t>
            </w:r>
            <w:r w:rsidR="00C05FF9" w:rsidRPr="0061488A">
              <w:rPr>
                <w:rFonts w:ascii="Times New Roman" w:hAnsi="Times New Roman" w:cs="Times New Roman"/>
              </w:rPr>
              <w:t xml:space="preserve"> assessment</w:t>
            </w:r>
            <w:r w:rsidR="00701E5F" w:rsidRPr="0061488A">
              <w:rPr>
                <w:rFonts w:ascii="Times New Roman" w:hAnsi="Times New Roman" w:cs="Times New Roman"/>
              </w:rPr>
              <w:t xml:space="preserve"> for their </w:t>
            </w:r>
            <w:r w:rsidR="00AF0415" w:rsidRPr="0061488A">
              <w:rPr>
                <w:rFonts w:ascii="Times New Roman" w:hAnsi="Times New Roman" w:cs="Times New Roman"/>
              </w:rPr>
              <w:t>protected area</w:t>
            </w:r>
            <w:r w:rsidR="00BF5137" w:rsidRPr="0061488A">
              <w:rPr>
                <w:rFonts w:ascii="Times New Roman" w:hAnsi="Times New Roman" w:cs="Times New Roman"/>
              </w:rPr>
              <w:t xml:space="preserve">. </w:t>
            </w:r>
            <w:r w:rsidR="00C05FF9" w:rsidRPr="0061488A">
              <w:rPr>
                <w:rFonts w:ascii="Times New Roman" w:hAnsi="Times New Roman" w:cs="Times New Roman"/>
              </w:rPr>
              <w:t>In terms of investment, the provincial g</w:t>
            </w:r>
            <w:r w:rsidR="0093159E" w:rsidRPr="0061488A">
              <w:rPr>
                <w:rFonts w:ascii="Times New Roman" w:hAnsi="Times New Roman" w:cs="Times New Roman"/>
              </w:rPr>
              <w:t xml:space="preserve">overnment </w:t>
            </w:r>
            <w:r w:rsidR="00C05FF9" w:rsidRPr="0061488A">
              <w:rPr>
                <w:rFonts w:ascii="Times New Roman" w:hAnsi="Times New Roman" w:cs="Times New Roman"/>
              </w:rPr>
              <w:t>is collaborating with YIDH and</w:t>
            </w:r>
            <w:r w:rsidR="00676B1F" w:rsidRPr="0061488A">
              <w:rPr>
                <w:rFonts w:ascii="Times New Roman" w:hAnsi="Times New Roman" w:cs="Times New Roman"/>
              </w:rPr>
              <w:t xml:space="preserve"> </w:t>
            </w:r>
            <w:r w:rsidR="00C05FF9" w:rsidRPr="0061488A">
              <w:rPr>
                <w:rFonts w:ascii="Times New Roman" w:hAnsi="Times New Roman" w:cs="Times New Roman"/>
              </w:rPr>
              <w:t xml:space="preserve">the </w:t>
            </w:r>
            <w:r w:rsidR="00676B1F" w:rsidRPr="0061488A">
              <w:rPr>
                <w:rFonts w:ascii="Times New Roman" w:hAnsi="Times New Roman" w:cs="Times New Roman"/>
              </w:rPr>
              <w:t xml:space="preserve">private </w:t>
            </w:r>
            <w:r w:rsidR="00C05FF9" w:rsidRPr="0061488A">
              <w:rPr>
                <w:rFonts w:ascii="Times New Roman" w:hAnsi="Times New Roman" w:cs="Times New Roman"/>
              </w:rPr>
              <w:t xml:space="preserve">sector to explore access to </w:t>
            </w:r>
            <w:r w:rsidR="00676B1F" w:rsidRPr="0061488A">
              <w:rPr>
                <w:rFonts w:ascii="Times New Roman" w:hAnsi="Times New Roman" w:cs="Times New Roman"/>
              </w:rPr>
              <w:t xml:space="preserve">green investment </w:t>
            </w:r>
            <w:r w:rsidR="00C05FF9" w:rsidRPr="0061488A">
              <w:rPr>
                <w:rFonts w:ascii="Times New Roman" w:hAnsi="Times New Roman" w:cs="Times New Roman"/>
              </w:rPr>
              <w:t xml:space="preserve">from </w:t>
            </w:r>
            <w:r w:rsidR="0093159E" w:rsidRPr="0061488A">
              <w:rPr>
                <w:rFonts w:ascii="Times New Roman" w:hAnsi="Times New Roman" w:cs="Times New Roman"/>
              </w:rPr>
              <w:t xml:space="preserve">e.g. </w:t>
            </w:r>
            <w:r w:rsidR="00C05FF9" w:rsidRPr="0061488A">
              <w:rPr>
                <w:rFonts w:ascii="Times New Roman" w:hAnsi="Times New Roman" w:cs="Times New Roman"/>
              </w:rPr>
              <w:t>AndGreen</w:t>
            </w:r>
            <w:r w:rsidR="00676B1F" w:rsidRPr="0061488A">
              <w:rPr>
                <w:rFonts w:ascii="Times New Roman" w:hAnsi="Times New Roman" w:cs="Times New Roman"/>
              </w:rPr>
              <w:t>.Fund.</w:t>
            </w:r>
            <w:r w:rsidR="00F3611A" w:rsidRPr="0061488A">
              <w:rPr>
                <w:rFonts w:ascii="Times New Roman" w:hAnsi="Times New Roman" w:cs="Times New Roman"/>
              </w:rPr>
              <w:t xml:space="preserve"> </w:t>
            </w:r>
            <w:r w:rsidR="00C05FF9" w:rsidRPr="0061488A">
              <w:rPr>
                <w:rFonts w:ascii="Times New Roman" w:hAnsi="Times New Roman" w:cs="Times New Roman"/>
              </w:rPr>
              <w:t xml:space="preserve">For a specific </w:t>
            </w:r>
            <w:r w:rsidR="0074628E" w:rsidRPr="0061488A">
              <w:rPr>
                <w:rFonts w:ascii="Times New Roman" w:hAnsi="Times New Roman" w:cs="Times New Roman"/>
              </w:rPr>
              <w:t xml:space="preserve">palm oil </w:t>
            </w:r>
            <w:r w:rsidR="00C05FF9" w:rsidRPr="0061488A">
              <w:rPr>
                <w:rFonts w:ascii="Times New Roman" w:hAnsi="Times New Roman" w:cs="Times New Roman"/>
              </w:rPr>
              <w:t>sector</w:t>
            </w:r>
            <w:r w:rsidR="00F3611A" w:rsidRPr="0061488A">
              <w:rPr>
                <w:rFonts w:ascii="Times New Roman" w:hAnsi="Times New Roman" w:cs="Times New Roman"/>
              </w:rPr>
              <w:t xml:space="preserve">, </w:t>
            </w:r>
            <w:r w:rsidR="00C05FF9" w:rsidRPr="0061488A">
              <w:rPr>
                <w:rFonts w:ascii="Times New Roman" w:hAnsi="Times New Roman" w:cs="Times New Roman"/>
              </w:rPr>
              <w:t>the provincial g</w:t>
            </w:r>
            <w:r w:rsidRPr="0061488A">
              <w:rPr>
                <w:rFonts w:ascii="Times New Roman" w:hAnsi="Times New Roman" w:cs="Times New Roman"/>
              </w:rPr>
              <w:t>overnment support</w:t>
            </w:r>
            <w:r w:rsidR="0074628E" w:rsidRPr="0061488A">
              <w:rPr>
                <w:rFonts w:ascii="Times New Roman" w:hAnsi="Times New Roman" w:cs="Times New Roman"/>
              </w:rPr>
              <w:t>s</w:t>
            </w:r>
            <w:r w:rsidR="0093159E" w:rsidRPr="0061488A">
              <w:rPr>
                <w:rFonts w:ascii="Times New Roman" w:hAnsi="Times New Roman" w:cs="Times New Roman"/>
              </w:rPr>
              <w:t xml:space="preserve"> </w:t>
            </w:r>
            <w:r w:rsidR="00676B1F" w:rsidRPr="0061488A">
              <w:rPr>
                <w:rFonts w:ascii="Times New Roman" w:hAnsi="Times New Roman" w:cs="Times New Roman"/>
              </w:rPr>
              <w:t>Sustain</w:t>
            </w:r>
            <w:r w:rsidR="00E942E9" w:rsidRPr="0061488A">
              <w:rPr>
                <w:rFonts w:ascii="Times New Roman" w:hAnsi="Times New Roman" w:cs="Times New Roman"/>
              </w:rPr>
              <w:t>able Palm Oil Forum Platform (FO</w:t>
            </w:r>
            <w:r w:rsidR="00676B1F" w:rsidRPr="0061488A">
              <w:rPr>
                <w:rFonts w:ascii="Times New Roman" w:hAnsi="Times New Roman" w:cs="Times New Roman"/>
              </w:rPr>
              <w:t xml:space="preserve">KSBI) since they </w:t>
            </w:r>
            <w:r w:rsidR="0074628E" w:rsidRPr="0061488A">
              <w:rPr>
                <w:rFonts w:ascii="Times New Roman" w:hAnsi="Times New Roman" w:cs="Times New Roman"/>
              </w:rPr>
              <w:t xml:space="preserve">are </w:t>
            </w:r>
            <w:r w:rsidR="00676B1F" w:rsidRPr="0061488A">
              <w:rPr>
                <w:rFonts w:ascii="Times New Roman" w:hAnsi="Times New Roman" w:cs="Times New Roman"/>
              </w:rPr>
              <w:t>plan</w:t>
            </w:r>
            <w:r w:rsidR="0074628E" w:rsidRPr="0061488A">
              <w:rPr>
                <w:rFonts w:ascii="Times New Roman" w:hAnsi="Times New Roman" w:cs="Times New Roman"/>
              </w:rPr>
              <w:t>ning</w:t>
            </w:r>
            <w:r w:rsidR="00676B1F" w:rsidRPr="0061488A">
              <w:rPr>
                <w:rFonts w:ascii="Times New Roman" w:hAnsi="Times New Roman" w:cs="Times New Roman"/>
              </w:rPr>
              <w:t xml:space="preserve"> to have a jurisdictional approach pilot in West Kalimantan Province.</w:t>
            </w:r>
            <w:r w:rsidR="00235F5D" w:rsidRPr="0061488A">
              <w:rPr>
                <w:rFonts w:ascii="Times New Roman" w:hAnsi="Times New Roman" w:cs="Times New Roman"/>
              </w:rPr>
              <w:t xml:space="preserve"> </w:t>
            </w:r>
            <w:r w:rsidR="006D2948" w:rsidRPr="0061488A">
              <w:rPr>
                <w:rFonts w:ascii="Times New Roman" w:hAnsi="Times New Roman" w:cs="Times New Roman"/>
              </w:rPr>
              <w:t xml:space="preserve">At the national level, </w:t>
            </w:r>
            <w:r w:rsidR="00726FF7" w:rsidRPr="0061488A">
              <w:rPr>
                <w:rFonts w:ascii="Times New Roman" w:hAnsi="Times New Roman" w:cs="Times New Roman"/>
              </w:rPr>
              <w:t xml:space="preserve">for years, </w:t>
            </w:r>
            <w:r w:rsidR="009C3E82" w:rsidRPr="0061488A">
              <w:rPr>
                <w:rFonts w:ascii="Times New Roman" w:hAnsi="Times New Roman" w:cs="Times New Roman"/>
              </w:rPr>
              <w:t>YIDH</w:t>
            </w:r>
            <w:r w:rsidR="006D2948" w:rsidRPr="0061488A">
              <w:rPr>
                <w:rFonts w:ascii="Times New Roman" w:hAnsi="Times New Roman" w:cs="Times New Roman"/>
              </w:rPr>
              <w:t xml:space="preserve"> </w:t>
            </w:r>
            <w:r w:rsidR="005054FA" w:rsidRPr="0061488A">
              <w:rPr>
                <w:rFonts w:ascii="Times New Roman" w:hAnsi="Times New Roman" w:cs="Times New Roman"/>
              </w:rPr>
              <w:t>has</w:t>
            </w:r>
            <w:r w:rsidR="006D2948" w:rsidRPr="0061488A">
              <w:rPr>
                <w:rFonts w:ascii="Times New Roman" w:hAnsi="Times New Roman" w:cs="Times New Roman"/>
              </w:rPr>
              <w:t xml:space="preserve"> been actively supporting the national action plan</w:t>
            </w:r>
            <w:r w:rsidR="00726FF7" w:rsidRPr="0061488A">
              <w:rPr>
                <w:rFonts w:ascii="Times New Roman" w:hAnsi="Times New Roman" w:cs="Times New Roman"/>
              </w:rPr>
              <w:t xml:space="preserve"> development</w:t>
            </w:r>
            <w:r w:rsidR="006D2948" w:rsidRPr="0061488A">
              <w:rPr>
                <w:rFonts w:ascii="Times New Roman" w:hAnsi="Times New Roman" w:cs="Times New Roman"/>
              </w:rPr>
              <w:t xml:space="preserve"> for sustainable palm oil, in particular highlighting HCV and HCS protection as its main component. At West Kalimantan Province level, YIDH is </w:t>
            </w:r>
            <w:r w:rsidR="00EA0D11" w:rsidRPr="0061488A">
              <w:rPr>
                <w:rFonts w:ascii="Times New Roman" w:hAnsi="Times New Roman" w:cs="Times New Roman"/>
              </w:rPr>
              <w:t xml:space="preserve">a </w:t>
            </w:r>
            <w:r w:rsidR="006D2948" w:rsidRPr="0061488A">
              <w:rPr>
                <w:rFonts w:ascii="Times New Roman" w:hAnsi="Times New Roman" w:cs="Times New Roman"/>
              </w:rPr>
              <w:t>member of the FOKSBI provincial task force</w:t>
            </w:r>
            <w:r w:rsidR="00456560" w:rsidRPr="0061488A">
              <w:rPr>
                <w:rFonts w:ascii="Times New Roman" w:hAnsi="Times New Roman" w:cs="Times New Roman"/>
              </w:rPr>
              <w:t xml:space="preserve"> and </w:t>
            </w:r>
            <w:r w:rsidR="00EA0D11" w:rsidRPr="0061488A">
              <w:rPr>
                <w:rFonts w:ascii="Times New Roman" w:hAnsi="Times New Roman" w:cs="Times New Roman"/>
              </w:rPr>
              <w:t>supported the lobbying to the Provincial level to issue Decision Letter (SK) from the Governor to establish the task force. With strong experience in</w:t>
            </w:r>
            <w:r w:rsidR="00AD5734" w:rsidRPr="0061488A">
              <w:rPr>
                <w:rFonts w:ascii="Times New Roman" w:hAnsi="Times New Roman" w:cs="Times New Roman"/>
              </w:rPr>
              <w:t xml:space="preserve"> landscape approach and</w:t>
            </w:r>
            <w:r w:rsidR="00EA0D11" w:rsidRPr="0061488A">
              <w:rPr>
                <w:rFonts w:ascii="Times New Roman" w:hAnsi="Times New Roman" w:cs="Times New Roman"/>
              </w:rPr>
              <w:t xml:space="preserve"> private sectors engagement </w:t>
            </w:r>
            <w:r w:rsidR="00726FF7" w:rsidRPr="0061488A">
              <w:rPr>
                <w:rFonts w:ascii="Times New Roman" w:hAnsi="Times New Roman" w:cs="Times New Roman"/>
              </w:rPr>
              <w:t xml:space="preserve">e.g in </w:t>
            </w:r>
            <w:r w:rsidR="00AD5734" w:rsidRPr="0061488A">
              <w:rPr>
                <w:rFonts w:ascii="Times New Roman" w:hAnsi="Times New Roman" w:cs="Times New Roman"/>
              </w:rPr>
              <w:t xml:space="preserve">contracted projects and in </w:t>
            </w:r>
            <w:r w:rsidR="00726FF7" w:rsidRPr="0061488A">
              <w:rPr>
                <w:rFonts w:ascii="Times New Roman" w:hAnsi="Times New Roman" w:cs="Times New Roman"/>
              </w:rPr>
              <w:t>PIS Agro platform</w:t>
            </w:r>
            <w:r w:rsidR="00EA0D11" w:rsidRPr="0061488A">
              <w:rPr>
                <w:rFonts w:ascii="Times New Roman" w:hAnsi="Times New Roman" w:cs="Times New Roman"/>
              </w:rPr>
              <w:t xml:space="preserve">, we also </w:t>
            </w:r>
            <w:r w:rsidR="00456560" w:rsidRPr="0061488A">
              <w:rPr>
                <w:rFonts w:ascii="Times New Roman" w:hAnsi="Times New Roman" w:cs="Times New Roman"/>
              </w:rPr>
              <w:t xml:space="preserve">requested by the task force to help them </w:t>
            </w:r>
            <w:r w:rsidR="00EA0D11" w:rsidRPr="0061488A">
              <w:rPr>
                <w:rFonts w:ascii="Times New Roman" w:hAnsi="Times New Roman" w:cs="Times New Roman"/>
              </w:rPr>
              <w:t xml:space="preserve">mainstream </w:t>
            </w:r>
            <w:r w:rsidR="00456560" w:rsidRPr="0061488A">
              <w:rPr>
                <w:rFonts w:ascii="Times New Roman" w:hAnsi="Times New Roman" w:cs="Times New Roman"/>
              </w:rPr>
              <w:t>FOKSBI</w:t>
            </w:r>
            <w:r w:rsidR="00EA0D11" w:rsidRPr="0061488A">
              <w:rPr>
                <w:rFonts w:ascii="Times New Roman" w:hAnsi="Times New Roman" w:cs="Times New Roman"/>
              </w:rPr>
              <w:t xml:space="preserve"> agenda to the </w:t>
            </w:r>
            <w:r w:rsidR="00456560" w:rsidRPr="0061488A">
              <w:rPr>
                <w:rFonts w:ascii="Times New Roman" w:hAnsi="Times New Roman" w:cs="Times New Roman"/>
              </w:rPr>
              <w:t>Palm Oil Companies</w:t>
            </w:r>
            <w:r w:rsidR="00EA0D11" w:rsidRPr="0061488A">
              <w:rPr>
                <w:rFonts w:ascii="Times New Roman" w:hAnsi="Times New Roman" w:cs="Times New Roman"/>
              </w:rPr>
              <w:t xml:space="preserve"> in order to get their buy in and scaling the implementation at landscape level. </w:t>
            </w:r>
            <w:r w:rsidR="0074628E" w:rsidRPr="0061488A">
              <w:rPr>
                <w:rFonts w:ascii="Times New Roman" w:hAnsi="Times New Roman" w:cs="Times New Roman"/>
              </w:rPr>
              <w:t>With the above approaches</w:t>
            </w:r>
            <w:r w:rsidRPr="0061488A">
              <w:rPr>
                <w:rFonts w:ascii="Times New Roman" w:hAnsi="Times New Roman" w:cs="Times New Roman"/>
              </w:rPr>
              <w:t xml:space="preserve">, the </w:t>
            </w:r>
            <w:r w:rsidR="0074628E" w:rsidRPr="0061488A">
              <w:rPr>
                <w:rFonts w:ascii="Times New Roman" w:hAnsi="Times New Roman" w:cs="Times New Roman"/>
              </w:rPr>
              <w:t xml:space="preserve">provincial government </w:t>
            </w:r>
            <w:r w:rsidRPr="0061488A">
              <w:rPr>
                <w:rFonts w:ascii="Times New Roman" w:hAnsi="Times New Roman" w:cs="Times New Roman"/>
              </w:rPr>
              <w:t xml:space="preserve">could encourage </w:t>
            </w:r>
            <w:r w:rsidR="0074628E" w:rsidRPr="0061488A">
              <w:rPr>
                <w:rFonts w:ascii="Times New Roman" w:hAnsi="Times New Roman" w:cs="Times New Roman"/>
              </w:rPr>
              <w:t xml:space="preserve">key </w:t>
            </w:r>
            <w:r w:rsidRPr="0061488A">
              <w:rPr>
                <w:rFonts w:ascii="Times New Roman" w:hAnsi="Times New Roman" w:cs="Times New Roman"/>
              </w:rPr>
              <w:t xml:space="preserve">supply chain players to play </w:t>
            </w:r>
            <w:r w:rsidR="0074628E" w:rsidRPr="0061488A">
              <w:rPr>
                <w:rFonts w:ascii="Times New Roman" w:hAnsi="Times New Roman" w:cs="Times New Roman"/>
              </w:rPr>
              <w:t xml:space="preserve">significant </w:t>
            </w:r>
            <w:r w:rsidRPr="0061488A">
              <w:rPr>
                <w:rFonts w:ascii="Times New Roman" w:hAnsi="Times New Roman" w:cs="Times New Roman"/>
              </w:rPr>
              <w:t xml:space="preserve">roles in avoiding deforestation </w:t>
            </w:r>
            <w:r w:rsidR="0074628E" w:rsidRPr="0061488A">
              <w:rPr>
                <w:rFonts w:ascii="Times New Roman" w:hAnsi="Times New Roman" w:cs="Times New Roman"/>
              </w:rPr>
              <w:t>as well as</w:t>
            </w:r>
            <w:r w:rsidRPr="0061488A">
              <w:rPr>
                <w:rFonts w:ascii="Times New Roman" w:hAnsi="Times New Roman" w:cs="Times New Roman"/>
              </w:rPr>
              <w:t xml:space="preserve"> ensure the investment made by the </w:t>
            </w:r>
            <w:r w:rsidR="0074628E" w:rsidRPr="0061488A">
              <w:rPr>
                <w:rFonts w:ascii="Times New Roman" w:hAnsi="Times New Roman" w:cs="Times New Roman"/>
              </w:rPr>
              <w:t xml:space="preserve">private sector to </w:t>
            </w:r>
            <w:r w:rsidRPr="0061488A">
              <w:rPr>
                <w:rFonts w:ascii="Times New Roman" w:hAnsi="Times New Roman" w:cs="Times New Roman"/>
              </w:rPr>
              <w:t>be sustainable.</w:t>
            </w:r>
          </w:p>
        </w:tc>
      </w:tr>
      <w:tr w:rsidR="00684998" w:rsidRPr="00C80F34" w14:paraId="6391E2FF" w14:textId="77777777" w:rsidTr="00C26272">
        <w:tc>
          <w:tcPr>
            <w:tcW w:w="2127" w:type="dxa"/>
          </w:tcPr>
          <w:p w14:paraId="7A6242C6" w14:textId="77777777" w:rsidR="00684998" w:rsidRPr="0061488A" w:rsidRDefault="00684998" w:rsidP="00684998">
            <w:pPr>
              <w:pStyle w:val="ListParagraph"/>
              <w:ind w:left="0"/>
              <w:rPr>
                <w:rFonts w:ascii="Times New Roman" w:hAnsi="Times New Roman" w:cs="Times New Roman"/>
              </w:rPr>
            </w:pPr>
            <w:r w:rsidRPr="0061488A">
              <w:rPr>
                <w:rFonts w:ascii="Times New Roman" w:hAnsi="Times New Roman" w:cs="Times New Roman"/>
              </w:rPr>
              <w:t>Are there any commitments and/or initiatives with Indigenous Peoples and/or Local Communities (IP/LC)?</w:t>
            </w:r>
          </w:p>
        </w:tc>
        <w:tc>
          <w:tcPr>
            <w:tcW w:w="8363" w:type="dxa"/>
          </w:tcPr>
          <w:p w14:paraId="26A8AED3" w14:textId="17773C95" w:rsidR="00684998" w:rsidRPr="0061488A" w:rsidRDefault="00684998" w:rsidP="00684998">
            <w:pPr>
              <w:pStyle w:val="ListParagraph"/>
              <w:ind w:left="0"/>
              <w:jc w:val="both"/>
              <w:rPr>
                <w:rFonts w:ascii="Times New Roman" w:hAnsi="Times New Roman" w:cs="Times New Roman"/>
              </w:rPr>
            </w:pPr>
            <w:r w:rsidRPr="0061488A">
              <w:rPr>
                <w:rFonts w:ascii="Times New Roman" w:hAnsi="Times New Roman" w:cs="Times New Roman"/>
              </w:rPr>
              <w:t xml:space="preserve">Yes, there are. </w:t>
            </w:r>
            <w:r w:rsidR="00446B36" w:rsidRPr="0061488A">
              <w:rPr>
                <w:rFonts w:ascii="Times New Roman" w:hAnsi="Times New Roman" w:cs="Times New Roman"/>
              </w:rPr>
              <w:t>Some</w:t>
            </w:r>
            <w:r w:rsidR="00813F5D" w:rsidRPr="0061488A">
              <w:rPr>
                <w:rFonts w:ascii="Times New Roman" w:hAnsi="Times New Roman" w:cs="Times New Roman"/>
              </w:rPr>
              <w:t xml:space="preserve"> </w:t>
            </w:r>
            <w:r w:rsidR="00ED34F1" w:rsidRPr="0061488A">
              <w:rPr>
                <w:rFonts w:ascii="Times New Roman" w:hAnsi="Times New Roman" w:cs="Times New Roman"/>
              </w:rPr>
              <w:t xml:space="preserve">IP/LC </w:t>
            </w:r>
            <w:r w:rsidR="00813F5D" w:rsidRPr="0061488A">
              <w:rPr>
                <w:rFonts w:ascii="Times New Roman" w:hAnsi="Times New Roman" w:cs="Times New Roman"/>
              </w:rPr>
              <w:t>c</w:t>
            </w:r>
            <w:r w:rsidRPr="0061488A">
              <w:rPr>
                <w:rFonts w:ascii="Times New Roman" w:hAnsi="Times New Roman" w:cs="Times New Roman"/>
              </w:rPr>
              <w:t xml:space="preserve">ommitments and initiatives that have been </w:t>
            </w:r>
            <w:r w:rsidR="00B144CD" w:rsidRPr="0061488A">
              <w:rPr>
                <w:rFonts w:ascii="Times New Roman" w:hAnsi="Times New Roman" w:cs="Times New Roman"/>
              </w:rPr>
              <w:t xml:space="preserve">incorporated </w:t>
            </w:r>
            <w:r w:rsidR="00446B36" w:rsidRPr="0061488A">
              <w:rPr>
                <w:rFonts w:ascii="Times New Roman" w:hAnsi="Times New Roman" w:cs="Times New Roman"/>
              </w:rPr>
              <w:t>are</w:t>
            </w:r>
            <w:r w:rsidRPr="0061488A">
              <w:rPr>
                <w:rFonts w:ascii="Times New Roman" w:hAnsi="Times New Roman" w:cs="Times New Roman"/>
              </w:rPr>
              <w:t xml:space="preserve">: </w:t>
            </w:r>
          </w:p>
          <w:p w14:paraId="3047A919" w14:textId="2A819951" w:rsidR="00684998" w:rsidRPr="0061488A" w:rsidRDefault="00B144CD" w:rsidP="00776872">
            <w:pPr>
              <w:pStyle w:val="ListParagraph"/>
              <w:numPr>
                <w:ilvl w:val="0"/>
                <w:numId w:val="4"/>
              </w:numPr>
              <w:ind w:left="360"/>
              <w:jc w:val="both"/>
              <w:rPr>
                <w:rFonts w:ascii="Times New Roman" w:hAnsi="Times New Roman" w:cs="Times New Roman"/>
              </w:rPr>
            </w:pPr>
            <w:r w:rsidRPr="0061488A">
              <w:rPr>
                <w:rFonts w:ascii="Times New Roman" w:hAnsi="Times New Roman" w:cs="Times New Roman"/>
              </w:rPr>
              <w:t xml:space="preserve">Sub-national </w:t>
            </w:r>
            <w:r w:rsidR="00446B36" w:rsidRPr="0061488A">
              <w:rPr>
                <w:rFonts w:ascii="Times New Roman" w:hAnsi="Times New Roman" w:cs="Times New Roman"/>
              </w:rPr>
              <w:t>target land</w:t>
            </w:r>
            <w:r w:rsidR="00684998" w:rsidRPr="0061488A">
              <w:rPr>
                <w:rFonts w:ascii="Times New Roman" w:hAnsi="Times New Roman" w:cs="Times New Roman"/>
              </w:rPr>
              <w:t xml:space="preserve"> for </w:t>
            </w:r>
            <w:r w:rsidRPr="0061488A">
              <w:rPr>
                <w:rFonts w:ascii="Times New Roman" w:hAnsi="Times New Roman" w:cs="Times New Roman"/>
              </w:rPr>
              <w:t xml:space="preserve">social forestry </w:t>
            </w:r>
            <w:r w:rsidR="00684998" w:rsidRPr="0061488A">
              <w:rPr>
                <w:rFonts w:ascii="Times New Roman" w:hAnsi="Times New Roman" w:cs="Times New Roman"/>
              </w:rPr>
              <w:t>(community based forest management) over ±1.5 mi</w:t>
            </w:r>
            <w:r w:rsidR="00446B36" w:rsidRPr="0061488A">
              <w:rPr>
                <w:rFonts w:ascii="Times New Roman" w:hAnsi="Times New Roman" w:cs="Times New Roman"/>
              </w:rPr>
              <w:t>llion hectares of state forest</w:t>
            </w:r>
            <w:r w:rsidRPr="0061488A">
              <w:rPr>
                <w:rFonts w:ascii="Times New Roman" w:hAnsi="Times New Roman" w:cs="Times New Roman"/>
              </w:rPr>
              <w:t>s</w:t>
            </w:r>
            <w:r w:rsidR="00446B36" w:rsidRPr="0061488A">
              <w:rPr>
                <w:rFonts w:ascii="Times New Roman" w:hAnsi="Times New Roman" w:cs="Times New Roman"/>
              </w:rPr>
              <w:t>.</w:t>
            </w:r>
          </w:p>
          <w:p w14:paraId="482EF2C2" w14:textId="4AFD36F2" w:rsidR="00446B36" w:rsidRPr="0061488A" w:rsidRDefault="00446B36" w:rsidP="00776872">
            <w:pPr>
              <w:pStyle w:val="ListParagraph"/>
              <w:numPr>
                <w:ilvl w:val="0"/>
                <w:numId w:val="4"/>
              </w:numPr>
              <w:ind w:left="360"/>
              <w:jc w:val="both"/>
              <w:rPr>
                <w:rFonts w:ascii="Times New Roman" w:hAnsi="Times New Roman" w:cs="Times New Roman"/>
              </w:rPr>
            </w:pPr>
            <w:r w:rsidRPr="0061488A">
              <w:rPr>
                <w:rFonts w:ascii="Times New Roman" w:hAnsi="Times New Roman" w:cs="Times New Roman"/>
              </w:rPr>
              <w:t xml:space="preserve">Village </w:t>
            </w:r>
            <w:r w:rsidR="00B144CD" w:rsidRPr="0061488A">
              <w:rPr>
                <w:rFonts w:ascii="Times New Roman" w:hAnsi="Times New Roman" w:cs="Times New Roman"/>
              </w:rPr>
              <w:t xml:space="preserve">forest </w:t>
            </w:r>
            <w:r w:rsidRPr="0061488A">
              <w:rPr>
                <w:rFonts w:ascii="Times New Roman" w:hAnsi="Times New Roman" w:cs="Times New Roman"/>
              </w:rPr>
              <w:t xml:space="preserve">at landscape level </w:t>
            </w:r>
            <w:r w:rsidR="00B144CD" w:rsidRPr="0061488A">
              <w:rPr>
                <w:rFonts w:ascii="Times New Roman" w:hAnsi="Times New Roman" w:cs="Times New Roman"/>
              </w:rPr>
              <w:t xml:space="preserve">such as </w:t>
            </w:r>
            <w:r w:rsidRPr="0061488A">
              <w:rPr>
                <w:rFonts w:ascii="Times New Roman" w:hAnsi="Times New Roman" w:cs="Times New Roman"/>
              </w:rPr>
              <w:t>in Padang Tikar island</w:t>
            </w:r>
            <w:r w:rsidR="00B144CD" w:rsidRPr="0061488A">
              <w:rPr>
                <w:rFonts w:ascii="Times New Roman" w:hAnsi="Times New Roman" w:cs="Times New Roman"/>
              </w:rPr>
              <w:t xml:space="preserve"> (Kubu Raya district)</w:t>
            </w:r>
            <w:r w:rsidRPr="0061488A">
              <w:rPr>
                <w:rFonts w:ascii="Times New Roman" w:hAnsi="Times New Roman" w:cs="Times New Roman"/>
              </w:rPr>
              <w:t xml:space="preserve"> where 10 villages collaborate to produce non timber forest products </w:t>
            </w:r>
            <w:r w:rsidR="00421534" w:rsidRPr="0061488A">
              <w:rPr>
                <w:rFonts w:ascii="Times New Roman" w:hAnsi="Times New Roman" w:cs="Times New Roman"/>
              </w:rPr>
              <w:t xml:space="preserve">while </w:t>
            </w:r>
            <w:r w:rsidRPr="0061488A">
              <w:rPr>
                <w:rFonts w:ascii="Times New Roman" w:hAnsi="Times New Roman" w:cs="Times New Roman"/>
              </w:rPr>
              <w:t>protect forest</w:t>
            </w:r>
            <w:r w:rsidR="00B144CD" w:rsidRPr="0061488A">
              <w:rPr>
                <w:rFonts w:ascii="Times New Roman" w:hAnsi="Times New Roman" w:cs="Times New Roman"/>
              </w:rPr>
              <w:t>s.</w:t>
            </w:r>
          </w:p>
          <w:p w14:paraId="4C23CBAD" w14:textId="64C888CC" w:rsidR="00640EFA" w:rsidRPr="0061488A" w:rsidRDefault="00B144CD" w:rsidP="00776872">
            <w:pPr>
              <w:pStyle w:val="ListParagraph"/>
              <w:numPr>
                <w:ilvl w:val="0"/>
                <w:numId w:val="4"/>
              </w:numPr>
              <w:ind w:left="360"/>
              <w:jc w:val="both"/>
              <w:rPr>
                <w:rFonts w:ascii="Times New Roman" w:hAnsi="Times New Roman" w:cs="Times New Roman"/>
              </w:rPr>
            </w:pPr>
            <w:r w:rsidRPr="0061488A">
              <w:rPr>
                <w:rFonts w:ascii="Times New Roman" w:hAnsi="Times New Roman" w:cs="Times New Roman"/>
              </w:rPr>
              <w:t>A</w:t>
            </w:r>
            <w:r w:rsidR="00684998" w:rsidRPr="0061488A">
              <w:rPr>
                <w:rFonts w:ascii="Times New Roman" w:hAnsi="Times New Roman" w:cs="Times New Roman"/>
              </w:rPr>
              <w:t xml:space="preserve"> </w:t>
            </w:r>
            <w:r w:rsidR="00B32499" w:rsidRPr="0061488A">
              <w:rPr>
                <w:rFonts w:ascii="Times New Roman" w:hAnsi="Times New Roman" w:cs="Times New Roman"/>
              </w:rPr>
              <w:t xml:space="preserve">forest </w:t>
            </w:r>
            <w:r w:rsidR="00446B36" w:rsidRPr="0061488A">
              <w:rPr>
                <w:rFonts w:ascii="Times New Roman" w:hAnsi="Times New Roman" w:cs="Times New Roman"/>
              </w:rPr>
              <w:t xml:space="preserve">partnership between </w:t>
            </w:r>
            <w:r w:rsidR="00684998" w:rsidRPr="0061488A">
              <w:rPr>
                <w:rFonts w:ascii="Times New Roman" w:hAnsi="Times New Roman" w:cs="Times New Roman"/>
              </w:rPr>
              <w:t xml:space="preserve">community and private sector. </w:t>
            </w:r>
            <w:r w:rsidRPr="0061488A">
              <w:rPr>
                <w:rFonts w:ascii="Times New Roman" w:hAnsi="Times New Roman" w:cs="Times New Roman"/>
              </w:rPr>
              <w:t xml:space="preserve">This </w:t>
            </w:r>
            <w:r w:rsidR="00684998" w:rsidRPr="0061488A">
              <w:rPr>
                <w:rFonts w:ascii="Times New Roman" w:hAnsi="Times New Roman" w:cs="Times New Roman"/>
              </w:rPr>
              <w:t xml:space="preserve">partnership </w:t>
            </w:r>
            <w:r w:rsidRPr="0061488A">
              <w:rPr>
                <w:rFonts w:ascii="Times New Roman" w:hAnsi="Times New Roman" w:cs="Times New Roman"/>
              </w:rPr>
              <w:t>is being developed</w:t>
            </w:r>
            <w:r w:rsidR="00DF2F8E" w:rsidRPr="0061488A">
              <w:rPr>
                <w:rFonts w:ascii="Times New Roman" w:hAnsi="Times New Roman" w:cs="Times New Roman"/>
              </w:rPr>
              <w:t xml:space="preserve"> between </w:t>
            </w:r>
            <w:r w:rsidR="005054FA" w:rsidRPr="0061488A">
              <w:rPr>
                <w:rFonts w:ascii="Times New Roman" w:hAnsi="Times New Roman" w:cs="Times New Roman"/>
              </w:rPr>
              <w:t>Asia Pulp and Paper concessions, PT ATP and PT DTK,</w:t>
            </w:r>
            <w:r w:rsidR="000D044E" w:rsidRPr="0061488A">
              <w:rPr>
                <w:rFonts w:ascii="Times New Roman" w:hAnsi="Times New Roman" w:cs="Times New Roman"/>
              </w:rPr>
              <w:t xml:space="preserve"> with 4 villages </w:t>
            </w:r>
            <w:r w:rsidR="00421534" w:rsidRPr="0061488A">
              <w:rPr>
                <w:rFonts w:ascii="Times New Roman" w:hAnsi="Times New Roman" w:cs="Times New Roman"/>
              </w:rPr>
              <w:t xml:space="preserve">in Ketapang and </w:t>
            </w:r>
            <w:r w:rsidR="00DF2F8E" w:rsidRPr="0061488A">
              <w:rPr>
                <w:rFonts w:ascii="Times New Roman" w:hAnsi="Times New Roman" w:cs="Times New Roman"/>
              </w:rPr>
              <w:t xml:space="preserve">PT </w:t>
            </w:r>
            <w:r w:rsidR="00446B36" w:rsidRPr="0061488A">
              <w:rPr>
                <w:rFonts w:ascii="Times New Roman" w:hAnsi="Times New Roman" w:cs="Times New Roman"/>
              </w:rPr>
              <w:t>MAR</w:t>
            </w:r>
            <w:r w:rsidR="00DF2F8E" w:rsidRPr="0061488A">
              <w:rPr>
                <w:rFonts w:ascii="Times New Roman" w:hAnsi="Times New Roman" w:cs="Times New Roman"/>
              </w:rPr>
              <w:t xml:space="preserve"> </w:t>
            </w:r>
            <w:r w:rsidR="00684998" w:rsidRPr="0061488A">
              <w:rPr>
                <w:rFonts w:ascii="Times New Roman" w:hAnsi="Times New Roman" w:cs="Times New Roman"/>
              </w:rPr>
              <w:t xml:space="preserve">with </w:t>
            </w:r>
            <w:r w:rsidR="00446B36" w:rsidRPr="0061488A">
              <w:rPr>
                <w:rFonts w:ascii="Times New Roman" w:hAnsi="Times New Roman" w:cs="Times New Roman"/>
              </w:rPr>
              <w:t>7 villages in</w:t>
            </w:r>
            <w:r w:rsidR="00684998" w:rsidRPr="0061488A">
              <w:rPr>
                <w:rFonts w:ascii="Times New Roman" w:hAnsi="Times New Roman" w:cs="Times New Roman"/>
              </w:rPr>
              <w:t xml:space="preserve"> Kubu Raya</w:t>
            </w:r>
            <w:r w:rsidR="000D044E" w:rsidRPr="0061488A">
              <w:rPr>
                <w:rFonts w:ascii="Times New Roman" w:hAnsi="Times New Roman" w:cs="Times New Roman"/>
              </w:rPr>
              <w:t xml:space="preserve"> including Ambawang village populated by Dayak Benyadu</w:t>
            </w:r>
            <w:r w:rsidR="00684998" w:rsidRPr="0061488A">
              <w:rPr>
                <w:rFonts w:ascii="Times New Roman" w:hAnsi="Times New Roman" w:cs="Times New Roman"/>
              </w:rPr>
              <w:t xml:space="preserve"> </w:t>
            </w:r>
            <w:r w:rsidR="00446B36" w:rsidRPr="0061488A">
              <w:rPr>
                <w:rFonts w:ascii="Times New Roman" w:hAnsi="Times New Roman" w:cs="Times New Roman"/>
              </w:rPr>
              <w:t xml:space="preserve">to </w:t>
            </w:r>
            <w:r w:rsidRPr="0061488A">
              <w:rPr>
                <w:rFonts w:ascii="Times New Roman" w:hAnsi="Times New Roman" w:cs="Times New Roman"/>
              </w:rPr>
              <w:t xml:space="preserve">conserve protection </w:t>
            </w:r>
            <w:r w:rsidR="00446B36" w:rsidRPr="0061488A">
              <w:rPr>
                <w:rFonts w:ascii="Times New Roman" w:hAnsi="Times New Roman" w:cs="Times New Roman"/>
              </w:rPr>
              <w:t xml:space="preserve">forest </w:t>
            </w:r>
            <w:r w:rsidRPr="0061488A">
              <w:rPr>
                <w:rFonts w:ascii="Times New Roman" w:hAnsi="Times New Roman" w:cs="Times New Roman"/>
              </w:rPr>
              <w:t xml:space="preserve">located in the </w:t>
            </w:r>
            <w:r w:rsidR="00446B36" w:rsidRPr="0061488A">
              <w:rPr>
                <w:rFonts w:ascii="Times New Roman" w:hAnsi="Times New Roman" w:cs="Times New Roman"/>
              </w:rPr>
              <w:t>surrounding pa</w:t>
            </w:r>
            <w:r w:rsidRPr="0061488A">
              <w:rPr>
                <w:rFonts w:ascii="Times New Roman" w:hAnsi="Times New Roman" w:cs="Times New Roman"/>
              </w:rPr>
              <w:t>l</w:t>
            </w:r>
            <w:r w:rsidR="00446B36" w:rsidRPr="0061488A">
              <w:rPr>
                <w:rFonts w:ascii="Times New Roman" w:hAnsi="Times New Roman" w:cs="Times New Roman"/>
              </w:rPr>
              <w:t>m</w:t>
            </w:r>
            <w:r w:rsidRPr="0061488A">
              <w:rPr>
                <w:rFonts w:ascii="Times New Roman" w:hAnsi="Times New Roman" w:cs="Times New Roman"/>
              </w:rPr>
              <w:t xml:space="preserve"> oil</w:t>
            </w:r>
            <w:r w:rsidR="00446B36" w:rsidRPr="0061488A">
              <w:rPr>
                <w:rFonts w:ascii="Times New Roman" w:hAnsi="Times New Roman" w:cs="Times New Roman"/>
              </w:rPr>
              <w:t xml:space="preserve"> </w:t>
            </w:r>
            <w:r w:rsidR="000D044E" w:rsidRPr="0061488A">
              <w:rPr>
                <w:rFonts w:ascii="Times New Roman" w:hAnsi="Times New Roman" w:cs="Times New Roman"/>
              </w:rPr>
              <w:t xml:space="preserve">and industrial forestry </w:t>
            </w:r>
            <w:r w:rsidR="00446B36" w:rsidRPr="0061488A">
              <w:rPr>
                <w:rFonts w:ascii="Times New Roman" w:hAnsi="Times New Roman" w:cs="Times New Roman"/>
              </w:rPr>
              <w:t>concession</w:t>
            </w:r>
            <w:r w:rsidRPr="0061488A">
              <w:rPr>
                <w:rFonts w:ascii="Times New Roman" w:hAnsi="Times New Roman" w:cs="Times New Roman"/>
              </w:rPr>
              <w:t>.</w:t>
            </w:r>
            <w:r w:rsidR="000D044E" w:rsidRPr="0061488A">
              <w:rPr>
                <w:rFonts w:ascii="Times New Roman" w:hAnsi="Times New Roman" w:cs="Times New Roman"/>
              </w:rPr>
              <w:t xml:space="preserve"> </w:t>
            </w:r>
          </w:p>
          <w:p w14:paraId="06502674" w14:textId="77777777" w:rsidR="00684998" w:rsidRPr="0061488A" w:rsidRDefault="0098508C" w:rsidP="005F4F0C">
            <w:pPr>
              <w:pStyle w:val="ListParagraph"/>
              <w:numPr>
                <w:ilvl w:val="0"/>
                <w:numId w:val="4"/>
              </w:numPr>
              <w:ind w:left="360"/>
              <w:jc w:val="both"/>
              <w:rPr>
                <w:rFonts w:ascii="Times New Roman" w:hAnsi="Times New Roman" w:cs="Times New Roman"/>
              </w:rPr>
            </w:pPr>
            <w:r w:rsidRPr="0061488A">
              <w:rPr>
                <w:rFonts w:ascii="Times New Roman" w:hAnsi="Times New Roman" w:cs="Times New Roman"/>
              </w:rPr>
              <w:t>A</w:t>
            </w:r>
            <w:r w:rsidR="00684998" w:rsidRPr="0061488A">
              <w:rPr>
                <w:rFonts w:ascii="Times New Roman" w:hAnsi="Times New Roman" w:cs="Times New Roman"/>
              </w:rPr>
              <w:t xml:space="preserve"> model of community based forest education management. </w:t>
            </w:r>
            <w:r w:rsidRPr="0061488A">
              <w:rPr>
                <w:rFonts w:ascii="Times New Roman" w:hAnsi="Times New Roman" w:cs="Times New Roman"/>
              </w:rPr>
              <w:t xml:space="preserve">This </w:t>
            </w:r>
            <w:r w:rsidR="00684998" w:rsidRPr="0061488A">
              <w:rPr>
                <w:rFonts w:ascii="Times New Roman" w:hAnsi="Times New Roman" w:cs="Times New Roman"/>
              </w:rPr>
              <w:t xml:space="preserve">initiative </w:t>
            </w:r>
            <w:r w:rsidRPr="0061488A">
              <w:rPr>
                <w:rFonts w:ascii="Times New Roman" w:hAnsi="Times New Roman" w:cs="Times New Roman"/>
              </w:rPr>
              <w:t xml:space="preserve">is being developed </w:t>
            </w:r>
            <w:r w:rsidR="00684998" w:rsidRPr="0061488A">
              <w:rPr>
                <w:rFonts w:ascii="Times New Roman" w:hAnsi="Times New Roman" w:cs="Times New Roman"/>
              </w:rPr>
              <w:t>for education</w:t>
            </w:r>
            <w:r w:rsidRPr="0061488A">
              <w:rPr>
                <w:rFonts w:ascii="Times New Roman" w:hAnsi="Times New Roman" w:cs="Times New Roman"/>
              </w:rPr>
              <w:t>al purposes</w:t>
            </w:r>
            <w:r w:rsidR="00684998" w:rsidRPr="0061488A">
              <w:rPr>
                <w:rFonts w:ascii="Times New Roman" w:hAnsi="Times New Roman" w:cs="Times New Roman"/>
              </w:rPr>
              <w:t xml:space="preserve"> </w:t>
            </w:r>
            <w:r w:rsidRPr="0061488A">
              <w:rPr>
                <w:rFonts w:ascii="Times New Roman" w:hAnsi="Times New Roman" w:cs="Times New Roman"/>
              </w:rPr>
              <w:t>by</w:t>
            </w:r>
            <w:r w:rsidR="00684998" w:rsidRPr="0061488A">
              <w:rPr>
                <w:rFonts w:ascii="Times New Roman" w:hAnsi="Times New Roman" w:cs="Times New Roman"/>
              </w:rPr>
              <w:t xml:space="preserve"> Tanjungpura University with 9 villages</w:t>
            </w:r>
            <w:r w:rsidR="00B32499" w:rsidRPr="0061488A">
              <w:rPr>
                <w:rFonts w:ascii="Times New Roman" w:hAnsi="Times New Roman" w:cs="Times New Roman"/>
              </w:rPr>
              <w:t xml:space="preserve"> in </w:t>
            </w:r>
            <w:r w:rsidR="00684998" w:rsidRPr="0061488A">
              <w:rPr>
                <w:rFonts w:ascii="Times New Roman" w:hAnsi="Times New Roman" w:cs="Times New Roman"/>
              </w:rPr>
              <w:t xml:space="preserve">Mempawah.  </w:t>
            </w:r>
          </w:p>
          <w:p w14:paraId="14498577" w14:textId="31D0F063" w:rsidR="00A41F20" w:rsidRPr="0061488A" w:rsidRDefault="00A41F20" w:rsidP="005F4F0C">
            <w:pPr>
              <w:pStyle w:val="ListParagraph"/>
              <w:numPr>
                <w:ilvl w:val="0"/>
                <w:numId w:val="4"/>
              </w:numPr>
              <w:ind w:left="360"/>
              <w:jc w:val="both"/>
              <w:rPr>
                <w:rFonts w:ascii="Times New Roman" w:hAnsi="Times New Roman" w:cs="Times New Roman"/>
              </w:rPr>
            </w:pPr>
            <w:r w:rsidRPr="0061488A">
              <w:rPr>
                <w:rFonts w:ascii="Times New Roman" w:hAnsi="Times New Roman" w:cs="Times New Roman"/>
              </w:rPr>
              <w:t>A payment ecosystem services (PES) approach for Laman Satong village forest in Ketapang. This initiative is supported by FFI and having several deals with Private sector to invest including Walt Disney and a Palm Company</w:t>
            </w:r>
          </w:p>
        </w:tc>
      </w:tr>
      <w:tr w:rsidR="00B32499" w:rsidRPr="00C80F34" w14:paraId="3F41BD5B" w14:textId="77777777" w:rsidTr="00C26272">
        <w:tc>
          <w:tcPr>
            <w:tcW w:w="2127" w:type="dxa"/>
          </w:tcPr>
          <w:p w14:paraId="6EBE3663" w14:textId="77777777" w:rsidR="00B32499" w:rsidRPr="0061488A" w:rsidRDefault="00B32499" w:rsidP="00B32499">
            <w:pPr>
              <w:pStyle w:val="ListParagraph"/>
              <w:ind w:left="0"/>
              <w:rPr>
                <w:rFonts w:ascii="Times New Roman" w:hAnsi="Times New Roman" w:cs="Times New Roman"/>
              </w:rPr>
            </w:pPr>
            <w:r w:rsidRPr="0061488A">
              <w:rPr>
                <w:rFonts w:ascii="Times New Roman" w:hAnsi="Times New Roman" w:cs="Times New Roman"/>
              </w:rPr>
              <w:t>If yes, how does your existing jurisdictional strategy relate to existing IP/LC initiatives, if at all?</w:t>
            </w:r>
          </w:p>
        </w:tc>
        <w:tc>
          <w:tcPr>
            <w:tcW w:w="8363" w:type="dxa"/>
          </w:tcPr>
          <w:p w14:paraId="1239676F" w14:textId="6CEC8DFE" w:rsidR="00B32499" w:rsidRPr="0061488A" w:rsidRDefault="003216D6" w:rsidP="005F4F0C">
            <w:pPr>
              <w:pStyle w:val="ListParagraph"/>
              <w:ind w:left="0"/>
              <w:jc w:val="both"/>
              <w:rPr>
                <w:rFonts w:ascii="Times New Roman" w:hAnsi="Times New Roman" w:cs="Times New Roman"/>
              </w:rPr>
            </w:pPr>
            <w:r w:rsidRPr="0061488A">
              <w:rPr>
                <w:rFonts w:ascii="Times New Roman" w:hAnsi="Times New Roman" w:cs="Times New Roman"/>
              </w:rPr>
              <w:t xml:space="preserve">The above </w:t>
            </w:r>
            <w:r w:rsidR="00B32499" w:rsidRPr="0061488A">
              <w:rPr>
                <w:rFonts w:ascii="Times New Roman" w:hAnsi="Times New Roman" w:cs="Times New Roman"/>
              </w:rPr>
              <w:t>initiative</w:t>
            </w:r>
            <w:r w:rsidRPr="0061488A">
              <w:rPr>
                <w:rFonts w:ascii="Times New Roman" w:hAnsi="Times New Roman" w:cs="Times New Roman"/>
              </w:rPr>
              <w:t>s</w:t>
            </w:r>
            <w:r w:rsidR="00B32499" w:rsidRPr="0061488A">
              <w:rPr>
                <w:rFonts w:ascii="Times New Roman" w:hAnsi="Times New Roman" w:cs="Times New Roman"/>
              </w:rPr>
              <w:t xml:space="preserve"> relate to </w:t>
            </w:r>
            <w:r w:rsidRPr="0061488A">
              <w:rPr>
                <w:rFonts w:ascii="Times New Roman" w:hAnsi="Times New Roman" w:cs="Times New Roman"/>
              </w:rPr>
              <w:t xml:space="preserve">a </w:t>
            </w:r>
            <w:r w:rsidR="00B32499" w:rsidRPr="0061488A">
              <w:rPr>
                <w:rFonts w:ascii="Times New Roman" w:hAnsi="Times New Roman" w:cs="Times New Roman"/>
              </w:rPr>
              <w:t>national initiative</w:t>
            </w:r>
            <w:r w:rsidR="00F05349" w:rsidRPr="0061488A">
              <w:rPr>
                <w:rFonts w:ascii="Times New Roman" w:hAnsi="Times New Roman" w:cs="Times New Roman"/>
              </w:rPr>
              <w:t xml:space="preserve"> </w:t>
            </w:r>
            <w:r w:rsidRPr="0061488A">
              <w:rPr>
                <w:rFonts w:ascii="Times New Roman" w:hAnsi="Times New Roman" w:cs="Times New Roman"/>
              </w:rPr>
              <w:t xml:space="preserve">under President Joko Widodo </w:t>
            </w:r>
            <w:r w:rsidR="00F05349" w:rsidRPr="0061488A">
              <w:rPr>
                <w:rFonts w:ascii="Times New Roman" w:hAnsi="Times New Roman" w:cs="Times New Roman"/>
              </w:rPr>
              <w:t xml:space="preserve">as </w:t>
            </w:r>
            <w:r w:rsidRPr="0061488A">
              <w:rPr>
                <w:rFonts w:ascii="Times New Roman" w:hAnsi="Times New Roman" w:cs="Times New Roman"/>
              </w:rPr>
              <w:t xml:space="preserve">these </w:t>
            </w:r>
            <w:r w:rsidR="00B32499" w:rsidRPr="0061488A">
              <w:rPr>
                <w:rFonts w:ascii="Times New Roman" w:hAnsi="Times New Roman" w:cs="Times New Roman"/>
              </w:rPr>
              <w:t xml:space="preserve">commit to </w:t>
            </w:r>
            <w:r w:rsidRPr="0061488A">
              <w:rPr>
                <w:rFonts w:ascii="Times New Roman" w:hAnsi="Times New Roman" w:cs="Times New Roman"/>
              </w:rPr>
              <w:t xml:space="preserve">push for social forestry schemes transforming from the current </w:t>
            </w:r>
            <w:r w:rsidR="00F05349" w:rsidRPr="0061488A">
              <w:rPr>
                <w:rFonts w:ascii="Times New Roman" w:hAnsi="Times New Roman" w:cs="Times New Roman"/>
              </w:rPr>
              <w:t>state forest management</w:t>
            </w:r>
            <w:r w:rsidRPr="0061488A">
              <w:rPr>
                <w:rFonts w:ascii="Times New Roman" w:hAnsi="Times New Roman" w:cs="Times New Roman"/>
              </w:rPr>
              <w:t>. The schemes would be under</w:t>
            </w:r>
            <w:r w:rsidR="00F05349" w:rsidRPr="0061488A">
              <w:rPr>
                <w:rFonts w:ascii="Times New Roman" w:hAnsi="Times New Roman" w:cs="Times New Roman"/>
              </w:rPr>
              <w:t xml:space="preserve"> </w:t>
            </w:r>
            <w:r w:rsidRPr="0061488A">
              <w:rPr>
                <w:rFonts w:ascii="Times New Roman" w:hAnsi="Times New Roman" w:cs="Times New Roman"/>
              </w:rPr>
              <w:t>approximately</w:t>
            </w:r>
            <w:r w:rsidR="00F05349" w:rsidRPr="0061488A">
              <w:rPr>
                <w:rFonts w:ascii="Times New Roman" w:hAnsi="Times New Roman" w:cs="Times New Roman"/>
              </w:rPr>
              <w:t xml:space="preserve"> </w:t>
            </w:r>
            <w:r w:rsidR="00B32499" w:rsidRPr="0061488A">
              <w:rPr>
                <w:rFonts w:ascii="Times New Roman" w:hAnsi="Times New Roman" w:cs="Times New Roman"/>
              </w:rPr>
              <w:t>12.7 million hectares</w:t>
            </w:r>
            <w:r w:rsidR="00A84C99" w:rsidRPr="0061488A">
              <w:rPr>
                <w:rFonts w:ascii="Times New Roman" w:hAnsi="Times New Roman" w:cs="Times New Roman"/>
              </w:rPr>
              <w:t xml:space="preserve"> </w:t>
            </w:r>
            <w:r w:rsidRPr="0061488A">
              <w:rPr>
                <w:rFonts w:ascii="Times New Roman" w:hAnsi="Times New Roman" w:cs="Times New Roman"/>
              </w:rPr>
              <w:t xml:space="preserve">at the national level </w:t>
            </w:r>
            <w:r w:rsidR="00A84C99" w:rsidRPr="0061488A">
              <w:rPr>
                <w:rFonts w:ascii="Times New Roman" w:hAnsi="Times New Roman" w:cs="Times New Roman"/>
              </w:rPr>
              <w:t>(</w:t>
            </w:r>
            <w:r w:rsidRPr="0061488A">
              <w:rPr>
                <w:rFonts w:ascii="Times New Roman" w:hAnsi="Times New Roman" w:cs="Times New Roman"/>
              </w:rPr>
              <w:t xml:space="preserve">e.g. </w:t>
            </w:r>
            <w:r w:rsidR="00B32499" w:rsidRPr="0061488A">
              <w:rPr>
                <w:rFonts w:ascii="Times New Roman" w:hAnsi="Times New Roman" w:cs="Times New Roman"/>
              </w:rPr>
              <w:t xml:space="preserve">1.5 million hectares </w:t>
            </w:r>
            <w:r w:rsidRPr="0061488A">
              <w:rPr>
                <w:rFonts w:ascii="Times New Roman" w:hAnsi="Times New Roman" w:cs="Times New Roman"/>
              </w:rPr>
              <w:t xml:space="preserve">are committed </w:t>
            </w:r>
            <w:r w:rsidR="005E7D13" w:rsidRPr="0061488A">
              <w:rPr>
                <w:rFonts w:ascii="Times New Roman" w:hAnsi="Times New Roman" w:cs="Times New Roman"/>
              </w:rPr>
              <w:t xml:space="preserve">in </w:t>
            </w:r>
            <w:r w:rsidR="00F05349" w:rsidRPr="0061488A">
              <w:rPr>
                <w:rFonts w:ascii="Times New Roman" w:hAnsi="Times New Roman" w:cs="Times New Roman"/>
              </w:rPr>
              <w:t>West Kalimantan</w:t>
            </w:r>
            <w:r w:rsidR="00446B36" w:rsidRPr="0061488A">
              <w:rPr>
                <w:rFonts w:ascii="Times New Roman" w:hAnsi="Times New Roman" w:cs="Times New Roman"/>
              </w:rPr>
              <w:t xml:space="preserve"> </w:t>
            </w:r>
            <w:r w:rsidRPr="0061488A">
              <w:rPr>
                <w:rFonts w:ascii="Times New Roman" w:hAnsi="Times New Roman" w:cs="Times New Roman"/>
              </w:rPr>
              <w:t xml:space="preserve">and this is </w:t>
            </w:r>
            <w:r w:rsidR="00446B36" w:rsidRPr="0061488A">
              <w:rPr>
                <w:rFonts w:ascii="Times New Roman" w:hAnsi="Times New Roman" w:cs="Times New Roman"/>
              </w:rPr>
              <w:t>the biggest</w:t>
            </w:r>
            <w:r w:rsidRPr="0061488A">
              <w:rPr>
                <w:rFonts w:ascii="Times New Roman" w:hAnsi="Times New Roman" w:cs="Times New Roman"/>
              </w:rPr>
              <w:t xml:space="preserve"> in Indonesia</w:t>
            </w:r>
            <w:r w:rsidR="00A84C99" w:rsidRPr="0061488A">
              <w:rPr>
                <w:rFonts w:ascii="Times New Roman" w:hAnsi="Times New Roman" w:cs="Times New Roman"/>
              </w:rPr>
              <w:t>)</w:t>
            </w:r>
            <w:r w:rsidRPr="0061488A">
              <w:rPr>
                <w:rFonts w:ascii="Times New Roman" w:hAnsi="Times New Roman" w:cs="Times New Roman"/>
              </w:rPr>
              <w:t>. Such schemes</w:t>
            </w:r>
            <w:r w:rsidR="00A84C99" w:rsidRPr="0061488A">
              <w:rPr>
                <w:rFonts w:ascii="Times New Roman" w:hAnsi="Times New Roman" w:cs="Times New Roman"/>
              </w:rPr>
              <w:t xml:space="preserve"> </w:t>
            </w:r>
            <w:r w:rsidRPr="0061488A">
              <w:rPr>
                <w:rFonts w:ascii="Times New Roman" w:hAnsi="Times New Roman" w:cs="Times New Roman"/>
              </w:rPr>
              <w:t xml:space="preserve">include </w:t>
            </w:r>
            <w:r w:rsidR="00A84C99" w:rsidRPr="0061488A">
              <w:rPr>
                <w:rFonts w:ascii="Times New Roman" w:hAnsi="Times New Roman" w:cs="Times New Roman"/>
              </w:rPr>
              <w:t>V</w:t>
            </w:r>
            <w:r w:rsidR="00B32499" w:rsidRPr="0061488A">
              <w:rPr>
                <w:rFonts w:ascii="Times New Roman" w:hAnsi="Times New Roman" w:cs="Times New Roman"/>
              </w:rPr>
              <w:t>illage Forest, Community Forest, Partnersh</w:t>
            </w:r>
            <w:r w:rsidR="00A84C99" w:rsidRPr="0061488A">
              <w:rPr>
                <w:rFonts w:ascii="Times New Roman" w:hAnsi="Times New Roman" w:cs="Times New Roman"/>
              </w:rPr>
              <w:t>ip Forest and Indigenous Forest</w:t>
            </w:r>
            <w:r w:rsidR="00B32499" w:rsidRPr="0061488A">
              <w:rPr>
                <w:rFonts w:ascii="Times New Roman" w:hAnsi="Times New Roman" w:cs="Times New Roman"/>
              </w:rPr>
              <w:t xml:space="preserve">. Social forestry </w:t>
            </w:r>
            <w:r w:rsidRPr="0061488A">
              <w:rPr>
                <w:rFonts w:ascii="Times New Roman" w:hAnsi="Times New Roman" w:cs="Times New Roman"/>
              </w:rPr>
              <w:t xml:space="preserve">schemes </w:t>
            </w:r>
            <w:r w:rsidR="00B32499" w:rsidRPr="0061488A">
              <w:rPr>
                <w:rFonts w:ascii="Times New Roman" w:hAnsi="Times New Roman" w:cs="Times New Roman"/>
              </w:rPr>
              <w:t xml:space="preserve">aim to give </w:t>
            </w:r>
            <w:r w:rsidR="005E7D13" w:rsidRPr="0061488A">
              <w:rPr>
                <w:rFonts w:ascii="Times New Roman" w:hAnsi="Times New Roman" w:cs="Times New Roman"/>
              </w:rPr>
              <w:t xml:space="preserve">state forest </w:t>
            </w:r>
            <w:r w:rsidR="00B32499" w:rsidRPr="0061488A">
              <w:rPr>
                <w:rFonts w:ascii="Times New Roman" w:hAnsi="Times New Roman" w:cs="Times New Roman"/>
              </w:rPr>
              <w:t xml:space="preserve">management rights </w:t>
            </w:r>
            <w:r w:rsidRPr="0061488A">
              <w:rPr>
                <w:rFonts w:ascii="Times New Roman" w:hAnsi="Times New Roman" w:cs="Times New Roman"/>
              </w:rPr>
              <w:t xml:space="preserve">or access to </w:t>
            </w:r>
            <w:r w:rsidR="00B32499" w:rsidRPr="0061488A">
              <w:rPr>
                <w:rFonts w:ascii="Times New Roman" w:hAnsi="Times New Roman" w:cs="Times New Roman"/>
              </w:rPr>
              <w:t xml:space="preserve">local and indigenous people. </w:t>
            </w:r>
            <w:r w:rsidRPr="0061488A">
              <w:rPr>
                <w:rFonts w:ascii="Times New Roman" w:hAnsi="Times New Roman" w:cs="Times New Roman"/>
              </w:rPr>
              <w:t>These, therefore, would link</w:t>
            </w:r>
            <w:r w:rsidR="00B32499" w:rsidRPr="0061488A">
              <w:rPr>
                <w:rFonts w:ascii="Times New Roman" w:hAnsi="Times New Roman" w:cs="Times New Roman"/>
              </w:rPr>
              <w:t xml:space="preserve"> pilot model</w:t>
            </w:r>
            <w:r w:rsidRPr="0061488A">
              <w:rPr>
                <w:rFonts w:ascii="Times New Roman" w:hAnsi="Times New Roman" w:cs="Times New Roman"/>
              </w:rPr>
              <w:t>s in the province or district to the</w:t>
            </w:r>
            <w:r w:rsidR="006231A6" w:rsidRPr="0061488A">
              <w:rPr>
                <w:rFonts w:ascii="Times New Roman" w:hAnsi="Times New Roman" w:cs="Times New Roman"/>
              </w:rPr>
              <w:t xml:space="preserve"> national </w:t>
            </w:r>
            <w:r w:rsidRPr="0061488A">
              <w:rPr>
                <w:rFonts w:ascii="Times New Roman" w:hAnsi="Times New Roman" w:cs="Times New Roman"/>
              </w:rPr>
              <w:t>level</w:t>
            </w:r>
            <w:r w:rsidR="00B32499" w:rsidRPr="0061488A">
              <w:rPr>
                <w:rFonts w:ascii="Times New Roman" w:hAnsi="Times New Roman" w:cs="Times New Roman"/>
              </w:rPr>
              <w:t xml:space="preserve">. </w:t>
            </w:r>
          </w:p>
        </w:tc>
      </w:tr>
      <w:tr w:rsidR="00B75FA5" w:rsidRPr="00C80F34" w14:paraId="13832EC3" w14:textId="77777777" w:rsidTr="00C26272">
        <w:tc>
          <w:tcPr>
            <w:tcW w:w="2127" w:type="dxa"/>
          </w:tcPr>
          <w:p w14:paraId="580A1018" w14:textId="77777777" w:rsidR="00B75FA5" w:rsidRPr="0061488A" w:rsidRDefault="00B75FA5" w:rsidP="008529B1">
            <w:pPr>
              <w:pStyle w:val="ListParagraph"/>
              <w:ind w:left="0"/>
              <w:rPr>
                <w:rFonts w:ascii="Times New Roman" w:hAnsi="Times New Roman" w:cs="Times New Roman"/>
              </w:rPr>
            </w:pPr>
            <w:r w:rsidRPr="0061488A">
              <w:rPr>
                <w:rFonts w:ascii="Times New Roman" w:hAnsi="Times New Roman" w:cs="Times New Roman"/>
              </w:rPr>
              <w:lastRenderedPageBreak/>
              <w:t>Are there any other important projects or activities relevant to REDD+/LED occurring in the jurisdiction? If yes, please list the organization (s) or partner(s) and briefly describe the initiative(s).</w:t>
            </w:r>
          </w:p>
        </w:tc>
        <w:tc>
          <w:tcPr>
            <w:tcW w:w="8363" w:type="dxa"/>
          </w:tcPr>
          <w:p w14:paraId="15183FDD" w14:textId="03870999" w:rsidR="0023636B" w:rsidRPr="0061488A" w:rsidRDefault="00446B36" w:rsidP="00776872">
            <w:pPr>
              <w:pStyle w:val="ListParagraph"/>
              <w:numPr>
                <w:ilvl w:val="0"/>
                <w:numId w:val="2"/>
              </w:numPr>
              <w:ind w:left="317" w:hanging="317"/>
              <w:jc w:val="both"/>
              <w:rPr>
                <w:rFonts w:ascii="Times New Roman" w:hAnsi="Times New Roman" w:cs="Times New Roman"/>
              </w:rPr>
            </w:pPr>
            <w:r w:rsidRPr="0061488A">
              <w:rPr>
                <w:rFonts w:ascii="Times New Roman" w:hAnsi="Times New Roman" w:cs="Times New Roman"/>
              </w:rPr>
              <w:t xml:space="preserve">PPI </w:t>
            </w:r>
            <w:r w:rsidR="00E77940" w:rsidRPr="0061488A">
              <w:rPr>
                <w:rFonts w:ascii="Times New Roman" w:hAnsi="Times New Roman" w:cs="Times New Roman"/>
              </w:rPr>
              <w:t>Compact</w:t>
            </w:r>
            <w:r w:rsidRPr="0061488A">
              <w:rPr>
                <w:rFonts w:ascii="Times New Roman" w:hAnsi="Times New Roman" w:cs="Times New Roman"/>
              </w:rPr>
              <w:t>.</w:t>
            </w:r>
            <w:r w:rsidR="0023636B" w:rsidRPr="0061488A">
              <w:rPr>
                <w:rFonts w:ascii="Times New Roman" w:hAnsi="Times New Roman" w:cs="Times New Roman"/>
              </w:rPr>
              <w:t xml:space="preserve"> </w:t>
            </w:r>
            <w:r w:rsidR="00E77940" w:rsidRPr="0061488A">
              <w:rPr>
                <w:rFonts w:ascii="Times New Roman" w:hAnsi="Times New Roman" w:cs="Times New Roman"/>
              </w:rPr>
              <w:t>This compact or agreement is developed to nurture</w:t>
            </w:r>
            <w:r w:rsidR="0023636B" w:rsidRPr="0061488A">
              <w:rPr>
                <w:rFonts w:ascii="Times New Roman" w:hAnsi="Times New Roman" w:cs="Times New Roman"/>
              </w:rPr>
              <w:t xml:space="preserve"> </w:t>
            </w:r>
            <w:r w:rsidR="00E77940" w:rsidRPr="0061488A">
              <w:rPr>
                <w:rFonts w:ascii="Times New Roman" w:hAnsi="Times New Roman" w:cs="Times New Roman"/>
              </w:rPr>
              <w:t>s</w:t>
            </w:r>
            <w:r w:rsidR="0023636B" w:rsidRPr="0061488A">
              <w:rPr>
                <w:rFonts w:ascii="Times New Roman" w:hAnsi="Times New Roman" w:cs="Times New Roman"/>
              </w:rPr>
              <w:t>ynergy and partnership among government, private sector and community to balance the protection and production activity</w:t>
            </w:r>
            <w:r w:rsidR="00E36E43" w:rsidRPr="0061488A">
              <w:rPr>
                <w:rFonts w:ascii="Times New Roman" w:hAnsi="Times New Roman" w:cs="Times New Roman"/>
              </w:rPr>
              <w:t xml:space="preserve"> at landscape level</w:t>
            </w:r>
            <w:r w:rsidRPr="0061488A">
              <w:rPr>
                <w:rFonts w:ascii="Times New Roman" w:hAnsi="Times New Roman" w:cs="Times New Roman"/>
              </w:rPr>
              <w:t xml:space="preserve"> and link</w:t>
            </w:r>
            <w:r w:rsidR="00E77940" w:rsidRPr="0061488A">
              <w:rPr>
                <w:rFonts w:ascii="Times New Roman" w:hAnsi="Times New Roman" w:cs="Times New Roman"/>
              </w:rPr>
              <w:t>ing</w:t>
            </w:r>
            <w:r w:rsidRPr="0061488A">
              <w:rPr>
                <w:rFonts w:ascii="Times New Roman" w:hAnsi="Times New Roman" w:cs="Times New Roman"/>
              </w:rPr>
              <w:t xml:space="preserve"> </w:t>
            </w:r>
            <w:r w:rsidR="00E77940" w:rsidRPr="0061488A">
              <w:rPr>
                <w:rFonts w:ascii="Times New Roman" w:hAnsi="Times New Roman" w:cs="Times New Roman"/>
              </w:rPr>
              <w:t xml:space="preserve">this </w:t>
            </w:r>
            <w:r w:rsidRPr="0061488A">
              <w:rPr>
                <w:rFonts w:ascii="Times New Roman" w:hAnsi="Times New Roman" w:cs="Times New Roman"/>
              </w:rPr>
              <w:t xml:space="preserve">to </w:t>
            </w:r>
            <w:r w:rsidR="00E77940" w:rsidRPr="0061488A">
              <w:rPr>
                <w:rFonts w:ascii="Times New Roman" w:hAnsi="Times New Roman" w:cs="Times New Roman"/>
              </w:rPr>
              <w:t xml:space="preserve">the </w:t>
            </w:r>
            <w:r w:rsidRPr="0061488A">
              <w:rPr>
                <w:rFonts w:ascii="Times New Roman" w:hAnsi="Times New Roman" w:cs="Times New Roman"/>
              </w:rPr>
              <w:t>market</w:t>
            </w:r>
            <w:r w:rsidR="00246E40" w:rsidRPr="0061488A">
              <w:rPr>
                <w:rFonts w:ascii="Times New Roman" w:hAnsi="Times New Roman" w:cs="Times New Roman"/>
              </w:rPr>
              <w:t xml:space="preserve">. </w:t>
            </w:r>
            <w:r w:rsidR="0017680D" w:rsidRPr="0061488A">
              <w:rPr>
                <w:rFonts w:ascii="Times New Roman" w:hAnsi="Times New Roman" w:cs="Times New Roman"/>
              </w:rPr>
              <w:t xml:space="preserve">To some extent, the provincial government has been </w:t>
            </w:r>
            <w:r w:rsidR="00E36E43" w:rsidRPr="0061488A">
              <w:rPr>
                <w:rFonts w:ascii="Times New Roman" w:hAnsi="Times New Roman" w:cs="Times New Roman"/>
              </w:rPr>
              <w:t xml:space="preserve">supported by </w:t>
            </w:r>
            <w:r w:rsidR="00E67531" w:rsidRPr="0061488A">
              <w:rPr>
                <w:rFonts w:ascii="Times New Roman" w:hAnsi="Times New Roman" w:cs="Times New Roman"/>
              </w:rPr>
              <w:t>Y</w:t>
            </w:r>
            <w:r w:rsidR="0023636B" w:rsidRPr="0061488A">
              <w:rPr>
                <w:rFonts w:ascii="Times New Roman" w:hAnsi="Times New Roman" w:cs="Times New Roman"/>
              </w:rPr>
              <w:t xml:space="preserve">IDH </w:t>
            </w:r>
            <w:r w:rsidR="00E36E43" w:rsidRPr="0061488A">
              <w:rPr>
                <w:rFonts w:ascii="Times New Roman" w:hAnsi="Times New Roman" w:cs="Times New Roman"/>
              </w:rPr>
              <w:t>working with several concession holders such as PT PAS, PT ATP, PT DTK, PT KLIA, PT WSL, PT MTI, PT BSN, PT GMS</w:t>
            </w:r>
            <w:r w:rsidR="002C057A" w:rsidRPr="0061488A">
              <w:rPr>
                <w:rFonts w:ascii="Times New Roman" w:hAnsi="Times New Roman" w:cs="Times New Roman"/>
              </w:rPr>
              <w:t>, etc</w:t>
            </w:r>
            <w:r w:rsidR="0023636B" w:rsidRPr="0061488A">
              <w:rPr>
                <w:rFonts w:ascii="Times New Roman" w:hAnsi="Times New Roman" w:cs="Times New Roman"/>
              </w:rPr>
              <w:t>.</w:t>
            </w:r>
            <w:r w:rsidR="002C057A" w:rsidRPr="0061488A">
              <w:rPr>
                <w:rFonts w:ascii="Times New Roman" w:hAnsi="Times New Roman" w:cs="Times New Roman"/>
              </w:rPr>
              <w:t xml:space="preserve"> </w:t>
            </w:r>
            <w:hyperlink r:id="rId11" w:history="1">
              <w:r w:rsidR="00314A6A" w:rsidRPr="0061488A">
                <w:rPr>
                  <w:rStyle w:val="Hyperlink"/>
                  <w:rFonts w:ascii="Times New Roman" w:hAnsi="Times New Roman" w:cs="Times New Roman"/>
                </w:rPr>
                <w:t>https://goo.gl/kzR1gw</w:t>
              </w:r>
            </w:hyperlink>
            <w:r w:rsidR="00314A6A" w:rsidRPr="0061488A">
              <w:rPr>
                <w:rFonts w:ascii="Times New Roman" w:hAnsi="Times New Roman" w:cs="Times New Roman"/>
              </w:rPr>
              <w:t xml:space="preserve"> </w:t>
            </w:r>
          </w:p>
          <w:p w14:paraId="5E56BE46" w14:textId="4503AFE3" w:rsidR="00314A6A" w:rsidRPr="0061488A" w:rsidRDefault="0023636B" w:rsidP="00776872">
            <w:pPr>
              <w:pStyle w:val="ListParagraph"/>
              <w:numPr>
                <w:ilvl w:val="0"/>
                <w:numId w:val="2"/>
              </w:numPr>
              <w:ind w:left="317" w:hanging="317"/>
              <w:jc w:val="both"/>
              <w:rPr>
                <w:rFonts w:ascii="Times New Roman" w:hAnsi="Times New Roman" w:cs="Times New Roman"/>
              </w:rPr>
            </w:pPr>
            <w:r w:rsidRPr="0061488A">
              <w:rPr>
                <w:rFonts w:ascii="Times New Roman" w:hAnsi="Times New Roman" w:cs="Times New Roman"/>
              </w:rPr>
              <w:t>Tropical Forest Conservation Act</w:t>
            </w:r>
            <w:r w:rsidR="00A13CF9" w:rsidRPr="0061488A">
              <w:rPr>
                <w:rFonts w:ascii="Times New Roman" w:hAnsi="Times New Roman" w:cs="Times New Roman"/>
              </w:rPr>
              <w:t xml:space="preserve"> (TFCA)</w:t>
            </w:r>
            <w:r w:rsidRPr="0061488A">
              <w:rPr>
                <w:rFonts w:ascii="Times New Roman" w:hAnsi="Times New Roman" w:cs="Times New Roman"/>
              </w:rPr>
              <w:t>.</w:t>
            </w:r>
            <w:r w:rsidR="00A13CF9" w:rsidRPr="0061488A">
              <w:rPr>
                <w:rFonts w:ascii="Times New Roman" w:hAnsi="Times New Roman" w:cs="Times New Roman"/>
              </w:rPr>
              <w:t xml:space="preserve"> </w:t>
            </w:r>
            <w:r w:rsidR="0017680D" w:rsidRPr="0061488A">
              <w:rPr>
                <w:rFonts w:ascii="Times New Roman" w:hAnsi="Times New Roman" w:cs="Times New Roman"/>
              </w:rPr>
              <w:t xml:space="preserve">This </w:t>
            </w:r>
            <w:r w:rsidR="00A13CF9" w:rsidRPr="0061488A">
              <w:rPr>
                <w:rFonts w:ascii="Times New Roman" w:hAnsi="Times New Roman" w:cs="Times New Roman"/>
              </w:rPr>
              <w:t xml:space="preserve">is a project </w:t>
            </w:r>
            <w:r w:rsidR="00B11A28" w:rsidRPr="0061488A">
              <w:rPr>
                <w:rFonts w:ascii="Times New Roman" w:hAnsi="Times New Roman" w:cs="Times New Roman"/>
              </w:rPr>
              <w:t xml:space="preserve">developed and implemented as partnership </w:t>
            </w:r>
            <w:r w:rsidR="00A13CF9" w:rsidRPr="0061488A">
              <w:rPr>
                <w:rFonts w:ascii="Times New Roman" w:hAnsi="Times New Roman" w:cs="Times New Roman"/>
              </w:rPr>
              <w:t xml:space="preserve">between Government of Indonesia </w:t>
            </w:r>
            <w:r w:rsidR="002C057A" w:rsidRPr="0061488A">
              <w:rPr>
                <w:rFonts w:ascii="Times New Roman" w:hAnsi="Times New Roman" w:cs="Times New Roman"/>
              </w:rPr>
              <w:t xml:space="preserve">and </w:t>
            </w:r>
            <w:r w:rsidR="00B11A28" w:rsidRPr="0061488A">
              <w:rPr>
                <w:rFonts w:ascii="Times New Roman" w:hAnsi="Times New Roman" w:cs="Times New Roman"/>
              </w:rPr>
              <w:t xml:space="preserve">the </w:t>
            </w:r>
            <w:r w:rsidR="00A13CF9" w:rsidRPr="0061488A">
              <w:rPr>
                <w:rFonts w:ascii="Times New Roman" w:hAnsi="Times New Roman" w:cs="Times New Roman"/>
              </w:rPr>
              <w:t xml:space="preserve">USA. </w:t>
            </w:r>
            <w:r w:rsidR="00B11A28" w:rsidRPr="0061488A">
              <w:rPr>
                <w:rFonts w:ascii="Times New Roman" w:hAnsi="Times New Roman" w:cs="Times New Roman"/>
              </w:rPr>
              <w:t>The objective is to</w:t>
            </w:r>
            <w:r w:rsidR="00A13CF9" w:rsidRPr="0061488A">
              <w:rPr>
                <w:rFonts w:ascii="Times New Roman" w:hAnsi="Times New Roman" w:cs="Times New Roman"/>
              </w:rPr>
              <w:t xml:space="preserve"> protect and conserve key biodiversity, improve </w:t>
            </w:r>
            <w:r w:rsidR="00D82A06" w:rsidRPr="0061488A">
              <w:rPr>
                <w:rFonts w:ascii="Times New Roman" w:hAnsi="Times New Roman" w:cs="Times New Roman"/>
              </w:rPr>
              <w:t xml:space="preserve">community livelihood, reduce emission from degradation and </w:t>
            </w:r>
            <w:r w:rsidR="002148AB" w:rsidRPr="0061488A">
              <w:rPr>
                <w:rFonts w:ascii="Times New Roman" w:hAnsi="Times New Roman" w:cs="Times New Roman"/>
              </w:rPr>
              <w:t xml:space="preserve">deforestation, and implement </w:t>
            </w:r>
            <w:r w:rsidR="00D82A06" w:rsidRPr="0061488A">
              <w:rPr>
                <w:rFonts w:ascii="Times New Roman" w:hAnsi="Times New Roman" w:cs="Times New Roman"/>
              </w:rPr>
              <w:t xml:space="preserve">REDD+. </w:t>
            </w:r>
            <w:r w:rsidR="00314A6A" w:rsidRPr="0061488A">
              <w:rPr>
                <w:rFonts w:ascii="Times New Roman" w:hAnsi="Times New Roman" w:cs="Times New Roman"/>
              </w:rPr>
              <w:t xml:space="preserve">KEHATI </w:t>
            </w:r>
            <w:r w:rsidR="00D82A06" w:rsidRPr="0061488A">
              <w:rPr>
                <w:rFonts w:ascii="Times New Roman" w:hAnsi="Times New Roman" w:cs="Times New Roman"/>
              </w:rPr>
              <w:t xml:space="preserve">is </w:t>
            </w:r>
            <w:r w:rsidR="00B11A28" w:rsidRPr="0061488A">
              <w:rPr>
                <w:rFonts w:ascii="Times New Roman" w:hAnsi="Times New Roman" w:cs="Times New Roman"/>
              </w:rPr>
              <w:t xml:space="preserve">the organization that manages </w:t>
            </w:r>
            <w:r w:rsidR="002C057A" w:rsidRPr="0061488A">
              <w:rPr>
                <w:rFonts w:ascii="Times New Roman" w:hAnsi="Times New Roman" w:cs="Times New Roman"/>
              </w:rPr>
              <w:t xml:space="preserve">TFCA. </w:t>
            </w:r>
            <w:r w:rsidR="00B11A28" w:rsidRPr="0061488A">
              <w:rPr>
                <w:rFonts w:ascii="Times New Roman" w:hAnsi="Times New Roman" w:cs="Times New Roman"/>
              </w:rPr>
              <w:t xml:space="preserve">KEHATI </w:t>
            </w:r>
            <w:r w:rsidR="002148AB" w:rsidRPr="0061488A">
              <w:rPr>
                <w:rFonts w:ascii="Times New Roman" w:hAnsi="Times New Roman" w:cs="Times New Roman"/>
              </w:rPr>
              <w:t>work</w:t>
            </w:r>
            <w:r w:rsidR="00B11A28" w:rsidRPr="0061488A">
              <w:rPr>
                <w:rFonts w:ascii="Times New Roman" w:hAnsi="Times New Roman" w:cs="Times New Roman"/>
              </w:rPr>
              <w:t>s</w:t>
            </w:r>
            <w:r w:rsidR="002148AB" w:rsidRPr="0061488A">
              <w:rPr>
                <w:rFonts w:ascii="Times New Roman" w:hAnsi="Times New Roman" w:cs="Times New Roman"/>
              </w:rPr>
              <w:t xml:space="preserve"> with</w:t>
            </w:r>
            <w:r w:rsidR="00D82A06" w:rsidRPr="0061488A">
              <w:rPr>
                <w:rFonts w:ascii="Times New Roman" w:hAnsi="Times New Roman" w:cs="Times New Roman"/>
              </w:rPr>
              <w:t xml:space="preserve"> local partners</w:t>
            </w:r>
            <w:r w:rsidR="002148AB" w:rsidRPr="0061488A">
              <w:rPr>
                <w:rFonts w:ascii="Times New Roman" w:hAnsi="Times New Roman" w:cs="Times New Roman"/>
              </w:rPr>
              <w:t xml:space="preserve"> such as SAMPAN, Lanting Borneo, KOMPAKH, etc. </w:t>
            </w:r>
            <w:hyperlink r:id="rId12" w:history="1">
              <w:r w:rsidR="00314A6A" w:rsidRPr="0061488A">
                <w:rPr>
                  <w:rStyle w:val="Hyperlink"/>
                  <w:rFonts w:ascii="Times New Roman" w:hAnsi="Times New Roman" w:cs="Times New Roman"/>
                </w:rPr>
                <w:t>https://goo.gl/15RNn3</w:t>
              </w:r>
            </w:hyperlink>
            <w:r w:rsidR="00314A6A" w:rsidRPr="0061488A">
              <w:rPr>
                <w:rFonts w:ascii="Times New Roman" w:hAnsi="Times New Roman" w:cs="Times New Roman"/>
              </w:rPr>
              <w:t xml:space="preserve">. </w:t>
            </w:r>
          </w:p>
          <w:p w14:paraId="40CE7E16" w14:textId="4C0A0FCE" w:rsidR="00D82A06" w:rsidRPr="0061488A" w:rsidRDefault="00314A6A" w:rsidP="00776872">
            <w:pPr>
              <w:pStyle w:val="ListParagraph"/>
              <w:numPr>
                <w:ilvl w:val="0"/>
                <w:numId w:val="2"/>
              </w:numPr>
              <w:ind w:left="317" w:hanging="317"/>
              <w:jc w:val="both"/>
              <w:rPr>
                <w:rFonts w:ascii="Times New Roman" w:hAnsi="Times New Roman" w:cs="Times New Roman"/>
              </w:rPr>
            </w:pPr>
            <w:r w:rsidRPr="0061488A">
              <w:rPr>
                <w:rFonts w:ascii="Times New Roman" w:hAnsi="Times New Roman" w:cs="Times New Roman"/>
              </w:rPr>
              <w:t>Forest Investment Project</w:t>
            </w:r>
            <w:r w:rsidR="00446B36" w:rsidRPr="0061488A">
              <w:rPr>
                <w:rFonts w:ascii="Times New Roman" w:hAnsi="Times New Roman" w:cs="Times New Roman"/>
              </w:rPr>
              <w:t xml:space="preserve"> (FIP)</w:t>
            </w:r>
            <w:r w:rsidRPr="0061488A">
              <w:rPr>
                <w:rFonts w:ascii="Times New Roman" w:hAnsi="Times New Roman" w:cs="Times New Roman"/>
              </w:rPr>
              <w:t xml:space="preserve">. </w:t>
            </w:r>
            <w:r w:rsidR="00B11A28" w:rsidRPr="0061488A">
              <w:rPr>
                <w:rFonts w:ascii="Times New Roman" w:hAnsi="Times New Roman" w:cs="Times New Roman"/>
              </w:rPr>
              <w:t xml:space="preserve">This </w:t>
            </w:r>
            <w:r w:rsidR="004966AF" w:rsidRPr="0061488A">
              <w:rPr>
                <w:rFonts w:ascii="Times New Roman" w:hAnsi="Times New Roman" w:cs="Times New Roman"/>
              </w:rPr>
              <w:t xml:space="preserve">project </w:t>
            </w:r>
            <w:r w:rsidR="002148AB" w:rsidRPr="0061488A">
              <w:rPr>
                <w:rFonts w:ascii="Times New Roman" w:hAnsi="Times New Roman" w:cs="Times New Roman"/>
              </w:rPr>
              <w:t xml:space="preserve">aims </w:t>
            </w:r>
            <w:r w:rsidRPr="0061488A">
              <w:rPr>
                <w:rFonts w:ascii="Times New Roman" w:hAnsi="Times New Roman" w:cs="Times New Roman"/>
              </w:rPr>
              <w:t xml:space="preserve">to increase environmental and livelihood benefits </w:t>
            </w:r>
            <w:r w:rsidR="004966AF" w:rsidRPr="0061488A">
              <w:rPr>
                <w:rFonts w:ascii="Times New Roman" w:hAnsi="Times New Roman" w:cs="Times New Roman"/>
              </w:rPr>
              <w:t xml:space="preserve">for </w:t>
            </w:r>
            <w:r w:rsidRPr="0061488A">
              <w:rPr>
                <w:rFonts w:ascii="Times New Roman" w:hAnsi="Times New Roman" w:cs="Times New Roman"/>
              </w:rPr>
              <w:t>local communities, through the implementation and improvement of REDD+ projects.</w:t>
            </w:r>
            <w:r w:rsidR="002148AB" w:rsidRPr="0061488A">
              <w:rPr>
                <w:rFonts w:ascii="Times New Roman" w:hAnsi="Times New Roman" w:cs="Times New Roman"/>
              </w:rPr>
              <w:t xml:space="preserve"> PT Hatfield </w:t>
            </w:r>
            <w:r w:rsidR="004966AF" w:rsidRPr="0061488A">
              <w:rPr>
                <w:rFonts w:ascii="Times New Roman" w:hAnsi="Times New Roman" w:cs="Times New Roman"/>
              </w:rPr>
              <w:t xml:space="preserve">is </w:t>
            </w:r>
            <w:r w:rsidR="002148AB" w:rsidRPr="0061488A">
              <w:rPr>
                <w:rFonts w:ascii="Times New Roman" w:hAnsi="Times New Roman" w:cs="Times New Roman"/>
              </w:rPr>
              <w:t xml:space="preserve">a FIP managing project </w:t>
            </w:r>
            <w:r w:rsidR="004966AF" w:rsidRPr="0061488A">
              <w:rPr>
                <w:rFonts w:ascii="Times New Roman" w:hAnsi="Times New Roman" w:cs="Times New Roman"/>
              </w:rPr>
              <w:t xml:space="preserve">leader </w:t>
            </w:r>
            <w:r w:rsidR="002148AB" w:rsidRPr="0061488A">
              <w:rPr>
                <w:rFonts w:ascii="Times New Roman" w:hAnsi="Times New Roman" w:cs="Times New Roman"/>
              </w:rPr>
              <w:t>and implementer.</w:t>
            </w:r>
            <w:r w:rsidRPr="0061488A">
              <w:rPr>
                <w:rFonts w:ascii="Times New Roman" w:hAnsi="Times New Roman" w:cs="Times New Roman"/>
              </w:rPr>
              <w:t xml:space="preserve"> </w:t>
            </w:r>
            <w:hyperlink r:id="rId13" w:history="1">
              <w:r w:rsidRPr="0061488A">
                <w:rPr>
                  <w:rStyle w:val="Hyperlink"/>
                  <w:rFonts w:ascii="Times New Roman" w:hAnsi="Times New Roman" w:cs="Times New Roman"/>
                </w:rPr>
                <w:t>https://goo.gl/kAz3Gy</w:t>
              </w:r>
            </w:hyperlink>
            <w:r w:rsidRPr="0061488A">
              <w:rPr>
                <w:rFonts w:ascii="Times New Roman" w:hAnsi="Times New Roman" w:cs="Times New Roman"/>
              </w:rPr>
              <w:t xml:space="preserve"> </w:t>
            </w:r>
          </w:p>
          <w:p w14:paraId="4CC7F918" w14:textId="390D248F" w:rsidR="00314A6A" w:rsidRPr="0061488A" w:rsidRDefault="00314A6A" w:rsidP="00776872">
            <w:pPr>
              <w:pStyle w:val="ListParagraph"/>
              <w:numPr>
                <w:ilvl w:val="0"/>
                <w:numId w:val="2"/>
              </w:numPr>
              <w:ind w:left="317" w:hanging="317"/>
              <w:jc w:val="both"/>
              <w:rPr>
                <w:rFonts w:ascii="Times New Roman" w:hAnsi="Times New Roman" w:cs="Times New Roman"/>
              </w:rPr>
            </w:pPr>
            <w:r w:rsidRPr="0061488A">
              <w:rPr>
                <w:rFonts w:ascii="Times New Roman" w:hAnsi="Times New Roman" w:cs="Times New Roman"/>
              </w:rPr>
              <w:t xml:space="preserve">Heart of Borneo Project. </w:t>
            </w:r>
            <w:r w:rsidR="004966AF" w:rsidRPr="0061488A">
              <w:rPr>
                <w:rFonts w:ascii="Times New Roman" w:hAnsi="Times New Roman" w:cs="Times New Roman"/>
              </w:rPr>
              <w:t xml:space="preserve">This project </w:t>
            </w:r>
            <w:r w:rsidR="002148AB" w:rsidRPr="0061488A">
              <w:rPr>
                <w:rFonts w:ascii="Times New Roman" w:hAnsi="Times New Roman" w:cs="Times New Roman"/>
              </w:rPr>
              <w:t xml:space="preserve">aims to establish effective </w:t>
            </w:r>
            <w:r w:rsidRPr="0061488A">
              <w:rPr>
                <w:rFonts w:ascii="Times New Roman" w:hAnsi="Times New Roman" w:cs="Times New Roman"/>
              </w:rPr>
              <w:t xml:space="preserve">management </w:t>
            </w:r>
            <w:r w:rsidR="002148AB" w:rsidRPr="0061488A">
              <w:rPr>
                <w:rFonts w:ascii="Times New Roman" w:hAnsi="Times New Roman" w:cs="Times New Roman"/>
              </w:rPr>
              <w:t xml:space="preserve">and conservation, </w:t>
            </w:r>
            <w:r w:rsidR="004966AF" w:rsidRPr="0061488A">
              <w:rPr>
                <w:rFonts w:ascii="Times New Roman" w:hAnsi="Times New Roman" w:cs="Times New Roman"/>
              </w:rPr>
              <w:t xml:space="preserve">and is </w:t>
            </w:r>
            <w:r w:rsidR="002148AB" w:rsidRPr="0061488A">
              <w:rPr>
                <w:rFonts w:ascii="Times New Roman" w:hAnsi="Times New Roman" w:cs="Times New Roman"/>
              </w:rPr>
              <w:t>led by WWF Indonesia.</w:t>
            </w:r>
            <w:r w:rsidRPr="0061488A">
              <w:rPr>
                <w:rFonts w:ascii="Times New Roman" w:hAnsi="Times New Roman" w:cs="Times New Roman"/>
              </w:rPr>
              <w:t xml:space="preserve"> </w:t>
            </w:r>
            <w:hyperlink r:id="rId14" w:history="1">
              <w:r w:rsidRPr="0061488A">
                <w:rPr>
                  <w:rStyle w:val="Hyperlink"/>
                  <w:rFonts w:ascii="Times New Roman" w:hAnsi="Times New Roman" w:cs="Times New Roman"/>
                </w:rPr>
                <w:t>https://goo.gl/Yt56Jc</w:t>
              </w:r>
            </w:hyperlink>
            <w:r w:rsidRPr="0061488A">
              <w:rPr>
                <w:rFonts w:ascii="Times New Roman" w:hAnsi="Times New Roman" w:cs="Times New Roman"/>
              </w:rPr>
              <w:t xml:space="preserve">  </w:t>
            </w:r>
          </w:p>
          <w:p w14:paraId="2EABE529" w14:textId="484049CE" w:rsidR="00100385" w:rsidRPr="0061488A" w:rsidRDefault="00314A6A" w:rsidP="005F4F0C">
            <w:pPr>
              <w:pStyle w:val="ListParagraph"/>
              <w:numPr>
                <w:ilvl w:val="0"/>
                <w:numId w:val="2"/>
              </w:numPr>
              <w:ind w:left="317" w:hanging="317"/>
              <w:jc w:val="both"/>
              <w:rPr>
                <w:rFonts w:ascii="Times New Roman" w:hAnsi="Times New Roman" w:cs="Times New Roman"/>
              </w:rPr>
            </w:pPr>
            <w:r w:rsidRPr="0061488A">
              <w:rPr>
                <w:rFonts w:ascii="Times New Roman" w:hAnsi="Times New Roman" w:cs="Times New Roman"/>
              </w:rPr>
              <w:t xml:space="preserve">IJ-REDD+. </w:t>
            </w:r>
            <w:r w:rsidR="004966AF" w:rsidRPr="0061488A">
              <w:rPr>
                <w:rFonts w:ascii="Times New Roman" w:hAnsi="Times New Roman" w:cs="Times New Roman"/>
              </w:rPr>
              <w:t xml:space="preserve">This </w:t>
            </w:r>
            <w:r w:rsidRPr="0061488A">
              <w:rPr>
                <w:rFonts w:ascii="Times New Roman" w:hAnsi="Times New Roman" w:cs="Times New Roman"/>
              </w:rPr>
              <w:t xml:space="preserve">is </w:t>
            </w:r>
            <w:r w:rsidR="004966AF" w:rsidRPr="0061488A">
              <w:rPr>
                <w:rFonts w:ascii="Times New Roman" w:hAnsi="Times New Roman" w:cs="Times New Roman"/>
              </w:rPr>
              <w:t xml:space="preserve">an </w:t>
            </w:r>
            <w:r w:rsidRPr="0061488A">
              <w:rPr>
                <w:rFonts w:ascii="Times New Roman" w:hAnsi="Times New Roman" w:cs="Times New Roman"/>
              </w:rPr>
              <w:t xml:space="preserve">Indonesia-Japan Project for Development of </w:t>
            </w:r>
            <w:r w:rsidR="002148AB" w:rsidRPr="0061488A">
              <w:rPr>
                <w:rFonts w:ascii="Times New Roman" w:hAnsi="Times New Roman" w:cs="Times New Roman"/>
              </w:rPr>
              <w:t>REDD+. JICA is IJ-REDD+ managing project and implementer.</w:t>
            </w:r>
            <w:r w:rsidRPr="0061488A">
              <w:rPr>
                <w:rFonts w:ascii="Times New Roman" w:hAnsi="Times New Roman" w:cs="Times New Roman"/>
              </w:rPr>
              <w:t xml:space="preserve"> </w:t>
            </w:r>
            <w:hyperlink r:id="rId15" w:history="1">
              <w:r w:rsidRPr="0061488A">
                <w:rPr>
                  <w:rStyle w:val="Hyperlink"/>
                  <w:rFonts w:ascii="Times New Roman" w:hAnsi="Times New Roman" w:cs="Times New Roman"/>
                </w:rPr>
                <w:t>https://goo.gl/waUoju</w:t>
              </w:r>
            </w:hyperlink>
            <w:r w:rsidRPr="0061488A">
              <w:rPr>
                <w:rFonts w:ascii="Times New Roman" w:hAnsi="Times New Roman" w:cs="Times New Roman"/>
              </w:rPr>
              <w:t xml:space="preserve"> </w:t>
            </w:r>
          </w:p>
        </w:tc>
      </w:tr>
    </w:tbl>
    <w:p w14:paraId="2AA5B2A7" w14:textId="77777777" w:rsidR="00B75FA5" w:rsidRPr="00C80F34" w:rsidRDefault="00B75FA5" w:rsidP="008529B1">
      <w:pPr>
        <w:jc w:val="both"/>
        <w:rPr>
          <w:b/>
        </w:rPr>
      </w:pPr>
    </w:p>
    <w:p w14:paraId="31C372E8" w14:textId="77777777" w:rsidR="00774634" w:rsidRPr="00C80F34" w:rsidRDefault="00774634" w:rsidP="008529B1">
      <w:pPr>
        <w:pStyle w:val="ListParagraph"/>
        <w:numPr>
          <w:ilvl w:val="2"/>
          <w:numId w:val="1"/>
        </w:numPr>
        <w:spacing w:after="0" w:line="240" w:lineRule="auto"/>
        <w:jc w:val="both"/>
        <w:rPr>
          <w:rFonts w:ascii="Times New Roman" w:hAnsi="Times New Roman" w:cs="Times New Roman"/>
          <w:b/>
        </w:rPr>
      </w:pPr>
      <w:r w:rsidRPr="00C80F34">
        <w:rPr>
          <w:rFonts w:ascii="Times New Roman" w:hAnsi="Times New Roman" w:cs="Times New Roman"/>
          <w:b/>
        </w:rPr>
        <w:t>Financing and Investment</w:t>
      </w:r>
    </w:p>
    <w:tbl>
      <w:tblPr>
        <w:tblStyle w:val="TableGrid"/>
        <w:tblW w:w="10490" w:type="dxa"/>
        <w:tblInd w:w="-5" w:type="dxa"/>
        <w:tblLayout w:type="fixed"/>
        <w:tblLook w:val="04A0" w:firstRow="1" w:lastRow="0" w:firstColumn="1" w:lastColumn="0" w:noHBand="0" w:noVBand="1"/>
      </w:tblPr>
      <w:tblGrid>
        <w:gridCol w:w="2127"/>
        <w:gridCol w:w="8363"/>
      </w:tblGrid>
      <w:tr w:rsidR="00C259CD" w:rsidRPr="00C80F34" w14:paraId="4573D045" w14:textId="77777777" w:rsidTr="00C26272">
        <w:tc>
          <w:tcPr>
            <w:tcW w:w="2127" w:type="dxa"/>
          </w:tcPr>
          <w:p w14:paraId="321BF7A3" w14:textId="77777777" w:rsidR="00C259CD" w:rsidRPr="0061488A" w:rsidRDefault="00C259CD" w:rsidP="00C259CD">
            <w:pPr>
              <w:pStyle w:val="ListParagraph"/>
              <w:ind w:left="0"/>
              <w:rPr>
                <w:rFonts w:ascii="Times New Roman" w:hAnsi="Times New Roman" w:cs="Times New Roman"/>
              </w:rPr>
            </w:pPr>
            <w:r w:rsidRPr="0061488A">
              <w:rPr>
                <w:rFonts w:ascii="Times New Roman" w:hAnsi="Times New Roman" w:cs="Times New Roman"/>
              </w:rPr>
              <w:t>Is the jurisdictional strategy supported by a clear and detailed investment/implementation plan?</w:t>
            </w:r>
          </w:p>
        </w:tc>
        <w:tc>
          <w:tcPr>
            <w:tcW w:w="8363" w:type="dxa"/>
          </w:tcPr>
          <w:p w14:paraId="75F7FB62" w14:textId="7244E345" w:rsidR="00C259CD" w:rsidRPr="0061488A" w:rsidRDefault="00C259CD" w:rsidP="005F4F0C">
            <w:pPr>
              <w:jc w:val="both"/>
              <w:rPr>
                <w:sz w:val="22"/>
                <w:szCs w:val="22"/>
              </w:rPr>
            </w:pPr>
            <w:r w:rsidRPr="0061488A">
              <w:rPr>
                <w:sz w:val="22"/>
                <w:szCs w:val="22"/>
              </w:rPr>
              <w:t xml:space="preserve">Yes, it is. Both SRAP REDD+ and </w:t>
            </w:r>
            <w:r w:rsidR="00865A16" w:rsidRPr="0061488A">
              <w:rPr>
                <w:sz w:val="22"/>
                <w:szCs w:val="22"/>
              </w:rPr>
              <w:t xml:space="preserve">the </w:t>
            </w:r>
            <w:r w:rsidR="005D4D19" w:rsidRPr="0061488A">
              <w:rPr>
                <w:sz w:val="22"/>
                <w:szCs w:val="22"/>
              </w:rPr>
              <w:t xml:space="preserve">GGP </w:t>
            </w:r>
            <w:r w:rsidR="006B3803" w:rsidRPr="0061488A">
              <w:rPr>
                <w:sz w:val="22"/>
                <w:szCs w:val="22"/>
              </w:rPr>
              <w:t xml:space="preserve">have </w:t>
            </w:r>
            <w:r w:rsidRPr="0061488A">
              <w:rPr>
                <w:sz w:val="22"/>
                <w:szCs w:val="22"/>
              </w:rPr>
              <w:t>included detail long-term implementation</w:t>
            </w:r>
            <w:r w:rsidR="002E6D52" w:rsidRPr="0061488A">
              <w:rPr>
                <w:sz w:val="22"/>
                <w:szCs w:val="22"/>
              </w:rPr>
              <w:t xml:space="preserve"> and</w:t>
            </w:r>
            <w:r w:rsidRPr="0061488A">
              <w:rPr>
                <w:sz w:val="22"/>
                <w:szCs w:val="22"/>
              </w:rPr>
              <w:t xml:space="preserve"> investment plan</w:t>
            </w:r>
            <w:r w:rsidR="004A0BB4" w:rsidRPr="0061488A">
              <w:rPr>
                <w:sz w:val="22"/>
                <w:szCs w:val="22"/>
              </w:rPr>
              <w:t>s</w:t>
            </w:r>
            <w:r w:rsidRPr="0061488A">
              <w:rPr>
                <w:sz w:val="22"/>
                <w:szCs w:val="22"/>
              </w:rPr>
              <w:t>. SRAP</w:t>
            </w:r>
            <w:r w:rsidR="00ED5AB1" w:rsidRPr="0061488A">
              <w:rPr>
                <w:sz w:val="22"/>
                <w:szCs w:val="22"/>
              </w:rPr>
              <w:t xml:space="preserve"> REDD+ </w:t>
            </w:r>
            <w:r w:rsidRPr="0061488A">
              <w:rPr>
                <w:sz w:val="22"/>
                <w:szCs w:val="22"/>
              </w:rPr>
              <w:t xml:space="preserve">clearly </w:t>
            </w:r>
            <w:r w:rsidR="002E6D52" w:rsidRPr="0061488A">
              <w:rPr>
                <w:sz w:val="22"/>
                <w:szCs w:val="22"/>
              </w:rPr>
              <w:t xml:space="preserve">state </w:t>
            </w:r>
            <w:r w:rsidR="004A0BB4" w:rsidRPr="0061488A">
              <w:rPr>
                <w:sz w:val="22"/>
                <w:szCs w:val="22"/>
              </w:rPr>
              <w:t xml:space="preserve">its </w:t>
            </w:r>
            <w:r w:rsidR="002E6D52" w:rsidRPr="0061488A">
              <w:rPr>
                <w:sz w:val="22"/>
                <w:szCs w:val="22"/>
              </w:rPr>
              <w:t xml:space="preserve">strategy and implementation framework </w:t>
            </w:r>
            <w:r w:rsidR="00ED5AB1" w:rsidRPr="0061488A">
              <w:rPr>
                <w:sz w:val="22"/>
                <w:szCs w:val="22"/>
              </w:rPr>
              <w:t xml:space="preserve">in achieving </w:t>
            </w:r>
            <w:r w:rsidR="002E6D52" w:rsidRPr="0061488A">
              <w:rPr>
                <w:sz w:val="22"/>
                <w:szCs w:val="22"/>
              </w:rPr>
              <w:t>National Determined Contribution (NDC)</w:t>
            </w:r>
            <w:r w:rsidRPr="0061488A">
              <w:rPr>
                <w:sz w:val="22"/>
                <w:szCs w:val="22"/>
              </w:rPr>
              <w:t xml:space="preserve">. The SRAP also </w:t>
            </w:r>
            <w:r w:rsidR="004A0BB4" w:rsidRPr="0061488A">
              <w:rPr>
                <w:sz w:val="22"/>
                <w:szCs w:val="22"/>
              </w:rPr>
              <w:t xml:space="preserve">has a </w:t>
            </w:r>
            <w:r w:rsidRPr="0061488A">
              <w:rPr>
                <w:sz w:val="22"/>
                <w:szCs w:val="22"/>
              </w:rPr>
              <w:t>detail</w:t>
            </w:r>
            <w:r w:rsidR="00466914" w:rsidRPr="0061488A">
              <w:rPr>
                <w:sz w:val="22"/>
                <w:szCs w:val="22"/>
              </w:rPr>
              <w:t xml:space="preserve"> </w:t>
            </w:r>
            <w:r w:rsidR="00FD580E" w:rsidRPr="0061488A">
              <w:rPr>
                <w:sz w:val="22"/>
                <w:szCs w:val="22"/>
              </w:rPr>
              <w:t>plan</w:t>
            </w:r>
            <w:r w:rsidRPr="0061488A">
              <w:rPr>
                <w:sz w:val="22"/>
                <w:szCs w:val="22"/>
              </w:rPr>
              <w:t xml:space="preserve"> on </w:t>
            </w:r>
            <w:r w:rsidR="00FD580E" w:rsidRPr="0061488A">
              <w:rPr>
                <w:sz w:val="22"/>
                <w:szCs w:val="22"/>
              </w:rPr>
              <w:t xml:space="preserve">REDD+ finance </w:t>
            </w:r>
            <w:r w:rsidRPr="0061488A">
              <w:rPr>
                <w:sz w:val="22"/>
                <w:szCs w:val="22"/>
              </w:rPr>
              <w:t xml:space="preserve">and </w:t>
            </w:r>
            <w:r w:rsidR="00EE5892" w:rsidRPr="0061488A">
              <w:rPr>
                <w:sz w:val="22"/>
                <w:szCs w:val="22"/>
              </w:rPr>
              <w:t xml:space="preserve">green </w:t>
            </w:r>
            <w:r w:rsidR="00FD580E" w:rsidRPr="0061488A">
              <w:rPr>
                <w:sz w:val="22"/>
                <w:szCs w:val="22"/>
              </w:rPr>
              <w:t>business/</w:t>
            </w:r>
            <w:r w:rsidRPr="0061488A">
              <w:rPr>
                <w:sz w:val="22"/>
                <w:szCs w:val="22"/>
              </w:rPr>
              <w:t>investment</w:t>
            </w:r>
            <w:r w:rsidR="00FD580E" w:rsidRPr="0061488A">
              <w:rPr>
                <w:sz w:val="22"/>
                <w:szCs w:val="22"/>
              </w:rPr>
              <w:t xml:space="preserve"> development</w:t>
            </w:r>
            <w:r w:rsidRPr="0061488A">
              <w:rPr>
                <w:sz w:val="22"/>
                <w:szCs w:val="22"/>
              </w:rPr>
              <w:t xml:space="preserve">. Several </w:t>
            </w:r>
            <w:r w:rsidR="002E6D52" w:rsidRPr="0061488A">
              <w:rPr>
                <w:sz w:val="22"/>
                <w:szCs w:val="22"/>
              </w:rPr>
              <w:t>ongoing</w:t>
            </w:r>
            <w:r w:rsidR="00213C13" w:rsidRPr="0061488A">
              <w:rPr>
                <w:sz w:val="22"/>
                <w:szCs w:val="22"/>
              </w:rPr>
              <w:t xml:space="preserve"> pilot projects </w:t>
            </w:r>
            <w:r w:rsidR="00865A16" w:rsidRPr="0061488A">
              <w:rPr>
                <w:sz w:val="22"/>
                <w:szCs w:val="22"/>
              </w:rPr>
              <w:t xml:space="preserve">in the field </w:t>
            </w:r>
            <w:r w:rsidR="004A0BB4" w:rsidRPr="0061488A">
              <w:rPr>
                <w:sz w:val="22"/>
                <w:szCs w:val="22"/>
              </w:rPr>
              <w:t xml:space="preserve">that are related to SRAP REDD+ and GGP have incorporated </w:t>
            </w:r>
            <w:r w:rsidRPr="0061488A">
              <w:rPr>
                <w:sz w:val="22"/>
                <w:szCs w:val="22"/>
              </w:rPr>
              <w:t>investment plan</w:t>
            </w:r>
            <w:r w:rsidR="004A0BB4" w:rsidRPr="0061488A">
              <w:rPr>
                <w:sz w:val="22"/>
                <w:szCs w:val="22"/>
              </w:rPr>
              <w:t>s</w:t>
            </w:r>
            <w:r w:rsidRPr="0061488A">
              <w:rPr>
                <w:sz w:val="22"/>
                <w:szCs w:val="22"/>
              </w:rPr>
              <w:t xml:space="preserve"> such as </w:t>
            </w:r>
            <w:r w:rsidR="004A0BB4" w:rsidRPr="0061488A">
              <w:rPr>
                <w:sz w:val="22"/>
                <w:szCs w:val="22"/>
              </w:rPr>
              <w:t xml:space="preserve">village forest </w:t>
            </w:r>
            <w:r w:rsidRPr="0061488A">
              <w:rPr>
                <w:sz w:val="22"/>
                <w:szCs w:val="22"/>
              </w:rPr>
              <w:t xml:space="preserve">of Padang Tikar, </w:t>
            </w:r>
            <w:r w:rsidR="007841CA" w:rsidRPr="0061488A">
              <w:rPr>
                <w:sz w:val="22"/>
                <w:szCs w:val="22"/>
              </w:rPr>
              <w:t>landscape partnership between</w:t>
            </w:r>
            <w:r w:rsidRPr="0061488A">
              <w:rPr>
                <w:sz w:val="22"/>
                <w:szCs w:val="22"/>
              </w:rPr>
              <w:t xml:space="preserve"> PT </w:t>
            </w:r>
            <w:r w:rsidR="00E73B6D" w:rsidRPr="0061488A">
              <w:rPr>
                <w:sz w:val="22"/>
                <w:szCs w:val="22"/>
              </w:rPr>
              <w:t>EKL</w:t>
            </w:r>
            <w:r w:rsidR="00865A16" w:rsidRPr="0061488A">
              <w:rPr>
                <w:sz w:val="22"/>
                <w:szCs w:val="22"/>
              </w:rPr>
              <w:t xml:space="preserve"> and PT </w:t>
            </w:r>
            <w:r w:rsidR="00E73B6D" w:rsidRPr="0061488A">
              <w:rPr>
                <w:sz w:val="22"/>
                <w:szCs w:val="22"/>
              </w:rPr>
              <w:t>KLIA</w:t>
            </w:r>
            <w:r w:rsidR="00865A16" w:rsidRPr="0061488A">
              <w:rPr>
                <w:sz w:val="22"/>
                <w:szCs w:val="22"/>
              </w:rPr>
              <w:t xml:space="preserve">, Bumitama </w:t>
            </w:r>
            <w:r w:rsidR="00E73B6D" w:rsidRPr="0061488A">
              <w:rPr>
                <w:sz w:val="22"/>
                <w:szCs w:val="22"/>
              </w:rPr>
              <w:t>O</w:t>
            </w:r>
            <w:r w:rsidR="004A0BB4" w:rsidRPr="0061488A">
              <w:rPr>
                <w:sz w:val="22"/>
                <w:szCs w:val="22"/>
              </w:rPr>
              <w:t xml:space="preserve">rang utan corridor </w:t>
            </w:r>
            <w:r w:rsidR="00865A16" w:rsidRPr="0061488A">
              <w:rPr>
                <w:sz w:val="22"/>
                <w:szCs w:val="22"/>
              </w:rPr>
              <w:t>project</w:t>
            </w:r>
            <w:r w:rsidR="007841CA" w:rsidRPr="0061488A">
              <w:rPr>
                <w:sz w:val="22"/>
                <w:szCs w:val="22"/>
              </w:rPr>
              <w:t xml:space="preserve">, </w:t>
            </w:r>
            <w:r w:rsidR="00E8293C" w:rsidRPr="0061488A">
              <w:rPr>
                <w:sz w:val="22"/>
                <w:szCs w:val="22"/>
              </w:rPr>
              <w:t xml:space="preserve">landscape partnership of </w:t>
            </w:r>
            <w:r w:rsidRPr="0061488A">
              <w:rPr>
                <w:sz w:val="22"/>
                <w:szCs w:val="22"/>
              </w:rPr>
              <w:t xml:space="preserve">PT </w:t>
            </w:r>
            <w:r w:rsidR="00865A16" w:rsidRPr="0061488A">
              <w:rPr>
                <w:sz w:val="22"/>
                <w:szCs w:val="22"/>
              </w:rPr>
              <w:t>MAR</w:t>
            </w:r>
            <w:r w:rsidRPr="0061488A">
              <w:rPr>
                <w:sz w:val="22"/>
                <w:szCs w:val="22"/>
              </w:rPr>
              <w:t xml:space="preserve"> and Village Forest of Gunung Ambawang, etc. </w:t>
            </w:r>
          </w:p>
        </w:tc>
      </w:tr>
      <w:tr w:rsidR="00C259CD" w:rsidRPr="00C80F34" w14:paraId="71BD282D" w14:textId="77777777" w:rsidTr="00C26272">
        <w:tc>
          <w:tcPr>
            <w:tcW w:w="2127" w:type="dxa"/>
          </w:tcPr>
          <w:p w14:paraId="0709AFAD" w14:textId="77777777" w:rsidR="00C259CD" w:rsidRPr="0061488A" w:rsidRDefault="00C259CD" w:rsidP="00C259CD">
            <w:pPr>
              <w:pStyle w:val="ListParagraph"/>
              <w:ind w:left="0"/>
              <w:rPr>
                <w:rFonts w:ascii="Times New Roman" w:hAnsi="Times New Roman" w:cs="Times New Roman"/>
              </w:rPr>
            </w:pPr>
            <w:r w:rsidRPr="0061488A">
              <w:rPr>
                <w:rFonts w:ascii="Times New Roman" w:hAnsi="Times New Roman" w:cs="Times New Roman"/>
              </w:rPr>
              <w:t>If yes, what is the reach of the investment plan (for example, geographic reach, sectoral reach)? Please describe</w:t>
            </w:r>
          </w:p>
        </w:tc>
        <w:tc>
          <w:tcPr>
            <w:tcW w:w="8363" w:type="dxa"/>
          </w:tcPr>
          <w:p w14:paraId="19A533B3" w14:textId="09DFFF9F" w:rsidR="00C259CD" w:rsidRPr="0061488A" w:rsidRDefault="00AE0D76" w:rsidP="005F4F0C">
            <w:pPr>
              <w:pStyle w:val="ListParagraph"/>
              <w:ind w:left="0"/>
              <w:jc w:val="both"/>
              <w:rPr>
                <w:rFonts w:ascii="Times New Roman" w:hAnsi="Times New Roman" w:cs="Times New Roman"/>
              </w:rPr>
            </w:pPr>
            <w:r w:rsidRPr="0061488A">
              <w:rPr>
                <w:rFonts w:ascii="Times New Roman" w:hAnsi="Times New Roman" w:cs="Times New Roman"/>
              </w:rPr>
              <w:t xml:space="preserve">The plan for investment is to </w:t>
            </w:r>
            <w:r w:rsidR="00D52FB0" w:rsidRPr="0061488A">
              <w:rPr>
                <w:rFonts w:ascii="Times New Roman" w:hAnsi="Times New Roman" w:cs="Times New Roman"/>
              </w:rPr>
              <w:t>improve</w:t>
            </w:r>
            <w:r w:rsidR="002172F1" w:rsidRPr="0061488A">
              <w:rPr>
                <w:rFonts w:ascii="Times New Roman" w:hAnsi="Times New Roman" w:cs="Times New Roman"/>
              </w:rPr>
              <w:t xml:space="preserve"> </w:t>
            </w:r>
            <w:r w:rsidR="00D52FB0" w:rsidRPr="0061488A">
              <w:rPr>
                <w:rFonts w:ascii="Times New Roman" w:hAnsi="Times New Roman" w:cs="Times New Roman"/>
              </w:rPr>
              <w:t xml:space="preserve">the scale of </w:t>
            </w:r>
            <w:r w:rsidR="00814F24" w:rsidRPr="0061488A">
              <w:rPr>
                <w:rFonts w:ascii="Times New Roman" w:hAnsi="Times New Roman" w:cs="Times New Roman"/>
              </w:rPr>
              <w:t xml:space="preserve">REDD+ activity and </w:t>
            </w:r>
            <w:r w:rsidR="00FD0A40" w:rsidRPr="0061488A">
              <w:rPr>
                <w:rFonts w:ascii="Times New Roman" w:hAnsi="Times New Roman" w:cs="Times New Roman"/>
              </w:rPr>
              <w:t xml:space="preserve">green </w:t>
            </w:r>
            <w:r w:rsidR="002172F1" w:rsidRPr="0061488A">
              <w:rPr>
                <w:rFonts w:ascii="Times New Roman" w:hAnsi="Times New Roman" w:cs="Times New Roman"/>
              </w:rPr>
              <w:t>business/investment for</w:t>
            </w:r>
            <w:r w:rsidR="00FD0A40" w:rsidRPr="0061488A">
              <w:rPr>
                <w:rFonts w:ascii="Times New Roman" w:hAnsi="Times New Roman" w:cs="Times New Roman"/>
              </w:rPr>
              <w:t xml:space="preserve"> and from</w:t>
            </w:r>
            <w:r w:rsidR="002172F1" w:rsidRPr="0061488A">
              <w:rPr>
                <w:rFonts w:ascii="Times New Roman" w:hAnsi="Times New Roman" w:cs="Times New Roman"/>
              </w:rPr>
              <w:t xml:space="preserve"> </w:t>
            </w:r>
            <w:r w:rsidR="00FD0A40" w:rsidRPr="0061488A">
              <w:rPr>
                <w:rFonts w:ascii="Times New Roman" w:hAnsi="Times New Roman" w:cs="Times New Roman"/>
              </w:rPr>
              <w:t xml:space="preserve">the </w:t>
            </w:r>
            <w:r w:rsidRPr="0061488A">
              <w:rPr>
                <w:rFonts w:ascii="Times New Roman" w:hAnsi="Times New Roman" w:cs="Times New Roman"/>
              </w:rPr>
              <w:t>private sector, community</w:t>
            </w:r>
            <w:r w:rsidR="00D52FB0" w:rsidRPr="0061488A">
              <w:rPr>
                <w:rFonts w:ascii="Times New Roman" w:hAnsi="Times New Roman" w:cs="Times New Roman"/>
              </w:rPr>
              <w:t xml:space="preserve"> and government</w:t>
            </w:r>
            <w:r w:rsidR="005D4D19" w:rsidRPr="0061488A">
              <w:rPr>
                <w:rFonts w:ascii="Times New Roman" w:hAnsi="Times New Roman" w:cs="Times New Roman"/>
              </w:rPr>
              <w:t xml:space="preserve">. </w:t>
            </w:r>
            <w:r w:rsidR="00FD0A40" w:rsidRPr="0061488A">
              <w:rPr>
                <w:rFonts w:ascii="Times New Roman" w:hAnsi="Times New Roman" w:cs="Times New Roman"/>
              </w:rPr>
              <w:t>Some</w:t>
            </w:r>
            <w:r w:rsidR="005D4D19" w:rsidRPr="0061488A">
              <w:rPr>
                <w:rFonts w:ascii="Times New Roman" w:hAnsi="Times New Roman" w:cs="Times New Roman"/>
              </w:rPr>
              <w:t xml:space="preserve"> </w:t>
            </w:r>
            <w:r w:rsidR="00FD0A40" w:rsidRPr="0061488A">
              <w:rPr>
                <w:rFonts w:ascii="Times New Roman" w:hAnsi="Times New Roman" w:cs="Times New Roman"/>
              </w:rPr>
              <w:t xml:space="preserve">activities that focus on addressing enabling environment (including under </w:t>
            </w:r>
            <w:r w:rsidR="00EA026A" w:rsidRPr="0061488A">
              <w:rPr>
                <w:rFonts w:ascii="Times New Roman" w:hAnsi="Times New Roman" w:cs="Times New Roman"/>
              </w:rPr>
              <w:t xml:space="preserve">SRAP or </w:t>
            </w:r>
            <w:r w:rsidR="005D4D19" w:rsidRPr="0061488A">
              <w:rPr>
                <w:rFonts w:ascii="Times New Roman" w:hAnsi="Times New Roman" w:cs="Times New Roman"/>
              </w:rPr>
              <w:t>G</w:t>
            </w:r>
            <w:r w:rsidR="00EA026A" w:rsidRPr="0061488A">
              <w:rPr>
                <w:rFonts w:ascii="Times New Roman" w:hAnsi="Times New Roman" w:cs="Times New Roman"/>
              </w:rPr>
              <w:t xml:space="preserve">reen </w:t>
            </w:r>
            <w:r w:rsidR="005D4D19" w:rsidRPr="0061488A">
              <w:rPr>
                <w:rFonts w:ascii="Times New Roman" w:hAnsi="Times New Roman" w:cs="Times New Roman"/>
              </w:rPr>
              <w:t>G</w:t>
            </w:r>
            <w:r w:rsidR="00EA026A" w:rsidRPr="0061488A">
              <w:rPr>
                <w:rFonts w:ascii="Times New Roman" w:hAnsi="Times New Roman" w:cs="Times New Roman"/>
              </w:rPr>
              <w:t xml:space="preserve">rowth </w:t>
            </w:r>
            <w:r w:rsidR="005D4D19" w:rsidRPr="0061488A">
              <w:rPr>
                <w:rFonts w:ascii="Times New Roman" w:hAnsi="Times New Roman" w:cs="Times New Roman"/>
              </w:rPr>
              <w:t>P</w:t>
            </w:r>
            <w:r w:rsidR="00EA026A" w:rsidRPr="0061488A">
              <w:rPr>
                <w:rFonts w:ascii="Times New Roman" w:hAnsi="Times New Roman" w:cs="Times New Roman"/>
              </w:rPr>
              <w:t>lan</w:t>
            </w:r>
            <w:r w:rsidR="00FD0A40" w:rsidRPr="0061488A">
              <w:rPr>
                <w:rFonts w:ascii="Times New Roman" w:hAnsi="Times New Roman" w:cs="Times New Roman"/>
              </w:rPr>
              <w:t>)</w:t>
            </w:r>
            <w:r w:rsidR="005D4D19" w:rsidRPr="0061488A">
              <w:rPr>
                <w:rFonts w:ascii="Times New Roman" w:hAnsi="Times New Roman" w:cs="Times New Roman"/>
              </w:rPr>
              <w:t xml:space="preserve"> </w:t>
            </w:r>
            <w:r w:rsidR="00C259CD" w:rsidRPr="0061488A">
              <w:rPr>
                <w:rFonts w:ascii="Times New Roman" w:hAnsi="Times New Roman" w:cs="Times New Roman"/>
              </w:rPr>
              <w:t xml:space="preserve">are still </w:t>
            </w:r>
            <w:r w:rsidR="00865A16" w:rsidRPr="0061488A">
              <w:rPr>
                <w:rFonts w:ascii="Times New Roman" w:hAnsi="Times New Roman" w:cs="Times New Roman"/>
              </w:rPr>
              <w:t>mainly funded by grant</w:t>
            </w:r>
            <w:r w:rsidR="00FD0A40" w:rsidRPr="0061488A">
              <w:rPr>
                <w:rFonts w:ascii="Times New Roman" w:hAnsi="Times New Roman" w:cs="Times New Roman"/>
              </w:rPr>
              <w:t>s</w:t>
            </w:r>
            <w:r w:rsidR="00C259CD" w:rsidRPr="0061488A">
              <w:rPr>
                <w:rFonts w:ascii="Times New Roman" w:hAnsi="Times New Roman" w:cs="Times New Roman"/>
              </w:rPr>
              <w:t xml:space="preserve">. </w:t>
            </w:r>
            <w:r w:rsidR="005D4D19" w:rsidRPr="0061488A">
              <w:rPr>
                <w:rFonts w:ascii="Times New Roman" w:hAnsi="Times New Roman" w:cs="Times New Roman"/>
              </w:rPr>
              <w:t>I</w:t>
            </w:r>
            <w:r w:rsidR="007371E2" w:rsidRPr="0061488A">
              <w:rPr>
                <w:rFonts w:ascii="Times New Roman" w:hAnsi="Times New Roman" w:cs="Times New Roman"/>
              </w:rPr>
              <w:t xml:space="preserve">n </w:t>
            </w:r>
            <w:r w:rsidR="00FD0A40" w:rsidRPr="0061488A">
              <w:rPr>
                <w:rFonts w:ascii="Times New Roman" w:hAnsi="Times New Roman" w:cs="Times New Roman"/>
              </w:rPr>
              <w:t xml:space="preserve">other </w:t>
            </w:r>
            <w:r w:rsidR="00C259CD" w:rsidRPr="0061488A">
              <w:rPr>
                <w:rFonts w:ascii="Times New Roman" w:hAnsi="Times New Roman" w:cs="Times New Roman"/>
              </w:rPr>
              <w:t xml:space="preserve">cases such as Village Forest of Padang Tikar, </w:t>
            </w:r>
            <w:r w:rsidR="00B37EB9" w:rsidRPr="0061488A">
              <w:rPr>
                <w:rFonts w:ascii="Times New Roman" w:hAnsi="Times New Roman" w:cs="Times New Roman"/>
              </w:rPr>
              <w:t xml:space="preserve">commercial </w:t>
            </w:r>
            <w:r w:rsidR="00FD0A40" w:rsidRPr="0061488A">
              <w:rPr>
                <w:rFonts w:ascii="Times New Roman" w:hAnsi="Times New Roman" w:cs="Times New Roman"/>
              </w:rPr>
              <w:t xml:space="preserve">investment </w:t>
            </w:r>
            <w:r w:rsidR="00B37EB9" w:rsidRPr="0061488A">
              <w:rPr>
                <w:rFonts w:ascii="Times New Roman" w:hAnsi="Times New Roman" w:cs="Times New Roman"/>
              </w:rPr>
              <w:t>is being explored. This village forest has</w:t>
            </w:r>
            <w:r w:rsidR="00865A16" w:rsidRPr="0061488A">
              <w:rPr>
                <w:rFonts w:ascii="Times New Roman" w:hAnsi="Times New Roman" w:cs="Times New Roman"/>
              </w:rPr>
              <w:t xml:space="preserve"> </w:t>
            </w:r>
            <w:r w:rsidR="00C259CD" w:rsidRPr="0061488A">
              <w:rPr>
                <w:rFonts w:ascii="Times New Roman" w:hAnsi="Times New Roman" w:cs="Times New Roman"/>
              </w:rPr>
              <w:t xml:space="preserve">proposed </w:t>
            </w:r>
            <w:r w:rsidR="007371E2" w:rsidRPr="0061488A">
              <w:rPr>
                <w:rFonts w:ascii="Times New Roman" w:hAnsi="Times New Roman" w:cs="Times New Roman"/>
              </w:rPr>
              <w:t xml:space="preserve">EUR 6 Million </w:t>
            </w:r>
            <w:r w:rsidR="00B37EB9" w:rsidRPr="0061488A">
              <w:rPr>
                <w:rFonts w:ascii="Times New Roman" w:hAnsi="Times New Roman" w:cs="Times New Roman"/>
              </w:rPr>
              <w:t xml:space="preserve">of </w:t>
            </w:r>
            <w:r w:rsidR="007371E2" w:rsidRPr="0061488A">
              <w:rPr>
                <w:rFonts w:ascii="Times New Roman" w:hAnsi="Times New Roman" w:cs="Times New Roman"/>
              </w:rPr>
              <w:t>soft-loan</w:t>
            </w:r>
            <w:r w:rsidR="00D53B56" w:rsidRPr="0061488A">
              <w:rPr>
                <w:rFonts w:ascii="Times New Roman" w:hAnsi="Times New Roman" w:cs="Times New Roman"/>
              </w:rPr>
              <w:t xml:space="preserve"> and </w:t>
            </w:r>
            <w:r w:rsidR="00B37EB9" w:rsidRPr="0061488A">
              <w:rPr>
                <w:rFonts w:ascii="Times New Roman" w:hAnsi="Times New Roman" w:cs="Times New Roman"/>
              </w:rPr>
              <w:t xml:space="preserve">is </w:t>
            </w:r>
            <w:r w:rsidR="00D53B56" w:rsidRPr="0061488A">
              <w:rPr>
                <w:rFonts w:ascii="Times New Roman" w:hAnsi="Times New Roman" w:cs="Times New Roman"/>
              </w:rPr>
              <w:t>waiting for approval</w:t>
            </w:r>
            <w:r w:rsidR="00B37EB9" w:rsidRPr="0061488A">
              <w:rPr>
                <w:rFonts w:ascii="Times New Roman" w:hAnsi="Times New Roman" w:cs="Times New Roman"/>
              </w:rPr>
              <w:t xml:space="preserve"> from BLU (Public Service Agency) of MoEF</w:t>
            </w:r>
            <w:r w:rsidR="00D53B56" w:rsidRPr="0061488A">
              <w:rPr>
                <w:rFonts w:ascii="Times New Roman" w:hAnsi="Times New Roman" w:cs="Times New Roman"/>
              </w:rPr>
              <w:t>,</w:t>
            </w:r>
            <w:r w:rsidR="007371E2" w:rsidRPr="0061488A">
              <w:rPr>
                <w:rFonts w:ascii="Times New Roman" w:hAnsi="Times New Roman" w:cs="Times New Roman"/>
              </w:rPr>
              <w:t xml:space="preserve"> </w:t>
            </w:r>
            <w:r w:rsidR="00B37EB9" w:rsidRPr="0061488A">
              <w:rPr>
                <w:rFonts w:ascii="Times New Roman" w:hAnsi="Times New Roman" w:cs="Times New Roman"/>
              </w:rPr>
              <w:t xml:space="preserve">to scale up </w:t>
            </w:r>
            <w:r w:rsidR="007371E2" w:rsidRPr="0061488A">
              <w:rPr>
                <w:rFonts w:ascii="Times New Roman" w:hAnsi="Times New Roman" w:cs="Times New Roman"/>
              </w:rPr>
              <w:t xml:space="preserve">their </w:t>
            </w:r>
            <w:r w:rsidR="00C259CD" w:rsidRPr="0061488A">
              <w:rPr>
                <w:rFonts w:ascii="Times New Roman" w:hAnsi="Times New Roman" w:cs="Times New Roman"/>
              </w:rPr>
              <w:t>honey, crab and coconut briquette</w:t>
            </w:r>
            <w:r w:rsidR="007371E2" w:rsidRPr="0061488A">
              <w:rPr>
                <w:rFonts w:ascii="Times New Roman" w:hAnsi="Times New Roman" w:cs="Times New Roman"/>
              </w:rPr>
              <w:t xml:space="preserve"> production capacity</w:t>
            </w:r>
            <w:r w:rsidR="00C259CD" w:rsidRPr="0061488A">
              <w:rPr>
                <w:rFonts w:ascii="Times New Roman" w:hAnsi="Times New Roman" w:cs="Times New Roman"/>
              </w:rPr>
              <w:t>. At the same time,</w:t>
            </w:r>
            <w:r w:rsidR="00865A16" w:rsidRPr="0061488A">
              <w:rPr>
                <w:rFonts w:ascii="Times New Roman" w:hAnsi="Times New Roman" w:cs="Times New Roman"/>
              </w:rPr>
              <w:t xml:space="preserve"> the </w:t>
            </w:r>
            <w:r w:rsidR="00B37EB9" w:rsidRPr="0061488A">
              <w:rPr>
                <w:rFonts w:ascii="Times New Roman" w:hAnsi="Times New Roman" w:cs="Times New Roman"/>
              </w:rPr>
              <w:t>provincial</w:t>
            </w:r>
            <w:r w:rsidR="007371E2" w:rsidRPr="0061488A">
              <w:rPr>
                <w:rFonts w:ascii="Times New Roman" w:hAnsi="Times New Roman" w:cs="Times New Roman"/>
              </w:rPr>
              <w:t xml:space="preserve"> go</w:t>
            </w:r>
            <w:r w:rsidR="00C259CD" w:rsidRPr="0061488A">
              <w:rPr>
                <w:rFonts w:ascii="Times New Roman" w:hAnsi="Times New Roman" w:cs="Times New Roman"/>
              </w:rPr>
              <w:t xml:space="preserve">vernment is </w:t>
            </w:r>
            <w:r w:rsidR="00B37EB9" w:rsidRPr="0061488A">
              <w:rPr>
                <w:rFonts w:ascii="Times New Roman" w:hAnsi="Times New Roman" w:cs="Times New Roman"/>
              </w:rPr>
              <w:t xml:space="preserve">discussing </w:t>
            </w:r>
            <w:r w:rsidR="00C259CD" w:rsidRPr="0061488A">
              <w:rPr>
                <w:rFonts w:ascii="Times New Roman" w:hAnsi="Times New Roman" w:cs="Times New Roman"/>
              </w:rPr>
              <w:t xml:space="preserve">with </w:t>
            </w:r>
            <w:r w:rsidR="00B37EB9" w:rsidRPr="0061488A">
              <w:rPr>
                <w:rFonts w:ascii="Times New Roman" w:hAnsi="Times New Roman" w:cs="Times New Roman"/>
              </w:rPr>
              <w:t>MoEF</w:t>
            </w:r>
            <w:r w:rsidR="00C259CD" w:rsidRPr="0061488A">
              <w:rPr>
                <w:rFonts w:ascii="Times New Roman" w:hAnsi="Times New Roman" w:cs="Times New Roman"/>
              </w:rPr>
              <w:t xml:space="preserve"> and Ministry of Finance to </w:t>
            </w:r>
            <w:r w:rsidR="00865A16" w:rsidRPr="0061488A">
              <w:rPr>
                <w:rFonts w:ascii="Times New Roman" w:hAnsi="Times New Roman" w:cs="Times New Roman"/>
              </w:rPr>
              <w:t xml:space="preserve">work on the possible </w:t>
            </w:r>
            <w:r w:rsidR="00740569" w:rsidRPr="0061488A">
              <w:rPr>
                <w:rFonts w:ascii="Times New Roman" w:hAnsi="Times New Roman" w:cs="Times New Roman"/>
              </w:rPr>
              <w:t xml:space="preserve">Result Based Payment (RBP) </w:t>
            </w:r>
            <w:r w:rsidR="00E62699" w:rsidRPr="0061488A">
              <w:rPr>
                <w:rFonts w:ascii="Times New Roman" w:hAnsi="Times New Roman" w:cs="Times New Roman"/>
              </w:rPr>
              <w:t xml:space="preserve">mechanism (a </w:t>
            </w:r>
            <w:r w:rsidR="00C259CD" w:rsidRPr="0061488A">
              <w:rPr>
                <w:rFonts w:ascii="Times New Roman" w:hAnsi="Times New Roman" w:cs="Times New Roman"/>
              </w:rPr>
              <w:t xml:space="preserve">carbon </w:t>
            </w:r>
            <w:r w:rsidR="00712629" w:rsidRPr="0061488A">
              <w:rPr>
                <w:rFonts w:ascii="Times New Roman" w:hAnsi="Times New Roman" w:cs="Times New Roman"/>
              </w:rPr>
              <w:t xml:space="preserve">payment </w:t>
            </w:r>
            <w:r w:rsidR="00C259CD" w:rsidRPr="0061488A">
              <w:rPr>
                <w:rFonts w:ascii="Times New Roman" w:hAnsi="Times New Roman" w:cs="Times New Roman"/>
              </w:rPr>
              <w:t>incentive</w:t>
            </w:r>
            <w:r w:rsidR="00E62699" w:rsidRPr="0061488A">
              <w:rPr>
                <w:rFonts w:ascii="Times New Roman" w:hAnsi="Times New Roman" w:cs="Times New Roman"/>
              </w:rPr>
              <w:t>)</w:t>
            </w:r>
            <w:r w:rsidR="00E73B6D" w:rsidRPr="0061488A">
              <w:rPr>
                <w:rFonts w:ascii="Times New Roman" w:hAnsi="Times New Roman" w:cs="Times New Roman"/>
              </w:rPr>
              <w:t xml:space="preserve"> in the Ecological Fiscal Transfer (EFT)</w:t>
            </w:r>
            <w:r w:rsidR="00C259CD" w:rsidRPr="0061488A">
              <w:rPr>
                <w:rFonts w:ascii="Times New Roman" w:hAnsi="Times New Roman" w:cs="Times New Roman"/>
              </w:rPr>
              <w:t xml:space="preserve"> </w:t>
            </w:r>
            <w:r w:rsidR="00B37EB9" w:rsidRPr="0061488A">
              <w:rPr>
                <w:rFonts w:ascii="Times New Roman" w:hAnsi="Times New Roman" w:cs="Times New Roman"/>
              </w:rPr>
              <w:t xml:space="preserve">that is </w:t>
            </w:r>
            <w:r w:rsidR="00C911C8" w:rsidRPr="0061488A">
              <w:rPr>
                <w:rFonts w:ascii="Times New Roman" w:hAnsi="Times New Roman" w:cs="Times New Roman"/>
              </w:rPr>
              <w:t xml:space="preserve">under LOI with </w:t>
            </w:r>
            <w:r w:rsidR="00865A16" w:rsidRPr="0061488A">
              <w:rPr>
                <w:rFonts w:ascii="Times New Roman" w:hAnsi="Times New Roman" w:cs="Times New Roman"/>
              </w:rPr>
              <w:t>the Norway Government.</w:t>
            </w:r>
          </w:p>
        </w:tc>
      </w:tr>
      <w:tr w:rsidR="00851113" w:rsidRPr="00C80F34" w14:paraId="04E38F0D" w14:textId="77777777" w:rsidTr="00C26272">
        <w:tc>
          <w:tcPr>
            <w:tcW w:w="2127" w:type="dxa"/>
          </w:tcPr>
          <w:p w14:paraId="00BB3180" w14:textId="77777777" w:rsidR="00851113" w:rsidRPr="0061488A" w:rsidRDefault="00851113" w:rsidP="00851113">
            <w:pPr>
              <w:pStyle w:val="ListParagraph"/>
              <w:ind w:left="0"/>
              <w:rPr>
                <w:rFonts w:ascii="Times New Roman" w:hAnsi="Times New Roman" w:cs="Times New Roman"/>
              </w:rPr>
            </w:pPr>
            <w:r w:rsidRPr="0061488A">
              <w:rPr>
                <w:rFonts w:ascii="Times New Roman" w:hAnsi="Times New Roman" w:cs="Times New Roman"/>
              </w:rPr>
              <w:t>Have you identified the various existing financial streams that may be relevant to the implementation of the REDD+ strategy/plan and ways to engage them?</w:t>
            </w:r>
          </w:p>
        </w:tc>
        <w:tc>
          <w:tcPr>
            <w:tcW w:w="8363" w:type="dxa"/>
          </w:tcPr>
          <w:p w14:paraId="2866A563" w14:textId="78568BEC" w:rsidR="00851113" w:rsidRPr="0061488A" w:rsidRDefault="00851113" w:rsidP="005F4F0C">
            <w:pPr>
              <w:pStyle w:val="ListParagraph"/>
              <w:ind w:left="0"/>
              <w:jc w:val="both"/>
              <w:rPr>
                <w:rFonts w:ascii="Times New Roman" w:hAnsi="Times New Roman" w:cs="Times New Roman"/>
              </w:rPr>
            </w:pPr>
            <w:r w:rsidRPr="0061488A">
              <w:rPr>
                <w:rFonts w:ascii="Times New Roman" w:hAnsi="Times New Roman" w:cs="Times New Roman"/>
              </w:rPr>
              <w:t xml:space="preserve">Yes, we have. </w:t>
            </w:r>
            <w:r w:rsidR="00C22218" w:rsidRPr="0061488A">
              <w:rPr>
                <w:rFonts w:ascii="Times New Roman" w:hAnsi="Times New Roman" w:cs="Times New Roman"/>
              </w:rPr>
              <w:t>Potential f</w:t>
            </w:r>
            <w:r w:rsidRPr="0061488A">
              <w:rPr>
                <w:rFonts w:ascii="Times New Roman" w:hAnsi="Times New Roman" w:cs="Times New Roman"/>
              </w:rPr>
              <w:t xml:space="preserve">inancial streams </w:t>
            </w:r>
            <w:r w:rsidR="00C22218" w:rsidRPr="0061488A">
              <w:rPr>
                <w:rFonts w:ascii="Times New Roman" w:hAnsi="Times New Roman" w:cs="Times New Roman"/>
              </w:rPr>
              <w:t>for the SRAP</w:t>
            </w:r>
            <w:r w:rsidR="00D53B56" w:rsidRPr="0061488A">
              <w:rPr>
                <w:rFonts w:ascii="Times New Roman" w:hAnsi="Times New Roman" w:cs="Times New Roman"/>
              </w:rPr>
              <w:t xml:space="preserve"> REDD+</w:t>
            </w:r>
            <w:r w:rsidR="00C22218" w:rsidRPr="0061488A">
              <w:rPr>
                <w:rFonts w:ascii="Times New Roman" w:hAnsi="Times New Roman" w:cs="Times New Roman"/>
              </w:rPr>
              <w:t xml:space="preserve"> and </w:t>
            </w:r>
            <w:r w:rsidR="00D53B56" w:rsidRPr="0061488A">
              <w:rPr>
                <w:rFonts w:ascii="Times New Roman" w:hAnsi="Times New Roman" w:cs="Times New Roman"/>
              </w:rPr>
              <w:t xml:space="preserve">the </w:t>
            </w:r>
            <w:r w:rsidR="00C22218" w:rsidRPr="0061488A">
              <w:rPr>
                <w:rFonts w:ascii="Times New Roman" w:hAnsi="Times New Roman" w:cs="Times New Roman"/>
              </w:rPr>
              <w:t>GGP</w:t>
            </w:r>
            <w:r w:rsidR="009B4B7D" w:rsidRPr="0061488A">
              <w:rPr>
                <w:rFonts w:ascii="Times New Roman" w:hAnsi="Times New Roman" w:cs="Times New Roman"/>
              </w:rPr>
              <w:t>, among others,</w:t>
            </w:r>
            <w:r w:rsidR="00C22218" w:rsidRPr="0061488A">
              <w:rPr>
                <w:rFonts w:ascii="Times New Roman" w:hAnsi="Times New Roman" w:cs="Times New Roman"/>
              </w:rPr>
              <w:t xml:space="preserve"> </w:t>
            </w:r>
            <w:r w:rsidR="00D53B56" w:rsidRPr="0061488A">
              <w:rPr>
                <w:rFonts w:ascii="Times New Roman" w:hAnsi="Times New Roman" w:cs="Times New Roman"/>
              </w:rPr>
              <w:t>are</w:t>
            </w:r>
            <w:r w:rsidR="009B4B7D" w:rsidRPr="0061488A">
              <w:rPr>
                <w:rFonts w:ascii="Times New Roman" w:hAnsi="Times New Roman" w:cs="Times New Roman"/>
              </w:rPr>
              <w:t>:</w:t>
            </w:r>
            <w:r w:rsidRPr="0061488A">
              <w:rPr>
                <w:rFonts w:ascii="Times New Roman" w:hAnsi="Times New Roman" w:cs="Times New Roman"/>
              </w:rPr>
              <w:t xml:space="preserve"> a) Grant, b) Result Based Payment (RBP), and c) Investment (loan</w:t>
            </w:r>
            <w:r w:rsidR="009B4B7D" w:rsidRPr="0061488A">
              <w:rPr>
                <w:rFonts w:ascii="Times New Roman" w:hAnsi="Times New Roman" w:cs="Times New Roman"/>
              </w:rPr>
              <w:t>, equity, de-risking facility, etc.</w:t>
            </w:r>
            <w:r w:rsidRPr="0061488A">
              <w:rPr>
                <w:rFonts w:ascii="Times New Roman" w:hAnsi="Times New Roman" w:cs="Times New Roman"/>
              </w:rPr>
              <w:t xml:space="preserve">). </w:t>
            </w:r>
            <w:r w:rsidR="006E2F83" w:rsidRPr="0061488A">
              <w:rPr>
                <w:rFonts w:ascii="Times New Roman" w:hAnsi="Times New Roman" w:cs="Times New Roman"/>
              </w:rPr>
              <w:t>Potential grant</w:t>
            </w:r>
            <w:r w:rsidR="009B4B7D" w:rsidRPr="0061488A">
              <w:rPr>
                <w:rFonts w:ascii="Times New Roman" w:hAnsi="Times New Roman" w:cs="Times New Roman"/>
              </w:rPr>
              <w:t>s</w:t>
            </w:r>
            <w:r w:rsidR="006E2F83" w:rsidRPr="0061488A">
              <w:rPr>
                <w:rFonts w:ascii="Times New Roman" w:hAnsi="Times New Roman" w:cs="Times New Roman"/>
              </w:rPr>
              <w:t xml:space="preserve"> </w:t>
            </w:r>
            <w:r w:rsidR="009B4B7D" w:rsidRPr="0061488A">
              <w:rPr>
                <w:rFonts w:ascii="Times New Roman" w:hAnsi="Times New Roman" w:cs="Times New Roman"/>
              </w:rPr>
              <w:t xml:space="preserve">can come </w:t>
            </w:r>
            <w:r w:rsidR="00D53B56" w:rsidRPr="0061488A">
              <w:rPr>
                <w:rFonts w:ascii="Times New Roman" w:hAnsi="Times New Roman" w:cs="Times New Roman"/>
              </w:rPr>
              <w:t>from grant making institutions such as</w:t>
            </w:r>
            <w:r w:rsidRPr="0061488A">
              <w:rPr>
                <w:rFonts w:ascii="Times New Roman" w:hAnsi="Times New Roman" w:cs="Times New Roman"/>
              </w:rPr>
              <w:t xml:space="preserve"> </w:t>
            </w:r>
            <w:r w:rsidR="00E67531" w:rsidRPr="0061488A">
              <w:rPr>
                <w:rFonts w:ascii="Times New Roman" w:hAnsi="Times New Roman" w:cs="Times New Roman"/>
              </w:rPr>
              <w:t>Y</w:t>
            </w:r>
            <w:r w:rsidRPr="0061488A">
              <w:rPr>
                <w:rFonts w:ascii="Times New Roman" w:hAnsi="Times New Roman" w:cs="Times New Roman"/>
              </w:rPr>
              <w:t xml:space="preserve">IDH, TFCA, IJ-REDD+, ICTTF, FIP, Belantara Foundation, etc. </w:t>
            </w:r>
            <w:r w:rsidR="000F3BF7" w:rsidRPr="0061488A">
              <w:rPr>
                <w:rFonts w:ascii="Times New Roman" w:hAnsi="Times New Roman" w:cs="Times New Roman"/>
              </w:rPr>
              <w:t xml:space="preserve">The </w:t>
            </w:r>
            <w:r w:rsidRPr="0061488A">
              <w:rPr>
                <w:rFonts w:ascii="Times New Roman" w:hAnsi="Times New Roman" w:cs="Times New Roman"/>
              </w:rPr>
              <w:t xml:space="preserve">RBP is </w:t>
            </w:r>
            <w:r w:rsidR="00D53B56" w:rsidRPr="0061488A">
              <w:rPr>
                <w:rFonts w:ascii="Times New Roman" w:hAnsi="Times New Roman" w:cs="Times New Roman"/>
              </w:rPr>
              <w:t xml:space="preserve">a </w:t>
            </w:r>
            <w:r w:rsidR="009B4B7D" w:rsidRPr="0061488A">
              <w:rPr>
                <w:rFonts w:ascii="Times New Roman" w:hAnsi="Times New Roman" w:cs="Times New Roman"/>
              </w:rPr>
              <w:t>n</w:t>
            </w:r>
            <w:r w:rsidRPr="0061488A">
              <w:rPr>
                <w:rFonts w:ascii="Times New Roman" w:hAnsi="Times New Roman" w:cs="Times New Roman"/>
              </w:rPr>
              <w:t xml:space="preserve">ational </w:t>
            </w:r>
            <w:r w:rsidR="009B4B7D" w:rsidRPr="0061488A">
              <w:rPr>
                <w:rFonts w:ascii="Times New Roman" w:hAnsi="Times New Roman" w:cs="Times New Roman"/>
              </w:rPr>
              <w:t xml:space="preserve">government </w:t>
            </w:r>
            <w:r w:rsidR="00D53B56" w:rsidRPr="0061488A">
              <w:rPr>
                <w:rFonts w:ascii="Times New Roman" w:hAnsi="Times New Roman" w:cs="Times New Roman"/>
              </w:rPr>
              <w:t xml:space="preserve">led scheme such as through the </w:t>
            </w:r>
            <w:r w:rsidRPr="0061488A">
              <w:rPr>
                <w:rFonts w:ascii="Times New Roman" w:hAnsi="Times New Roman" w:cs="Times New Roman"/>
              </w:rPr>
              <w:t xml:space="preserve">LOI with </w:t>
            </w:r>
            <w:r w:rsidR="00D53B56" w:rsidRPr="0061488A">
              <w:rPr>
                <w:rFonts w:ascii="Times New Roman" w:hAnsi="Times New Roman" w:cs="Times New Roman"/>
              </w:rPr>
              <w:t>the Norway Government</w:t>
            </w:r>
            <w:r w:rsidRPr="0061488A">
              <w:rPr>
                <w:rFonts w:ascii="Times New Roman" w:hAnsi="Times New Roman" w:cs="Times New Roman"/>
              </w:rPr>
              <w:t xml:space="preserve">. </w:t>
            </w:r>
            <w:r w:rsidR="009B4B7D" w:rsidRPr="0061488A">
              <w:rPr>
                <w:rFonts w:ascii="Times New Roman" w:hAnsi="Times New Roman" w:cs="Times New Roman"/>
              </w:rPr>
              <w:t xml:space="preserve">The RBP can also be associated with Ecological Fiscal Transfer (EFT) that is now being developed by Ministry of Finance. </w:t>
            </w:r>
            <w:r w:rsidR="00D53B56" w:rsidRPr="0061488A">
              <w:rPr>
                <w:rFonts w:ascii="Times New Roman" w:hAnsi="Times New Roman" w:cs="Times New Roman"/>
              </w:rPr>
              <w:t>I</w:t>
            </w:r>
            <w:r w:rsidRPr="0061488A">
              <w:rPr>
                <w:rFonts w:ascii="Times New Roman" w:hAnsi="Times New Roman" w:cs="Times New Roman"/>
              </w:rPr>
              <w:t>nvestment</w:t>
            </w:r>
            <w:r w:rsidR="0071605E" w:rsidRPr="0061488A">
              <w:rPr>
                <w:rFonts w:ascii="Times New Roman" w:hAnsi="Times New Roman" w:cs="Times New Roman"/>
              </w:rPr>
              <w:t xml:space="preserve"> is </w:t>
            </w:r>
            <w:r w:rsidRPr="0061488A">
              <w:rPr>
                <w:rFonts w:ascii="Times New Roman" w:hAnsi="Times New Roman" w:cs="Times New Roman"/>
              </w:rPr>
              <w:t xml:space="preserve">to provide equity and </w:t>
            </w:r>
            <w:r w:rsidR="009B4B7D" w:rsidRPr="0061488A">
              <w:rPr>
                <w:rFonts w:ascii="Times New Roman" w:hAnsi="Times New Roman" w:cs="Times New Roman"/>
              </w:rPr>
              <w:t xml:space="preserve">different type of </w:t>
            </w:r>
            <w:r w:rsidRPr="0061488A">
              <w:rPr>
                <w:rFonts w:ascii="Times New Roman" w:hAnsi="Times New Roman" w:cs="Times New Roman"/>
              </w:rPr>
              <w:t xml:space="preserve">capital for </w:t>
            </w:r>
            <w:r w:rsidR="009B4B7D" w:rsidRPr="0061488A">
              <w:rPr>
                <w:rFonts w:ascii="Times New Roman" w:hAnsi="Times New Roman" w:cs="Times New Roman"/>
              </w:rPr>
              <w:t xml:space="preserve">the </w:t>
            </w:r>
            <w:r w:rsidRPr="0061488A">
              <w:rPr>
                <w:rFonts w:ascii="Times New Roman" w:hAnsi="Times New Roman" w:cs="Times New Roman"/>
              </w:rPr>
              <w:t>private sector</w:t>
            </w:r>
            <w:r w:rsidR="00D53B56" w:rsidRPr="0061488A">
              <w:rPr>
                <w:rFonts w:ascii="Times New Roman" w:hAnsi="Times New Roman" w:cs="Times New Roman"/>
              </w:rPr>
              <w:t xml:space="preserve"> and smallholders</w:t>
            </w:r>
            <w:r w:rsidRPr="0061488A">
              <w:rPr>
                <w:rFonts w:ascii="Times New Roman" w:hAnsi="Times New Roman" w:cs="Times New Roman"/>
              </w:rPr>
              <w:t xml:space="preserve"> to run their business</w:t>
            </w:r>
            <w:r w:rsidR="009B4B7D" w:rsidRPr="0061488A">
              <w:rPr>
                <w:rFonts w:ascii="Times New Roman" w:hAnsi="Times New Roman" w:cs="Times New Roman"/>
              </w:rPr>
              <w:t>es in a sustainable manner</w:t>
            </w:r>
            <w:r w:rsidR="0071605E" w:rsidRPr="0061488A">
              <w:rPr>
                <w:rFonts w:ascii="Times New Roman" w:hAnsi="Times New Roman" w:cs="Times New Roman"/>
              </w:rPr>
              <w:t xml:space="preserve"> </w:t>
            </w:r>
            <w:r w:rsidRPr="0061488A">
              <w:rPr>
                <w:rFonts w:ascii="Times New Roman" w:hAnsi="Times New Roman" w:cs="Times New Roman"/>
              </w:rPr>
              <w:t>such as Tropical Landscape Finance Facility (TLFF), Green Climate Fund (GCF), Forest Carbon Partnership Facilit</w:t>
            </w:r>
            <w:r w:rsidR="00D53B56" w:rsidRPr="0061488A">
              <w:rPr>
                <w:rFonts w:ascii="Times New Roman" w:hAnsi="Times New Roman" w:cs="Times New Roman"/>
              </w:rPr>
              <w:t>y, Bio Carbon Fund, And.G</w:t>
            </w:r>
            <w:r w:rsidRPr="0061488A">
              <w:rPr>
                <w:rFonts w:ascii="Times New Roman" w:hAnsi="Times New Roman" w:cs="Times New Roman"/>
              </w:rPr>
              <w:t xml:space="preserve">reen Fund, </w:t>
            </w:r>
            <w:r w:rsidR="009B4B7D" w:rsidRPr="0061488A">
              <w:rPr>
                <w:rFonts w:ascii="Times New Roman" w:hAnsi="Times New Roman" w:cs="Times New Roman"/>
              </w:rPr>
              <w:t xml:space="preserve">and </w:t>
            </w:r>
            <w:r w:rsidRPr="0061488A">
              <w:rPr>
                <w:rFonts w:ascii="Times New Roman" w:hAnsi="Times New Roman" w:cs="Times New Roman"/>
              </w:rPr>
              <w:t xml:space="preserve">UN-REDD. Some </w:t>
            </w:r>
            <w:r w:rsidR="00C7540B" w:rsidRPr="0061488A">
              <w:rPr>
                <w:rFonts w:ascii="Times New Roman" w:hAnsi="Times New Roman" w:cs="Times New Roman"/>
              </w:rPr>
              <w:t>grants have been explored and disbursed namely from</w:t>
            </w:r>
            <w:r w:rsidRPr="0061488A">
              <w:rPr>
                <w:rFonts w:ascii="Times New Roman" w:hAnsi="Times New Roman" w:cs="Times New Roman"/>
              </w:rPr>
              <w:t xml:space="preserve"> </w:t>
            </w:r>
            <w:r w:rsidR="00E67531" w:rsidRPr="0061488A">
              <w:rPr>
                <w:rFonts w:ascii="Times New Roman" w:hAnsi="Times New Roman" w:cs="Times New Roman"/>
              </w:rPr>
              <w:t>Y</w:t>
            </w:r>
            <w:r w:rsidRPr="0061488A">
              <w:rPr>
                <w:rFonts w:ascii="Times New Roman" w:hAnsi="Times New Roman" w:cs="Times New Roman"/>
              </w:rPr>
              <w:t xml:space="preserve">IDH, ICCTF, Yayasan Belantara, FIP, GIZ Forclime, IJ-REDD+. </w:t>
            </w:r>
            <w:r w:rsidR="00585C07" w:rsidRPr="0061488A">
              <w:rPr>
                <w:rFonts w:ascii="Times New Roman" w:hAnsi="Times New Roman" w:cs="Times New Roman"/>
              </w:rPr>
              <w:t xml:space="preserve">The </w:t>
            </w:r>
            <w:r w:rsidR="00C7540B" w:rsidRPr="0061488A">
              <w:rPr>
                <w:rFonts w:ascii="Times New Roman" w:hAnsi="Times New Roman" w:cs="Times New Roman"/>
              </w:rPr>
              <w:t xml:space="preserve">immediate challenge </w:t>
            </w:r>
            <w:r w:rsidR="003E67F7" w:rsidRPr="0061488A">
              <w:rPr>
                <w:rFonts w:ascii="Times New Roman" w:hAnsi="Times New Roman" w:cs="Times New Roman"/>
              </w:rPr>
              <w:t>for the</w:t>
            </w:r>
            <w:r w:rsidR="00C7540B" w:rsidRPr="0061488A">
              <w:rPr>
                <w:rFonts w:ascii="Times New Roman" w:hAnsi="Times New Roman" w:cs="Times New Roman"/>
              </w:rPr>
              <w:t xml:space="preserve"> </w:t>
            </w:r>
            <w:r w:rsidR="00585C07" w:rsidRPr="0061488A">
              <w:rPr>
                <w:rFonts w:ascii="Times New Roman" w:hAnsi="Times New Roman" w:cs="Times New Roman"/>
              </w:rPr>
              <w:t xml:space="preserve">government </w:t>
            </w:r>
            <w:r w:rsidR="003E67F7" w:rsidRPr="0061488A">
              <w:rPr>
                <w:rFonts w:ascii="Times New Roman" w:hAnsi="Times New Roman" w:cs="Times New Roman"/>
              </w:rPr>
              <w:t>is to</w:t>
            </w:r>
            <w:r w:rsidR="006E2F83" w:rsidRPr="0061488A">
              <w:rPr>
                <w:rFonts w:ascii="Times New Roman" w:hAnsi="Times New Roman" w:cs="Times New Roman"/>
              </w:rPr>
              <w:t xml:space="preserve"> </w:t>
            </w:r>
            <w:r w:rsidR="00673405" w:rsidRPr="0061488A">
              <w:rPr>
                <w:rFonts w:ascii="Times New Roman" w:hAnsi="Times New Roman" w:cs="Times New Roman"/>
              </w:rPr>
              <w:t xml:space="preserve">develop financial </w:t>
            </w:r>
            <w:r w:rsidR="006E2F83" w:rsidRPr="0061488A">
              <w:rPr>
                <w:rFonts w:ascii="Times New Roman" w:hAnsi="Times New Roman" w:cs="Times New Roman"/>
              </w:rPr>
              <w:t>governance</w:t>
            </w:r>
            <w:r w:rsidR="003E67F7" w:rsidRPr="0061488A">
              <w:rPr>
                <w:rFonts w:ascii="Times New Roman" w:hAnsi="Times New Roman" w:cs="Times New Roman"/>
              </w:rPr>
              <w:t xml:space="preserve"> structure</w:t>
            </w:r>
            <w:r w:rsidR="006E2F83" w:rsidRPr="0061488A">
              <w:rPr>
                <w:rFonts w:ascii="Times New Roman" w:hAnsi="Times New Roman" w:cs="Times New Roman"/>
              </w:rPr>
              <w:t xml:space="preserve"> and </w:t>
            </w:r>
            <w:r w:rsidR="003E67F7" w:rsidRPr="0061488A">
              <w:rPr>
                <w:rFonts w:ascii="Times New Roman" w:hAnsi="Times New Roman" w:cs="Times New Roman"/>
              </w:rPr>
              <w:t xml:space="preserve">credible </w:t>
            </w:r>
            <w:r w:rsidR="006E2F83" w:rsidRPr="0061488A">
              <w:rPr>
                <w:rFonts w:ascii="Times New Roman" w:hAnsi="Times New Roman" w:cs="Times New Roman"/>
              </w:rPr>
              <w:t xml:space="preserve">scheme to scale the </w:t>
            </w:r>
            <w:r w:rsidR="0001160D" w:rsidRPr="0061488A">
              <w:rPr>
                <w:rFonts w:ascii="Times New Roman" w:hAnsi="Times New Roman" w:cs="Times New Roman"/>
              </w:rPr>
              <w:t xml:space="preserve">REDD+ </w:t>
            </w:r>
            <w:r w:rsidR="003E67F7" w:rsidRPr="0061488A">
              <w:rPr>
                <w:rFonts w:ascii="Times New Roman" w:hAnsi="Times New Roman" w:cs="Times New Roman"/>
              </w:rPr>
              <w:t xml:space="preserve">(including how to link with the national level) </w:t>
            </w:r>
            <w:r w:rsidR="0001160D" w:rsidRPr="0061488A">
              <w:rPr>
                <w:rFonts w:ascii="Times New Roman" w:hAnsi="Times New Roman" w:cs="Times New Roman"/>
              </w:rPr>
              <w:t xml:space="preserve">and GGP </w:t>
            </w:r>
            <w:r w:rsidR="006E2F83" w:rsidRPr="0061488A">
              <w:rPr>
                <w:rFonts w:ascii="Times New Roman" w:hAnsi="Times New Roman" w:cs="Times New Roman"/>
              </w:rPr>
              <w:t xml:space="preserve">finance through </w:t>
            </w:r>
            <w:r w:rsidRPr="0061488A">
              <w:rPr>
                <w:rFonts w:ascii="Times New Roman" w:hAnsi="Times New Roman" w:cs="Times New Roman"/>
              </w:rPr>
              <w:t>Result Based Payment</w:t>
            </w:r>
            <w:r w:rsidR="006E2F83" w:rsidRPr="0061488A">
              <w:rPr>
                <w:rFonts w:ascii="Times New Roman" w:hAnsi="Times New Roman" w:cs="Times New Roman"/>
              </w:rPr>
              <w:t xml:space="preserve"> and Investment</w:t>
            </w:r>
            <w:r w:rsidR="00673405" w:rsidRPr="0061488A">
              <w:rPr>
                <w:rFonts w:ascii="Times New Roman" w:hAnsi="Times New Roman" w:cs="Times New Roman"/>
              </w:rPr>
              <w:t>.</w:t>
            </w:r>
          </w:p>
        </w:tc>
      </w:tr>
      <w:tr w:rsidR="00851113" w:rsidRPr="00C80F34" w14:paraId="079C8DCA" w14:textId="77777777" w:rsidTr="00C26272">
        <w:tc>
          <w:tcPr>
            <w:tcW w:w="2127" w:type="dxa"/>
          </w:tcPr>
          <w:p w14:paraId="28F39AA9" w14:textId="77777777" w:rsidR="00851113" w:rsidRPr="0061488A" w:rsidRDefault="00851113" w:rsidP="00851113">
            <w:pPr>
              <w:pStyle w:val="ListParagraph"/>
              <w:ind w:left="0"/>
              <w:rPr>
                <w:rFonts w:ascii="Times New Roman" w:hAnsi="Times New Roman" w:cs="Times New Roman"/>
              </w:rPr>
            </w:pPr>
            <w:r w:rsidRPr="0061488A">
              <w:rPr>
                <w:rFonts w:ascii="Times New Roman" w:hAnsi="Times New Roman" w:cs="Times New Roman"/>
              </w:rPr>
              <w:lastRenderedPageBreak/>
              <w:t>Are there opportunities to align existing financing to the jurisdictional REDD+ objectives?</w:t>
            </w:r>
          </w:p>
        </w:tc>
        <w:tc>
          <w:tcPr>
            <w:tcW w:w="8363" w:type="dxa"/>
          </w:tcPr>
          <w:p w14:paraId="248118AE" w14:textId="57CFC414" w:rsidR="00851113" w:rsidRPr="0061488A" w:rsidRDefault="00851113" w:rsidP="005F4F0C">
            <w:pPr>
              <w:pStyle w:val="ListParagraph"/>
              <w:ind w:left="0"/>
              <w:jc w:val="both"/>
              <w:rPr>
                <w:rFonts w:ascii="Times New Roman" w:hAnsi="Times New Roman" w:cs="Times New Roman"/>
              </w:rPr>
            </w:pPr>
            <w:r w:rsidRPr="0061488A">
              <w:rPr>
                <w:rFonts w:ascii="Times New Roman" w:hAnsi="Times New Roman" w:cs="Times New Roman"/>
              </w:rPr>
              <w:t xml:space="preserve">Yes, they are. Some </w:t>
            </w:r>
            <w:r w:rsidR="00D53B56" w:rsidRPr="0061488A">
              <w:rPr>
                <w:rFonts w:ascii="Times New Roman" w:hAnsi="Times New Roman" w:cs="Times New Roman"/>
              </w:rPr>
              <w:t xml:space="preserve">grant making institutions </w:t>
            </w:r>
            <w:r w:rsidRPr="0061488A">
              <w:rPr>
                <w:rFonts w:ascii="Times New Roman" w:hAnsi="Times New Roman" w:cs="Times New Roman"/>
              </w:rPr>
              <w:t xml:space="preserve">have provided financial and technical support </w:t>
            </w:r>
            <w:r w:rsidR="00F15050" w:rsidRPr="0061488A">
              <w:rPr>
                <w:rFonts w:ascii="Times New Roman" w:hAnsi="Times New Roman" w:cs="Times New Roman"/>
              </w:rPr>
              <w:t xml:space="preserve">to </w:t>
            </w:r>
            <w:r w:rsidR="003E67F7" w:rsidRPr="0061488A">
              <w:rPr>
                <w:rFonts w:ascii="Times New Roman" w:hAnsi="Times New Roman" w:cs="Times New Roman"/>
              </w:rPr>
              <w:t xml:space="preserve">achieve </w:t>
            </w:r>
            <w:r w:rsidR="00D53B56" w:rsidRPr="0061488A">
              <w:rPr>
                <w:rFonts w:ascii="Times New Roman" w:hAnsi="Times New Roman" w:cs="Times New Roman"/>
              </w:rPr>
              <w:t xml:space="preserve">the </w:t>
            </w:r>
            <w:r w:rsidRPr="0061488A">
              <w:rPr>
                <w:rFonts w:ascii="Times New Roman" w:hAnsi="Times New Roman" w:cs="Times New Roman"/>
              </w:rPr>
              <w:t xml:space="preserve">REDD+ </w:t>
            </w:r>
            <w:r w:rsidR="000C195A" w:rsidRPr="0061488A">
              <w:rPr>
                <w:rFonts w:ascii="Times New Roman" w:hAnsi="Times New Roman" w:cs="Times New Roman"/>
              </w:rPr>
              <w:t xml:space="preserve">objectives </w:t>
            </w:r>
            <w:r w:rsidR="00D53B56" w:rsidRPr="0061488A">
              <w:rPr>
                <w:rFonts w:ascii="Times New Roman" w:hAnsi="Times New Roman" w:cs="Times New Roman"/>
              </w:rPr>
              <w:t>in West Kalimantan</w:t>
            </w:r>
            <w:r w:rsidR="003E67F7" w:rsidRPr="0061488A">
              <w:rPr>
                <w:rFonts w:ascii="Times New Roman" w:hAnsi="Times New Roman" w:cs="Times New Roman"/>
              </w:rPr>
              <w:t>. These include</w:t>
            </w:r>
            <w:r w:rsidR="00D53B56" w:rsidRPr="0061488A">
              <w:rPr>
                <w:rFonts w:ascii="Times New Roman" w:hAnsi="Times New Roman" w:cs="Times New Roman"/>
              </w:rPr>
              <w:t xml:space="preserve"> </w:t>
            </w:r>
            <w:r w:rsidRPr="0061488A">
              <w:rPr>
                <w:rFonts w:ascii="Times New Roman" w:hAnsi="Times New Roman" w:cs="Times New Roman"/>
              </w:rPr>
              <w:t xml:space="preserve">IJ-REDD+ and GIZ </w:t>
            </w:r>
            <w:r w:rsidR="003E67F7" w:rsidRPr="0061488A">
              <w:rPr>
                <w:rFonts w:ascii="Times New Roman" w:hAnsi="Times New Roman" w:cs="Times New Roman"/>
              </w:rPr>
              <w:t>Forclime</w:t>
            </w:r>
            <w:r w:rsidRPr="0061488A">
              <w:rPr>
                <w:rFonts w:ascii="Times New Roman" w:hAnsi="Times New Roman" w:cs="Times New Roman"/>
              </w:rPr>
              <w:t xml:space="preserve">. </w:t>
            </w:r>
            <w:r w:rsidR="005E17EE" w:rsidRPr="0061488A">
              <w:rPr>
                <w:rFonts w:ascii="Times New Roman" w:hAnsi="Times New Roman" w:cs="Times New Roman"/>
              </w:rPr>
              <w:t xml:space="preserve">For </w:t>
            </w:r>
            <w:r w:rsidR="000F3BF7" w:rsidRPr="0061488A">
              <w:rPr>
                <w:rFonts w:ascii="Times New Roman" w:hAnsi="Times New Roman" w:cs="Times New Roman"/>
              </w:rPr>
              <w:t xml:space="preserve">the </w:t>
            </w:r>
            <w:r w:rsidR="005E17EE" w:rsidRPr="0061488A">
              <w:rPr>
                <w:rFonts w:ascii="Times New Roman" w:hAnsi="Times New Roman" w:cs="Times New Roman"/>
              </w:rPr>
              <w:t>RBP</w:t>
            </w:r>
            <w:r w:rsidRPr="0061488A">
              <w:rPr>
                <w:rFonts w:ascii="Times New Roman" w:hAnsi="Times New Roman" w:cs="Times New Roman"/>
              </w:rPr>
              <w:t xml:space="preserve">, there is </w:t>
            </w:r>
            <w:r w:rsidR="005E17EE" w:rsidRPr="0061488A">
              <w:rPr>
                <w:rFonts w:ascii="Times New Roman" w:hAnsi="Times New Roman" w:cs="Times New Roman"/>
              </w:rPr>
              <w:t xml:space="preserve">a </w:t>
            </w:r>
            <w:r w:rsidRPr="0061488A">
              <w:rPr>
                <w:rFonts w:ascii="Times New Roman" w:hAnsi="Times New Roman" w:cs="Times New Roman"/>
              </w:rPr>
              <w:t xml:space="preserve">big opportunity from national </w:t>
            </w:r>
            <w:r w:rsidR="005E17EE" w:rsidRPr="0061488A">
              <w:rPr>
                <w:rFonts w:ascii="Times New Roman" w:hAnsi="Times New Roman" w:cs="Times New Roman"/>
              </w:rPr>
              <w:t xml:space="preserve">government </w:t>
            </w:r>
            <w:r w:rsidRPr="0061488A">
              <w:rPr>
                <w:rFonts w:ascii="Times New Roman" w:hAnsi="Times New Roman" w:cs="Times New Roman"/>
              </w:rPr>
              <w:t xml:space="preserve">under LOI </w:t>
            </w:r>
            <w:r w:rsidR="005E17EE" w:rsidRPr="0061488A">
              <w:rPr>
                <w:rFonts w:ascii="Times New Roman" w:hAnsi="Times New Roman" w:cs="Times New Roman"/>
              </w:rPr>
              <w:t xml:space="preserve">with </w:t>
            </w:r>
            <w:r w:rsidR="00D53B56" w:rsidRPr="0061488A">
              <w:rPr>
                <w:rFonts w:ascii="Times New Roman" w:hAnsi="Times New Roman" w:cs="Times New Roman"/>
              </w:rPr>
              <w:t xml:space="preserve">the Norway Government </w:t>
            </w:r>
            <w:r w:rsidR="003E67F7" w:rsidRPr="0061488A">
              <w:rPr>
                <w:rFonts w:ascii="Times New Roman" w:hAnsi="Times New Roman" w:cs="Times New Roman"/>
              </w:rPr>
              <w:t xml:space="preserve">to support REDD+ at provincial and district level, especially </w:t>
            </w:r>
            <w:r w:rsidRPr="0061488A">
              <w:rPr>
                <w:rFonts w:ascii="Times New Roman" w:hAnsi="Times New Roman" w:cs="Times New Roman"/>
              </w:rPr>
              <w:t xml:space="preserve">once </w:t>
            </w:r>
            <w:r w:rsidR="00B35567" w:rsidRPr="0061488A">
              <w:rPr>
                <w:rFonts w:ascii="Times New Roman" w:hAnsi="Times New Roman" w:cs="Times New Roman"/>
              </w:rPr>
              <w:t xml:space="preserve">national </w:t>
            </w:r>
            <w:r w:rsidR="00591659" w:rsidRPr="0061488A">
              <w:rPr>
                <w:rFonts w:ascii="Times New Roman" w:hAnsi="Times New Roman" w:cs="Times New Roman"/>
              </w:rPr>
              <w:t xml:space="preserve">and sub-national </w:t>
            </w:r>
            <w:r w:rsidR="00C14C4F" w:rsidRPr="0061488A">
              <w:rPr>
                <w:rFonts w:ascii="Times New Roman" w:hAnsi="Times New Roman" w:cs="Times New Roman"/>
              </w:rPr>
              <w:t xml:space="preserve">financing </w:t>
            </w:r>
            <w:r w:rsidRPr="0061488A">
              <w:rPr>
                <w:rFonts w:ascii="Times New Roman" w:hAnsi="Times New Roman" w:cs="Times New Roman"/>
              </w:rPr>
              <w:t>and MRV system</w:t>
            </w:r>
            <w:r w:rsidR="00B35567" w:rsidRPr="0061488A">
              <w:rPr>
                <w:rFonts w:ascii="Times New Roman" w:hAnsi="Times New Roman" w:cs="Times New Roman"/>
              </w:rPr>
              <w:t>s</w:t>
            </w:r>
            <w:r w:rsidRPr="0061488A">
              <w:rPr>
                <w:rFonts w:ascii="Times New Roman" w:hAnsi="Times New Roman" w:cs="Times New Roman"/>
              </w:rPr>
              <w:t xml:space="preserve"> are </w:t>
            </w:r>
            <w:r w:rsidR="00B35567" w:rsidRPr="0061488A">
              <w:rPr>
                <w:rFonts w:ascii="Times New Roman" w:hAnsi="Times New Roman" w:cs="Times New Roman"/>
              </w:rPr>
              <w:t>well-</w:t>
            </w:r>
            <w:r w:rsidRPr="0061488A">
              <w:rPr>
                <w:rFonts w:ascii="Times New Roman" w:hAnsi="Times New Roman" w:cs="Times New Roman"/>
              </w:rPr>
              <w:t xml:space="preserve">established and linked. </w:t>
            </w:r>
            <w:r w:rsidR="00C14C4F" w:rsidRPr="0061488A">
              <w:rPr>
                <w:rFonts w:ascii="Times New Roman" w:hAnsi="Times New Roman" w:cs="Times New Roman"/>
              </w:rPr>
              <w:t>For</w:t>
            </w:r>
            <w:r w:rsidRPr="0061488A">
              <w:rPr>
                <w:rFonts w:ascii="Times New Roman" w:hAnsi="Times New Roman" w:cs="Times New Roman"/>
              </w:rPr>
              <w:t xml:space="preserve"> investment</w:t>
            </w:r>
            <w:r w:rsidR="00C14C4F" w:rsidRPr="0061488A">
              <w:rPr>
                <w:rFonts w:ascii="Times New Roman" w:hAnsi="Times New Roman" w:cs="Times New Roman"/>
              </w:rPr>
              <w:t xml:space="preserve"> related scheme</w:t>
            </w:r>
            <w:r w:rsidRPr="0061488A">
              <w:rPr>
                <w:rFonts w:ascii="Times New Roman" w:hAnsi="Times New Roman" w:cs="Times New Roman"/>
              </w:rPr>
              <w:t>, the</w:t>
            </w:r>
            <w:r w:rsidR="00C14C4F" w:rsidRPr="0061488A">
              <w:rPr>
                <w:rFonts w:ascii="Times New Roman" w:hAnsi="Times New Roman" w:cs="Times New Roman"/>
              </w:rPr>
              <w:t xml:space="preserve">re is a growing </w:t>
            </w:r>
            <w:r w:rsidRPr="0061488A">
              <w:rPr>
                <w:rFonts w:ascii="Times New Roman" w:hAnsi="Times New Roman" w:cs="Times New Roman"/>
              </w:rPr>
              <w:t xml:space="preserve">opportunity </w:t>
            </w:r>
            <w:r w:rsidR="00C14C4F" w:rsidRPr="0061488A">
              <w:rPr>
                <w:rFonts w:ascii="Times New Roman" w:hAnsi="Times New Roman" w:cs="Times New Roman"/>
              </w:rPr>
              <w:t>especially if this links with impact investors or</w:t>
            </w:r>
            <w:r w:rsidRPr="0061488A">
              <w:rPr>
                <w:rFonts w:ascii="Times New Roman" w:hAnsi="Times New Roman" w:cs="Times New Roman"/>
              </w:rPr>
              <w:t xml:space="preserve"> green investments </w:t>
            </w:r>
            <w:r w:rsidR="00C14C4F" w:rsidRPr="0061488A">
              <w:rPr>
                <w:rFonts w:ascii="Times New Roman" w:hAnsi="Times New Roman" w:cs="Times New Roman"/>
              </w:rPr>
              <w:t>(e.g. And</w:t>
            </w:r>
            <w:r w:rsidR="00AB6278" w:rsidRPr="0061488A">
              <w:rPr>
                <w:rFonts w:ascii="Times New Roman" w:hAnsi="Times New Roman" w:cs="Times New Roman"/>
              </w:rPr>
              <w:t>g</w:t>
            </w:r>
            <w:r w:rsidR="00C14C4F" w:rsidRPr="0061488A">
              <w:rPr>
                <w:rFonts w:ascii="Times New Roman" w:hAnsi="Times New Roman" w:cs="Times New Roman"/>
              </w:rPr>
              <w:t xml:space="preserve">reen.Fund). Nevertheless, such schemes </w:t>
            </w:r>
            <w:r w:rsidRPr="0061488A">
              <w:rPr>
                <w:rFonts w:ascii="Times New Roman" w:hAnsi="Times New Roman" w:cs="Times New Roman"/>
              </w:rPr>
              <w:t>require</w:t>
            </w:r>
            <w:r w:rsidR="00C14C4F" w:rsidRPr="0061488A">
              <w:rPr>
                <w:rFonts w:ascii="Times New Roman" w:hAnsi="Times New Roman" w:cs="Times New Roman"/>
              </w:rPr>
              <w:t xml:space="preserve"> a clear</w:t>
            </w:r>
            <w:r w:rsidR="00D53B56" w:rsidRPr="0061488A">
              <w:rPr>
                <w:rFonts w:ascii="Times New Roman" w:hAnsi="Times New Roman" w:cs="Times New Roman"/>
              </w:rPr>
              <w:t xml:space="preserve"> commitment from the </w:t>
            </w:r>
            <w:r w:rsidR="00C14C4F" w:rsidRPr="0061488A">
              <w:rPr>
                <w:rFonts w:ascii="Times New Roman" w:hAnsi="Times New Roman" w:cs="Times New Roman"/>
              </w:rPr>
              <w:t>provincial g</w:t>
            </w:r>
            <w:r w:rsidR="00D53B56" w:rsidRPr="0061488A">
              <w:rPr>
                <w:rFonts w:ascii="Times New Roman" w:hAnsi="Times New Roman" w:cs="Times New Roman"/>
              </w:rPr>
              <w:t xml:space="preserve">overnment </w:t>
            </w:r>
            <w:r w:rsidR="00C14C4F" w:rsidRPr="0061488A">
              <w:rPr>
                <w:rFonts w:ascii="Times New Roman" w:hAnsi="Times New Roman" w:cs="Times New Roman"/>
              </w:rPr>
              <w:t>to clearly address and monitor deforestation as well as</w:t>
            </w:r>
            <w:r w:rsidRPr="0061488A">
              <w:rPr>
                <w:rFonts w:ascii="Times New Roman" w:hAnsi="Times New Roman" w:cs="Times New Roman"/>
              </w:rPr>
              <w:t xml:space="preserve"> high environmental and social standard </w:t>
            </w:r>
            <w:r w:rsidR="00D53B56" w:rsidRPr="0061488A">
              <w:rPr>
                <w:rFonts w:ascii="Times New Roman" w:hAnsi="Times New Roman" w:cs="Times New Roman"/>
              </w:rPr>
              <w:t xml:space="preserve">implementation </w:t>
            </w:r>
            <w:r w:rsidRPr="0061488A">
              <w:rPr>
                <w:rFonts w:ascii="Times New Roman" w:hAnsi="Times New Roman" w:cs="Times New Roman"/>
              </w:rPr>
              <w:t>from the private sector</w:t>
            </w:r>
            <w:r w:rsidR="00D53B56" w:rsidRPr="0061488A">
              <w:rPr>
                <w:rFonts w:ascii="Times New Roman" w:hAnsi="Times New Roman" w:cs="Times New Roman"/>
              </w:rPr>
              <w:t>.</w:t>
            </w:r>
          </w:p>
        </w:tc>
      </w:tr>
    </w:tbl>
    <w:p w14:paraId="1BF82D8D" w14:textId="77777777" w:rsidR="00774634" w:rsidRPr="00C80F34" w:rsidRDefault="00774634" w:rsidP="00774634">
      <w:pPr>
        <w:jc w:val="both"/>
        <w:rPr>
          <w:b/>
        </w:rPr>
      </w:pPr>
    </w:p>
    <w:p w14:paraId="1AF84E08" w14:textId="77777777" w:rsidR="00B75FA5" w:rsidRPr="00C80F34" w:rsidRDefault="00B75FA5" w:rsidP="008529B1">
      <w:pPr>
        <w:pStyle w:val="ListParagraph"/>
        <w:numPr>
          <w:ilvl w:val="2"/>
          <w:numId w:val="1"/>
        </w:numPr>
        <w:spacing w:after="0" w:line="240" w:lineRule="auto"/>
        <w:jc w:val="both"/>
        <w:rPr>
          <w:rFonts w:ascii="Times New Roman" w:hAnsi="Times New Roman" w:cs="Times New Roman"/>
          <w:b/>
        </w:rPr>
      </w:pPr>
      <w:r w:rsidRPr="00C80F34">
        <w:rPr>
          <w:rFonts w:ascii="Times New Roman" w:hAnsi="Times New Roman" w:cs="Times New Roman"/>
          <w:b/>
        </w:rPr>
        <w:t>Learning from existing strategies or plans (if applicable)</w:t>
      </w:r>
    </w:p>
    <w:tbl>
      <w:tblPr>
        <w:tblStyle w:val="TableGrid"/>
        <w:tblW w:w="10490" w:type="dxa"/>
        <w:tblInd w:w="-5" w:type="dxa"/>
        <w:tblLook w:val="04A0" w:firstRow="1" w:lastRow="0" w:firstColumn="1" w:lastColumn="0" w:noHBand="0" w:noVBand="1"/>
      </w:tblPr>
      <w:tblGrid>
        <w:gridCol w:w="1843"/>
        <w:gridCol w:w="8647"/>
      </w:tblGrid>
      <w:tr w:rsidR="00D361D2" w:rsidRPr="00C80F34" w14:paraId="1E6427A1" w14:textId="77777777" w:rsidTr="002B23A5">
        <w:tc>
          <w:tcPr>
            <w:tcW w:w="1843" w:type="dxa"/>
          </w:tcPr>
          <w:p w14:paraId="42D655E5" w14:textId="77777777" w:rsidR="00D361D2" w:rsidRPr="0061488A" w:rsidRDefault="00D361D2" w:rsidP="00D361D2">
            <w:pPr>
              <w:pStyle w:val="ListParagraph"/>
              <w:ind w:left="0"/>
              <w:rPr>
                <w:rFonts w:ascii="Times New Roman" w:hAnsi="Times New Roman" w:cs="Times New Roman"/>
              </w:rPr>
            </w:pPr>
            <w:r w:rsidRPr="0061488A">
              <w:rPr>
                <w:rFonts w:ascii="Times New Roman" w:hAnsi="Times New Roman" w:cs="Times New Roman"/>
              </w:rPr>
              <w:t>What have been the main results of the jurisdictional strategy (ies) and/or plan(s), and have they led to the expected outcomes and/or outputs?</w:t>
            </w:r>
          </w:p>
        </w:tc>
        <w:tc>
          <w:tcPr>
            <w:tcW w:w="8647" w:type="dxa"/>
          </w:tcPr>
          <w:p w14:paraId="33AA113D" w14:textId="5F0C62BB" w:rsidR="0093702C" w:rsidRPr="0061488A" w:rsidRDefault="00D361D2" w:rsidP="005F4F0C">
            <w:pPr>
              <w:jc w:val="both"/>
              <w:rPr>
                <w:sz w:val="22"/>
                <w:szCs w:val="22"/>
              </w:rPr>
            </w:pPr>
            <w:r w:rsidRPr="0061488A">
              <w:rPr>
                <w:sz w:val="22"/>
                <w:szCs w:val="22"/>
              </w:rPr>
              <w:t xml:space="preserve">Achievements that have been made so far: a) institutional and system for </w:t>
            </w:r>
            <w:r w:rsidR="00090AC0" w:rsidRPr="0061488A">
              <w:rPr>
                <w:sz w:val="22"/>
                <w:szCs w:val="22"/>
              </w:rPr>
              <w:t xml:space="preserve">sub-national </w:t>
            </w:r>
            <w:r w:rsidRPr="0061488A">
              <w:rPr>
                <w:sz w:val="22"/>
                <w:szCs w:val="22"/>
              </w:rPr>
              <w:t xml:space="preserve">REDD+ </w:t>
            </w:r>
            <w:r w:rsidR="00090AC0" w:rsidRPr="0061488A">
              <w:rPr>
                <w:sz w:val="22"/>
                <w:szCs w:val="22"/>
              </w:rPr>
              <w:t>developed</w:t>
            </w:r>
            <w:r w:rsidRPr="0061488A">
              <w:rPr>
                <w:sz w:val="22"/>
                <w:szCs w:val="22"/>
              </w:rPr>
              <w:t>, b) existing forest and land policies and regulations</w:t>
            </w:r>
            <w:r w:rsidR="009B2330" w:rsidRPr="0061488A">
              <w:rPr>
                <w:sz w:val="22"/>
                <w:szCs w:val="22"/>
              </w:rPr>
              <w:t xml:space="preserve"> reviewed and strengthened (some even lead to revo</w:t>
            </w:r>
            <w:r w:rsidR="002353AC" w:rsidRPr="0061488A">
              <w:rPr>
                <w:sz w:val="22"/>
                <w:szCs w:val="22"/>
              </w:rPr>
              <w:t>cation</w:t>
            </w:r>
            <w:r w:rsidR="009B2330" w:rsidRPr="0061488A">
              <w:rPr>
                <w:sz w:val="22"/>
                <w:szCs w:val="22"/>
              </w:rPr>
              <w:t xml:space="preserve"> of </w:t>
            </w:r>
            <w:r w:rsidR="002353AC" w:rsidRPr="0061488A">
              <w:rPr>
                <w:sz w:val="22"/>
                <w:szCs w:val="22"/>
              </w:rPr>
              <w:t>a number of permits)</w:t>
            </w:r>
            <w:r w:rsidRPr="0061488A">
              <w:rPr>
                <w:sz w:val="22"/>
                <w:szCs w:val="22"/>
              </w:rPr>
              <w:t>, c) improved sustainable business management practice, d) private sector commitments for supply chains</w:t>
            </w:r>
            <w:r w:rsidR="00090AC0" w:rsidRPr="0061488A">
              <w:rPr>
                <w:sz w:val="22"/>
                <w:szCs w:val="22"/>
              </w:rPr>
              <w:t xml:space="preserve"> and green business/investment, and</w:t>
            </w:r>
            <w:r w:rsidRPr="0061488A">
              <w:rPr>
                <w:sz w:val="22"/>
                <w:szCs w:val="22"/>
              </w:rPr>
              <w:t xml:space="preserve"> e) improved stakeholder involvement.</w:t>
            </w:r>
            <w:r w:rsidR="001975A5" w:rsidRPr="0061488A">
              <w:rPr>
                <w:sz w:val="22"/>
                <w:szCs w:val="22"/>
              </w:rPr>
              <w:t xml:space="preserve"> </w:t>
            </w:r>
            <w:r w:rsidR="00355963" w:rsidRPr="0061488A">
              <w:rPr>
                <w:sz w:val="22"/>
                <w:szCs w:val="22"/>
              </w:rPr>
              <w:t xml:space="preserve">In </w:t>
            </w:r>
            <w:r w:rsidR="00873394" w:rsidRPr="0061488A">
              <w:rPr>
                <w:sz w:val="22"/>
                <w:szCs w:val="22"/>
              </w:rPr>
              <w:t xml:space="preserve">the </w:t>
            </w:r>
            <w:r w:rsidR="00355963" w:rsidRPr="0061488A">
              <w:rPr>
                <w:sz w:val="22"/>
                <w:szCs w:val="22"/>
              </w:rPr>
              <w:t xml:space="preserve">GGP aspect, government has gained </w:t>
            </w:r>
            <w:r w:rsidR="00B1787D" w:rsidRPr="0061488A">
              <w:rPr>
                <w:sz w:val="22"/>
                <w:szCs w:val="22"/>
              </w:rPr>
              <w:t xml:space="preserve">the </w:t>
            </w:r>
            <w:r w:rsidR="00355963" w:rsidRPr="0061488A">
              <w:rPr>
                <w:sz w:val="22"/>
                <w:szCs w:val="22"/>
              </w:rPr>
              <w:t>private</w:t>
            </w:r>
            <w:r w:rsidR="00B1787D" w:rsidRPr="0061488A">
              <w:rPr>
                <w:sz w:val="22"/>
                <w:szCs w:val="22"/>
              </w:rPr>
              <w:t xml:space="preserve"> sector’s</w:t>
            </w:r>
            <w:r w:rsidR="00355963" w:rsidRPr="0061488A">
              <w:rPr>
                <w:sz w:val="22"/>
                <w:szCs w:val="22"/>
              </w:rPr>
              <w:t xml:space="preserve"> commitment to accelerate sustainable supply chain</w:t>
            </w:r>
            <w:r w:rsidR="00E46F6B" w:rsidRPr="0061488A">
              <w:rPr>
                <w:sz w:val="22"/>
                <w:szCs w:val="22"/>
              </w:rPr>
              <w:t xml:space="preserve"> and green business development. </w:t>
            </w:r>
            <w:r w:rsidR="00B1787D" w:rsidRPr="0061488A">
              <w:rPr>
                <w:sz w:val="22"/>
                <w:szCs w:val="22"/>
              </w:rPr>
              <w:t xml:space="preserve">If we measure the carbon </w:t>
            </w:r>
            <w:r w:rsidR="001975A5" w:rsidRPr="0061488A">
              <w:rPr>
                <w:sz w:val="22"/>
                <w:szCs w:val="22"/>
              </w:rPr>
              <w:t xml:space="preserve">reduction </w:t>
            </w:r>
            <w:r w:rsidR="00B1787D" w:rsidRPr="0061488A">
              <w:rPr>
                <w:sz w:val="22"/>
                <w:szCs w:val="22"/>
              </w:rPr>
              <w:t xml:space="preserve">in the period of </w:t>
            </w:r>
            <w:r w:rsidR="001975A5" w:rsidRPr="0061488A">
              <w:rPr>
                <w:sz w:val="22"/>
                <w:szCs w:val="22"/>
              </w:rPr>
              <w:t>2012-2016</w:t>
            </w:r>
            <w:r w:rsidR="006D7562" w:rsidRPr="0061488A">
              <w:rPr>
                <w:sz w:val="22"/>
                <w:szCs w:val="22"/>
              </w:rPr>
              <w:t xml:space="preserve"> </w:t>
            </w:r>
            <w:r w:rsidR="00B1787D" w:rsidRPr="0061488A">
              <w:rPr>
                <w:sz w:val="22"/>
                <w:szCs w:val="22"/>
              </w:rPr>
              <w:t xml:space="preserve">as done </w:t>
            </w:r>
            <w:r w:rsidR="006D7562" w:rsidRPr="0061488A">
              <w:rPr>
                <w:sz w:val="22"/>
                <w:szCs w:val="22"/>
              </w:rPr>
              <w:t>by the government</w:t>
            </w:r>
            <w:r w:rsidR="001975A5" w:rsidRPr="0061488A">
              <w:rPr>
                <w:sz w:val="22"/>
                <w:szCs w:val="22"/>
              </w:rPr>
              <w:t xml:space="preserve">, </w:t>
            </w:r>
            <w:r w:rsidR="00355963" w:rsidRPr="0061488A">
              <w:rPr>
                <w:sz w:val="22"/>
                <w:szCs w:val="22"/>
              </w:rPr>
              <w:t>total</w:t>
            </w:r>
            <w:r w:rsidR="00E03989" w:rsidRPr="0061488A">
              <w:rPr>
                <w:sz w:val="22"/>
                <w:szCs w:val="22"/>
              </w:rPr>
              <w:t xml:space="preserve"> </w:t>
            </w:r>
            <w:r w:rsidR="001975A5" w:rsidRPr="0061488A">
              <w:rPr>
                <w:sz w:val="22"/>
                <w:szCs w:val="22"/>
              </w:rPr>
              <w:t xml:space="preserve">actual emission </w:t>
            </w:r>
            <w:r w:rsidR="00B1787D" w:rsidRPr="0061488A">
              <w:rPr>
                <w:sz w:val="22"/>
                <w:szCs w:val="22"/>
              </w:rPr>
              <w:t>measured is</w:t>
            </w:r>
            <w:r w:rsidR="001975A5" w:rsidRPr="0061488A">
              <w:rPr>
                <w:sz w:val="22"/>
                <w:szCs w:val="22"/>
              </w:rPr>
              <w:t xml:space="preserve"> 369.64 MtCO2. </w:t>
            </w:r>
            <w:r w:rsidR="00B1787D" w:rsidRPr="0061488A">
              <w:rPr>
                <w:sz w:val="22"/>
                <w:szCs w:val="22"/>
              </w:rPr>
              <w:t xml:space="preserve">This means </w:t>
            </w:r>
            <w:r w:rsidR="00B53223" w:rsidRPr="0061488A">
              <w:rPr>
                <w:sz w:val="22"/>
                <w:szCs w:val="22"/>
              </w:rPr>
              <w:t>the emissions reduction was not achieved (</w:t>
            </w:r>
            <w:r w:rsidR="001975A5" w:rsidRPr="0061488A">
              <w:rPr>
                <w:sz w:val="22"/>
                <w:szCs w:val="22"/>
              </w:rPr>
              <w:t xml:space="preserve">as </w:t>
            </w:r>
            <w:r w:rsidR="00E03989" w:rsidRPr="0061488A">
              <w:rPr>
                <w:sz w:val="22"/>
                <w:szCs w:val="22"/>
              </w:rPr>
              <w:t xml:space="preserve">sub-national </w:t>
            </w:r>
            <w:r w:rsidR="001975A5" w:rsidRPr="0061488A">
              <w:rPr>
                <w:sz w:val="22"/>
                <w:szCs w:val="22"/>
              </w:rPr>
              <w:t xml:space="preserve">FREL’s emission threshold </w:t>
            </w:r>
            <w:r w:rsidR="00E03989" w:rsidRPr="0061488A">
              <w:rPr>
                <w:sz w:val="22"/>
                <w:szCs w:val="22"/>
              </w:rPr>
              <w:t xml:space="preserve">was </w:t>
            </w:r>
            <w:r w:rsidR="001975A5" w:rsidRPr="0061488A">
              <w:rPr>
                <w:sz w:val="22"/>
                <w:szCs w:val="22"/>
              </w:rPr>
              <w:t>198.66 MtCO2</w:t>
            </w:r>
            <w:r w:rsidR="00B1787D" w:rsidRPr="0061488A">
              <w:rPr>
                <w:sz w:val="22"/>
                <w:szCs w:val="22"/>
              </w:rPr>
              <w:t>)</w:t>
            </w:r>
            <w:r w:rsidR="001975A5" w:rsidRPr="0061488A">
              <w:rPr>
                <w:sz w:val="22"/>
                <w:szCs w:val="22"/>
              </w:rPr>
              <w:t>.</w:t>
            </w:r>
            <w:r w:rsidR="00E3033B" w:rsidRPr="0061488A">
              <w:rPr>
                <w:sz w:val="22"/>
                <w:szCs w:val="22"/>
              </w:rPr>
              <w:t xml:space="preserve"> Therefore, </w:t>
            </w:r>
            <w:r w:rsidR="00090AC0" w:rsidRPr="0061488A">
              <w:rPr>
                <w:sz w:val="22"/>
                <w:szCs w:val="22"/>
              </w:rPr>
              <w:t xml:space="preserve">a comprehensive analysis on </w:t>
            </w:r>
            <w:r w:rsidR="00277AD1" w:rsidRPr="0061488A">
              <w:rPr>
                <w:sz w:val="22"/>
                <w:szCs w:val="22"/>
              </w:rPr>
              <w:t xml:space="preserve">SRAP </w:t>
            </w:r>
            <w:r w:rsidR="00090AC0" w:rsidRPr="0061488A">
              <w:rPr>
                <w:sz w:val="22"/>
                <w:szCs w:val="22"/>
              </w:rPr>
              <w:t xml:space="preserve">REDD+ performance </w:t>
            </w:r>
            <w:r w:rsidR="00E3033B" w:rsidRPr="0061488A">
              <w:rPr>
                <w:sz w:val="22"/>
                <w:szCs w:val="22"/>
              </w:rPr>
              <w:t>is necessary</w:t>
            </w:r>
            <w:r w:rsidR="00843056" w:rsidRPr="0061488A">
              <w:rPr>
                <w:sz w:val="22"/>
                <w:szCs w:val="22"/>
              </w:rPr>
              <w:t xml:space="preserve"> </w:t>
            </w:r>
            <w:r w:rsidR="00D151C7" w:rsidRPr="0061488A">
              <w:rPr>
                <w:sz w:val="22"/>
                <w:szCs w:val="22"/>
              </w:rPr>
              <w:t xml:space="preserve">to answer </w:t>
            </w:r>
            <w:r w:rsidR="00561907" w:rsidRPr="0061488A">
              <w:rPr>
                <w:sz w:val="22"/>
                <w:szCs w:val="22"/>
              </w:rPr>
              <w:t>critical question</w:t>
            </w:r>
            <w:r w:rsidR="0093702C" w:rsidRPr="0061488A">
              <w:rPr>
                <w:sz w:val="22"/>
                <w:szCs w:val="22"/>
              </w:rPr>
              <w:t>s</w:t>
            </w:r>
            <w:r w:rsidR="000208A6" w:rsidRPr="0061488A">
              <w:rPr>
                <w:sz w:val="22"/>
                <w:szCs w:val="22"/>
              </w:rPr>
              <w:t xml:space="preserve">: a) </w:t>
            </w:r>
            <w:r w:rsidR="00561907" w:rsidRPr="0061488A">
              <w:rPr>
                <w:sz w:val="22"/>
                <w:szCs w:val="22"/>
              </w:rPr>
              <w:t>why</w:t>
            </w:r>
            <w:r w:rsidR="00D151C7" w:rsidRPr="0061488A">
              <w:rPr>
                <w:sz w:val="22"/>
                <w:szCs w:val="22"/>
              </w:rPr>
              <w:t xml:space="preserve"> </w:t>
            </w:r>
            <w:r w:rsidR="000208A6" w:rsidRPr="0061488A">
              <w:rPr>
                <w:sz w:val="22"/>
                <w:szCs w:val="22"/>
              </w:rPr>
              <w:t xml:space="preserve">did the </w:t>
            </w:r>
            <w:r w:rsidR="006A312C" w:rsidRPr="0061488A">
              <w:rPr>
                <w:sz w:val="22"/>
                <w:szCs w:val="22"/>
              </w:rPr>
              <w:t xml:space="preserve">outstanding </w:t>
            </w:r>
            <w:r w:rsidR="00277AD1" w:rsidRPr="0061488A">
              <w:rPr>
                <w:sz w:val="22"/>
                <w:szCs w:val="22"/>
              </w:rPr>
              <w:t xml:space="preserve">SRAP </w:t>
            </w:r>
            <w:r w:rsidR="00D151C7" w:rsidRPr="0061488A">
              <w:rPr>
                <w:sz w:val="22"/>
                <w:szCs w:val="22"/>
              </w:rPr>
              <w:t xml:space="preserve">REDD+ </w:t>
            </w:r>
            <w:r w:rsidR="00B65CBE" w:rsidRPr="0061488A">
              <w:rPr>
                <w:sz w:val="22"/>
                <w:szCs w:val="22"/>
              </w:rPr>
              <w:t xml:space="preserve">results opposite with emission </w:t>
            </w:r>
            <w:r w:rsidR="000B3772" w:rsidRPr="0061488A">
              <w:rPr>
                <w:sz w:val="22"/>
                <w:szCs w:val="22"/>
              </w:rPr>
              <w:t>reduction achievement</w:t>
            </w:r>
            <w:r w:rsidR="0093702C" w:rsidRPr="0061488A">
              <w:rPr>
                <w:sz w:val="22"/>
                <w:szCs w:val="22"/>
              </w:rPr>
              <w:t>? and</w:t>
            </w:r>
            <w:r w:rsidR="0012610B" w:rsidRPr="0061488A">
              <w:rPr>
                <w:sz w:val="22"/>
                <w:szCs w:val="22"/>
              </w:rPr>
              <w:t xml:space="preserve"> b) what did </w:t>
            </w:r>
            <w:r w:rsidR="000B3772" w:rsidRPr="0061488A">
              <w:rPr>
                <w:sz w:val="22"/>
                <w:szCs w:val="22"/>
              </w:rPr>
              <w:t>happen (</w:t>
            </w:r>
            <w:r w:rsidR="0012610B" w:rsidRPr="0061488A">
              <w:rPr>
                <w:sz w:val="22"/>
                <w:szCs w:val="22"/>
              </w:rPr>
              <w:t>issues and gaps</w:t>
            </w:r>
            <w:r w:rsidR="000B3772" w:rsidRPr="0061488A">
              <w:rPr>
                <w:sz w:val="22"/>
                <w:szCs w:val="22"/>
              </w:rPr>
              <w:t>) on REDD+ implementation?</w:t>
            </w:r>
          </w:p>
        </w:tc>
      </w:tr>
      <w:tr w:rsidR="00D361D2" w:rsidRPr="00C80F34" w14:paraId="0C4FF97B" w14:textId="77777777" w:rsidTr="002B23A5">
        <w:tc>
          <w:tcPr>
            <w:tcW w:w="1843" w:type="dxa"/>
          </w:tcPr>
          <w:p w14:paraId="0351167F" w14:textId="77777777" w:rsidR="00D361D2" w:rsidRPr="0061488A" w:rsidRDefault="00D361D2" w:rsidP="00D361D2">
            <w:pPr>
              <w:pStyle w:val="ListParagraph"/>
              <w:ind w:left="0"/>
              <w:rPr>
                <w:rFonts w:ascii="Times New Roman" w:hAnsi="Times New Roman" w:cs="Times New Roman"/>
              </w:rPr>
            </w:pPr>
            <w:r w:rsidRPr="0061488A">
              <w:rPr>
                <w:rFonts w:ascii="Times New Roman" w:hAnsi="Times New Roman" w:cs="Times New Roman"/>
              </w:rPr>
              <w:t>What is (still) needed in order to achieve the desired impact?</w:t>
            </w:r>
          </w:p>
        </w:tc>
        <w:tc>
          <w:tcPr>
            <w:tcW w:w="8647" w:type="dxa"/>
          </w:tcPr>
          <w:p w14:paraId="58D8B2CB" w14:textId="139408BA" w:rsidR="00D361D2" w:rsidRPr="0061488A" w:rsidRDefault="00B1787D" w:rsidP="005F4F0C">
            <w:pPr>
              <w:pStyle w:val="ListParagraph"/>
              <w:ind w:left="0"/>
              <w:jc w:val="both"/>
              <w:rPr>
                <w:rFonts w:ascii="Times New Roman" w:hAnsi="Times New Roman" w:cs="Times New Roman"/>
              </w:rPr>
            </w:pPr>
            <w:r w:rsidRPr="0061488A">
              <w:rPr>
                <w:rFonts w:ascii="Times New Roman" w:hAnsi="Times New Roman" w:cs="Times New Roman"/>
              </w:rPr>
              <w:t xml:space="preserve">It is clear that a </w:t>
            </w:r>
            <w:r w:rsidR="00873394" w:rsidRPr="0061488A">
              <w:rPr>
                <w:rFonts w:ascii="Times New Roman" w:hAnsi="Times New Roman" w:cs="Times New Roman"/>
              </w:rPr>
              <w:t xml:space="preserve">comprehensive REDD+ performance analysis </w:t>
            </w:r>
            <w:r w:rsidR="008D4617" w:rsidRPr="0061488A">
              <w:rPr>
                <w:rFonts w:ascii="Times New Roman" w:hAnsi="Times New Roman" w:cs="Times New Roman"/>
              </w:rPr>
              <w:t>is</w:t>
            </w:r>
            <w:r w:rsidR="00873394" w:rsidRPr="0061488A">
              <w:rPr>
                <w:rFonts w:ascii="Times New Roman" w:hAnsi="Times New Roman" w:cs="Times New Roman"/>
              </w:rPr>
              <w:t xml:space="preserve"> needed to understand </w:t>
            </w:r>
            <w:r w:rsidRPr="0061488A">
              <w:rPr>
                <w:rFonts w:ascii="Times New Roman" w:hAnsi="Times New Roman" w:cs="Times New Roman"/>
              </w:rPr>
              <w:t xml:space="preserve">key </w:t>
            </w:r>
            <w:r w:rsidR="00873394" w:rsidRPr="0061488A">
              <w:rPr>
                <w:rFonts w:ascii="Times New Roman" w:hAnsi="Times New Roman" w:cs="Times New Roman"/>
              </w:rPr>
              <w:t xml:space="preserve">gaps in West Kalimantan. </w:t>
            </w:r>
            <w:r w:rsidR="00C22F2A" w:rsidRPr="0061488A">
              <w:rPr>
                <w:rFonts w:ascii="Times New Roman" w:hAnsi="Times New Roman" w:cs="Times New Roman"/>
              </w:rPr>
              <w:t xml:space="preserve">According to assessment prior </w:t>
            </w:r>
            <w:r w:rsidR="00873394" w:rsidRPr="0061488A">
              <w:rPr>
                <w:rFonts w:ascii="Times New Roman" w:hAnsi="Times New Roman" w:cs="Times New Roman"/>
              </w:rPr>
              <w:t xml:space="preserve">the </w:t>
            </w:r>
            <w:r w:rsidR="00C22F2A" w:rsidRPr="0061488A">
              <w:rPr>
                <w:rFonts w:ascii="Times New Roman" w:hAnsi="Times New Roman" w:cs="Times New Roman"/>
              </w:rPr>
              <w:t>proposal development, s</w:t>
            </w:r>
            <w:r w:rsidR="00C904FD" w:rsidRPr="0061488A">
              <w:rPr>
                <w:rFonts w:ascii="Times New Roman" w:hAnsi="Times New Roman" w:cs="Times New Roman"/>
              </w:rPr>
              <w:t>everal identified gaps on REDD+</w:t>
            </w:r>
            <w:r w:rsidR="00873394" w:rsidRPr="0061488A">
              <w:rPr>
                <w:rFonts w:ascii="Times New Roman" w:hAnsi="Times New Roman" w:cs="Times New Roman"/>
              </w:rPr>
              <w:t xml:space="preserve"> implementation</w:t>
            </w:r>
            <w:r w:rsidR="00C904FD" w:rsidRPr="0061488A">
              <w:rPr>
                <w:rFonts w:ascii="Times New Roman" w:hAnsi="Times New Roman" w:cs="Times New Roman"/>
              </w:rPr>
              <w:t xml:space="preserve"> such as a) lack of</w:t>
            </w:r>
            <w:r w:rsidR="00873394" w:rsidRPr="0061488A">
              <w:rPr>
                <w:rFonts w:ascii="Times New Roman" w:hAnsi="Times New Roman" w:cs="Times New Roman"/>
              </w:rPr>
              <w:t xml:space="preserve"> </w:t>
            </w:r>
            <w:r w:rsidR="0095093E" w:rsidRPr="0061488A">
              <w:rPr>
                <w:rFonts w:ascii="Times New Roman" w:hAnsi="Times New Roman" w:cs="Times New Roman"/>
              </w:rPr>
              <w:t xml:space="preserve">REDD+ </w:t>
            </w:r>
            <w:r w:rsidR="00873394" w:rsidRPr="0061488A">
              <w:rPr>
                <w:rFonts w:ascii="Times New Roman" w:hAnsi="Times New Roman" w:cs="Times New Roman"/>
              </w:rPr>
              <w:t xml:space="preserve">governance structure that </w:t>
            </w:r>
            <w:r w:rsidRPr="0061488A">
              <w:rPr>
                <w:rFonts w:ascii="Times New Roman" w:hAnsi="Times New Roman" w:cs="Times New Roman"/>
              </w:rPr>
              <w:t>can intervene down to the</w:t>
            </w:r>
            <w:r w:rsidR="00C904FD" w:rsidRPr="0061488A">
              <w:rPr>
                <w:rFonts w:ascii="Times New Roman" w:hAnsi="Times New Roman" w:cs="Times New Roman"/>
              </w:rPr>
              <w:t xml:space="preserve"> district level</w:t>
            </w:r>
            <w:r w:rsidR="00C22F2A" w:rsidRPr="0061488A">
              <w:rPr>
                <w:rFonts w:ascii="Times New Roman" w:hAnsi="Times New Roman" w:cs="Times New Roman"/>
              </w:rPr>
              <w:t xml:space="preserve">, including </w:t>
            </w:r>
            <w:r w:rsidRPr="0061488A">
              <w:rPr>
                <w:rFonts w:ascii="Times New Roman" w:hAnsi="Times New Roman" w:cs="Times New Roman"/>
              </w:rPr>
              <w:t xml:space="preserve">helping ensuring </w:t>
            </w:r>
            <w:r w:rsidR="003656DC" w:rsidRPr="0061488A">
              <w:rPr>
                <w:rFonts w:ascii="Times New Roman" w:hAnsi="Times New Roman" w:cs="Times New Roman"/>
              </w:rPr>
              <w:t xml:space="preserve">integration between </w:t>
            </w:r>
            <w:r w:rsidR="00C22F2A" w:rsidRPr="0061488A">
              <w:rPr>
                <w:rFonts w:ascii="Times New Roman" w:hAnsi="Times New Roman" w:cs="Times New Roman"/>
              </w:rPr>
              <w:t>REDD</w:t>
            </w:r>
            <w:r w:rsidR="003656DC" w:rsidRPr="0061488A">
              <w:rPr>
                <w:rFonts w:ascii="Times New Roman" w:hAnsi="Times New Roman" w:cs="Times New Roman"/>
              </w:rPr>
              <w:t xml:space="preserve">+ objectives </w:t>
            </w:r>
            <w:r w:rsidRPr="0061488A">
              <w:rPr>
                <w:rFonts w:ascii="Times New Roman" w:hAnsi="Times New Roman" w:cs="Times New Roman"/>
              </w:rPr>
              <w:t xml:space="preserve">and </w:t>
            </w:r>
            <w:r w:rsidR="00873394" w:rsidRPr="0061488A">
              <w:rPr>
                <w:rFonts w:ascii="Times New Roman" w:hAnsi="Times New Roman" w:cs="Times New Roman"/>
              </w:rPr>
              <w:t xml:space="preserve">the </w:t>
            </w:r>
            <w:r w:rsidR="003656DC" w:rsidRPr="0061488A">
              <w:rPr>
                <w:rFonts w:ascii="Times New Roman" w:hAnsi="Times New Roman" w:cs="Times New Roman"/>
              </w:rPr>
              <w:t>sectoral plan</w:t>
            </w:r>
            <w:r w:rsidR="00C904FD" w:rsidRPr="0061488A">
              <w:rPr>
                <w:rFonts w:ascii="Times New Roman" w:hAnsi="Times New Roman" w:cs="Times New Roman"/>
              </w:rPr>
              <w:t xml:space="preserve">, </w:t>
            </w:r>
            <w:r w:rsidR="00873394" w:rsidRPr="0061488A">
              <w:rPr>
                <w:rFonts w:ascii="Times New Roman" w:hAnsi="Times New Roman" w:cs="Times New Roman"/>
              </w:rPr>
              <w:t>b</w:t>
            </w:r>
            <w:r w:rsidR="0070523C" w:rsidRPr="0061488A">
              <w:rPr>
                <w:rFonts w:ascii="Times New Roman" w:hAnsi="Times New Roman" w:cs="Times New Roman"/>
              </w:rPr>
              <w:t xml:space="preserve">) </w:t>
            </w:r>
            <w:r w:rsidR="00925A8B" w:rsidRPr="0061488A">
              <w:rPr>
                <w:rFonts w:ascii="Times New Roman" w:hAnsi="Times New Roman" w:cs="Times New Roman"/>
              </w:rPr>
              <w:t>lack of</w:t>
            </w:r>
            <w:r w:rsidRPr="0061488A">
              <w:rPr>
                <w:rFonts w:ascii="Times New Roman" w:hAnsi="Times New Roman" w:cs="Times New Roman"/>
              </w:rPr>
              <w:t xml:space="preserve"> arrangement of </w:t>
            </w:r>
            <w:r w:rsidR="00873394" w:rsidRPr="0061488A">
              <w:rPr>
                <w:rFonts w:ascii="Times New Roman" w:hAnsi="Times New Roman" w:cs="Times New Roman"/>
              </w:rPr>
              <w:t>sustainable financial scheme for protection and production</w:t>
            </w:r>
            <w:r w:rsidRPr="0061488A">
              <w:rPr>
                <w:rFonts w:ascii="Times New Roman" w:hAnsi="Times New Roman" w:cs="Times New Roman"/>
              </w:rPr>
              <w:t xml:space="preserve"> that links to the national level</w:t>
            </w:r>
            <w:r w:rsidR="00873394" w:rsidRPr="0061488A">
              <w:rPr>
                <w:rFonts w:ascii="Times New Roman" w:hAnsi="Times New Roman" w:cs="Times New Roman"/>
              </w:rPr>
              <w:t>, c</w:t>
            </w:r>
            <w:r w:rsidR="0070523C" w:rsidRPr="0061488A">
              <w:rPr>
                <w:rFonts w:ascii="Times New Roman" w:hAnsi="Times New Roman" w:cs="Times New Roman"/>
              </w:rPr>
              <w:t>) lack of</w:t>
            </w:r>
            <w:r w:rsidR="00873394" w:rsidRPr="0061488A">
              <w:rPr>
                <w:rFonts w:ascii="Times New Roman" w:hAnsi="Times New Roman" w:cs="Times New Roman"/>
              </w:rPr>
              <w:t xml:space="preserve"> sectoral regulation supports, d) lack of</w:t>
            </w:r>
            <w:r w:rsidR="0070523C" w:rsidRPr="0061488A">
              <w:rPr>
                <w:rFonts w:ascii="Times New Roman" w:hAnsi="Times New Roman" w:cs="Times New Roman"/>
              </w:rPr>
              <w:t xml:space="preserve"> </w:t>
            </w:r>
            <w:r w:rsidR="00E321E5" w:rsidRPr="0061488A">
              <w:rPr>
                <w:rFonts w:ascii="Times New Roman" w:hAnsi="Times New Roman" w:cs="Times New Roman"/>
              </w:rPr>
              <w:t xml:space="preserve">proven business model </w:t>
            </w:r>
            <w:r w:rsidR="00F61B93" w:rsidRPr="0061488A">
              <w:rPr>
                <w:rFonts w:ascii="Times New Roman" w:hAnsi="Times New Roman" w:cs="Times New Roman"/>
              </w:rPr>
              <w:t xml:space="preserve">that </w:t>
            </w:r>
            <w:r w:rsidR="00E321E5" w:rsidRPr="0061488A">
              <w:rPr>
                <w:rFonts w:ascii="Times New Roman" w:hAnsi="Times New Roman" w:cs="Times New Roman"/>
              </w:rPr>
              <w:t>have scaled up under green investment scheme</w:t>
            </w:r>
            <w:r w:rsidR="0070523C" w:rsidRPr="0061488A">
              <w:rPr>
                <w:rFonts w:ascii="Times New Roman" w:hAnsi="Times New Roman" w:cs="Times New Roman"/>
              </w:rPr>
              <w:t xml:space="preserve">. </w:t>
            </w:r>
          </w:p>
        </w:tc>
      </w:tr>
      <w:tr w:rsidR="00B46630" w:rsidRPr="00C80F34" w14:paraId="795670BA" w14:textId="77777777" w:rsidTr="002B23A5">
        <w:tc>
          <w:tcPr>
            <w:tcW w:w="1843" w:type="dxa"/>
          </w:tcPr>
          <w:p w14:paraId="7322A518" w14:textId="77777777" w:rsidR="00B46630" w:rsidRPr="0061488A" w:rsidRDefault="00B46630" w:rsidP="00B46630">
            <w:pPr>
              <w:pStyle w:val="ListParagraph"/>
              <w:ind w:left="0"/>
              <w:rPr>
                <w:rFonts w:ascii="Times New Roman" w:hAnsi="Times New Roman" w:cs="Times New Roman"/>
              </w:rPr>
            </w:pPr>
            <w:r w:rsidRPr="0061488A">
              <w:rPr>
                <w:rFonts w:ascii="Times New Roman" w:hAnsi="Times New Roman" w:cs="Times New Roman"/>
              </w:rPr>
              <w:t>Have there been any unexpected outcomes or outputs?</w:t>
            </w:r>
          </w:p>
        </w:tc>
        <w:tc>
          <w:tcPr>
            <w:tcW w:w="8647" w:type="dxa"/>
          </w:tcPr>
          <w:p w14:paraId="13247984" w14:textId="27C66BB8" w:rsidR="00B46630" w:rsidRPr="0061488A" w:rsidRDefault="008D4617" w:rsidP="005F4F0C">
            <w:pPr>
              <w:pStyle w:val="ListParagraph"/>
              <w:ind w:left="0"/>
              <w:jc w:val="both"/>
              <w:rPr>
                <w:rFonts w:ascii="Times New Roman" w:hAnsi="Times New Roman" w:cs="Times New Roman"/>
                <w:i/>
              </w:rPr>
            </w:pPr>
            <w:r w:rsidRPr="0061488A">
              <w:rPr>
                <w:rFonts w:ascii="Times New Roman" w:hAnsi="Times New Roman" w:cs="Times New Roman"/>
              </w:rPr>
              <w:t>Lack of partnership</w:t>
            </w:r>
            <w:r w:rsidR="00925A8B" w:rsidRPr="0061488A">
              <w:rPr>
                <w:rFonts w:ascii="Times New Roman" w:hAnsi="Times New Roman" w:cs="Times New Roman"/>
              </w:rPr>
              <w:t>s</w:t>
            </w:r>
            <w:r w:rsidRPr="0061488A">
              <w:rPr>
                <w:rFonts w:ascii="Times New Roman" w:hAnsi="Times New Roman" w:cs="Times New Roman"/>
              </w:rPr>
              <w:t xml:space="preserve"> </w:t>
            </w:r>
            <w:r w:rsidR="00925A8B" w:rsidRPr="0061488A">
              <w:rPr>
                <w:rFonts w:ascii="Times New Roman" w:hAnsi="Times New Roman" w:cs="Times New Roman"/>
              </w:rPr>
              <w:t xml:space="preserve">is still </w:t>
            </w:r>
            <w:r w:rsidRPr="0061488A">
              <w:rPr>
                <w:rFonts w:ascii="Times New Roman" w:hAnsi="Times New Roman" w:cs="Times New Roman"/>
              </w:rPr>
              <w:t xml:space="preserve">recognized as </w:t>
            </w:r>
            <w:r w:rsidR="00925A8B" w:rsidRPr="0061488A">
              <w:rPr>
                <w:rFonts w:ascii="Times New Roman" w:hAnsi="Times New Roman" w:cs="Times New Roman"/>
              </w:rPr>
              <w:t xml:space="preserve">a key </w:t>
            </w:r>
            <w:r w:rsidRPr="0061488A">
              <w:rPr>
                <w:rFonts w:ascii="Times New Roman" w:hAnsi="Times New Roman" w:cs="Times New Roman"/>
              </w:rPr>
              <w:t>bottleneck in achieving sub-national and national target</w:t>
            </w:r>
            <w:r w:rsidR="00925A8B" w:rsidRPr="0061488A">
              <w:rPr>
                <w:rFonts w:ascii="Times New Roman" w:hAnsi="Times New Roman" w:cs="Times New Roman"/>
              </w:rPr>
              <w:t>s</w:t>
            </w:r>
            <w:r w:rsidRPr="0061488A">
              <w:rPr>
                <w:rFonts w:ascii="Times New Roman" w:hAnsi="Times New Roman" w:cs="Times New Roman"/>
              </w:rPr>
              <w:t>. In the recent years, multi</w:t>
            </w:r>
            <w:r w:rsidR="00925A8B" w:rsidRPr="0061488A">
              <w:rPr>
                <w:rFonts w:ascii="Times New Roman" w:hAnsi="Times New Roman" w:cs="Times New Roman"/>
              </w:rPr>
              <w:t>-</w:t>
            </w:r>
            <w:r w:rsidRPr="0061488A">
              <w:rPr>
                <w:rFonts w:ascii="Times New Roman" w:hAnsi="Times New Roman" w:cs="Times New Roman"/>
              </w:rPr>
              <w:t>stakeholder partnership</w:t>
            </w:r>
            <w:r w:rsidR="00F12A8F" w:rsidRPr="0061488A">
              <w:rPr>
                <w:rFonts w:ascii="Times New Roman" w:hAnsi="Times New Roman" w:cs="Times New Roman"/>
              </w:rPr>
              <w:t>s have</w:t>
            </w:r>
            <w:r w:rsidRPr="0061488A">
              <w:rPr>
                <w:rFonts w:ascii="Times New Roman" w:hAnsi="Times New Roman" w:cs="Times New Roman"/>
              </w:rPr>
              <w:t xml:space="preserve"> been </w:t>
            </w:r>
            <w:r w:rsidR="00925A8B" w:rsidRPr="0061488A">
              <w:rPr>
                <w:rFonts w:ascii="Times New Roman" w:hAnsi="Times New Roman" w:cs="Times New Roman"/>
              </w:rPr>
              <w:t xml:space="preserve">promoted </w:t>
            </w:r>
            <w:r w:rsidRPr="0061488A">
              <w:rPr>
                <w:rFonts w:ascii="Times New Roman" w:hAnsi="Times New Roman" w:cs="Times New Roman"/>
              </w:rPr>
              <w:t xml:space="preserve">by </w:t>
            </w:r>
            <w:r w:rsidR="00925A8B" w:rsidRPr="0061488A">
              <w:rPr>
                <w:rFonts w:ascii="Times New Roman" w:hAnsi="Times New Roman" w:cs="Times New Roman"/>
              </w:rPr>
              <w:t xml:space="preserve">different entities including </w:t>
            </w:r>
            <w:r w:rsidR="00F12A8F" w:rsidRPr="0061488A">
              <w:rPr>
                <w:rFonts w:ascii="Times New Roman" w:hAnsi="Times New Roman" w:cs="Times New Roman"/>
              </w:rPr>
              <w:t xml:space="preserve">by </w:t>
            </w:r>
            <w:r w:rsidR="00925A8B" w:rsidRPr="0061488A">
              <w:rPr>
                <w:rFonts w:ascii="Times New Roman" w:hAnsi="Times New Roman" w:cs="Times New Roman"/>
              </w:rPr>
              <w:t>the government</w:t>
            </w:r>
            <w:r w:rsidRPr="0061488A">
              <w:rPr>
                <w:rFonts w:ascii="Times New Roman" w:hAnsi="Times New Roman" w:cs="Times New Roman"/>
              </w:rPr>
              <w:t xml:space="preserve">. </w:t>
            </w:r>
            <w:r w:rsidR="00B46630" w:rsidRPr="0061488A">
              <w:rPr>
                <w:rFonts w:ascii="Times New Roman" w:hAnsi="Times New Roman" w:cs="Times New Roman"/>
              </w:rPr>
              <w:t xml:space="preserve">There </w:t>
            </w:r>
            <w:r w:rsidR="00925A8B" w:rsidRPr="0061488A">
              <w:rPr>
                <w:rFonts w:ascii="Times New Roman" w:hAnsi="Times New Roman" w:cs="Times New Roman"/>
              </w:rPr>
              <w:t>ha</w:t>
            </w:r>
            <w:r w:rsidR="00F12A8F" w:rsidRPr="0061488A">
              <w:rPr>
                <w:rFonts w:ascii="Times New Roman" w:hAnsi="Times New Roman" w:cs="Times New Roman"/>
              </w:rPr>
              <w:t>ve</w:t>
            </w:r>
            <w:r w:rsidR="00925A8B" w:rsidRPr="0061488A">
              <w:rPr>
                <w:rFonts w:ascii="Times New Roman" w:hAnsi="Times New Roman" w:cs="Times New Roman"/>
              </w:rPr>
              <w:t xml:space="preserve"> also been </w:t>
            </w:r>
            <w:r w:rsidR="00B46630" w:rsidRPr="0061488A">
              <w:rPr>
                <w:rFonts w:ascii="Times New Roman" w:hAnsi="Times New Roman" w:cs="Times New Roman"/>
              </w:rPr>
              <w:t>growing</w:t>
            </w:r>
            <w:r w:rsidR="001B6601" w:rsidRPr="0061488A">
              <w:rPr>
                <w:rFonts w:ascii="Times New Roman" w:hAnsi="Times New Roman" w:cs="Times New Roman"/>
              </w:rPr>
              <w:t xml:space="preserve"> </w:t>
            </w:r>
            <w:r w:rsidR="00925A8B" w:rsidRPr="0061488A">
              <w:rPr>
                <w:rFonts w:ascii="Times New Roman" w:hAnsi="Times New Roman" w:cs="Times New Roman"/>
              </w:rPr>
              <w:t xml:space="preserve">commitments from the </w:t>
            </w:r>
            <w:r w:rsidR="001B6601" w:rsidRPr="0061488A">
              <w:rPr>
                <w:rFonts w:ascii="Times New Roman" w:hAnsi="Times New Roman" w:cs="Times New Roman"/>
              </w:rPr>
              <w:t xml:space="preserve">private sector </w:t>
            </w:r>
            <w:r w:rsidRPr="0061488A">
              <w:rPr>
                <w:rFonts w:ascii="Times New Roman" w:hAnsi="Times New Roman" w:cs="Times New Roman"/>
              </w:rPr>
              <w:t>especially</w:t>
            </w:r>
            <w:r w:rsidR="001B6601" w:rsidRPr="0061488A">
              <w:rPr>
                <w:rFonts w:ascii="Times New Roman" w:hAnsi="Times New Roman" w:cs="Times New Roman"/>
              </w:rPr>
              <w:t xml:space="preserve"> </w:t>
            </w:r>
            <w:r w:rsidR="00767615" w:rsidRPr="0061488A">
              <w:rPr>
                <w:rFonts w:ascii="Times New Roman" w:hAnsi="Times New Roman" w:cs="Times New Roman"/>
              </w:rPr>
              <w:t xml:space="preserve">from </w:t>
            </w:r>
            <w:r w:rsidR="00803382" w:rsidRPr="0061488A">
              <w:rPr>
                <w:rFonts w:ascii="Times New Roman" w:hAnsi="Times New Roman" w:cs="Times New Roman"/>
              </w:rPr>
              <w:t xml:space="preserve">palm oil </w:t>
            </w:r>
            <w:r w:rsidRPr="0061488A">
              <w:rPr>
                <w:rFonts w:ascii="Times New Roman" w:hAnsi="Times New Roman" w:cs="Times New Roman"/>
              </w:rPr>
              <w:t>and forestry industries that try to avoid deforestation while support</w:t>
            </w:r>
            <w:r w:rsidR="00F12A8F" w:rsidRPr="0061488A">
              <w:rPr>
                <w:rFonts w:ascii="Times New Roman" w:hAnsi="Times New Roman" w:cs="Times New Roman"/>
              </w:rPr>
              <w:t>ing</w:t>
            </w:r>
            <w:r w:rsidRPr="0061488A">
              <w:rPr>
                <w:rFonts w:ascii="Times New Roman" w:hAnsi="Times New Roman" w:cs="Times New Roman"/>
              </w:rPr>
              <w:t xml:space="preserve"> the </w:t>
            </w:r>
            <w:r w:rsidR="00F12A8F" w:rsidRPr="0061488A">
              <w:rPr>
                <w:rFonts w:ascii="Times New Roman" w:hAnsi="Times New Roman" w:cs="Times New Roman"/>
              </w:rPr>
              <w:t xml:space="preserve">government in </w:t>
            </w:r>
            <w:r w:rsidRPr="0061488A">
              <w:rPr>
                <w:rFonts w:ascii="Times New Roman" w:hAnsi="Times New Roman" w:cs="Times New Roman"/>
              </w:rPr>
              <w:t xml:space="preserve">achieving their target. </w:t>
            </w:r>
            <w:r w:rsidR="00F12A8F" w:rsidRPr="0061488A">
              <w:rPr>
                <w:rFonts w:ascii="Times New Roman" w:hAnsi="Times New Roman" w:cs="Times New Roman"/>
              </w:rPr>
              <w:t>The commitments are followed by</w:t>
            </w:r>
            <w:r w:rsidR="00B46630" w:rsidRPr="0061488A">
              <w:rPr>
                <w:rFonts w:ascii="Times New Roman" w:hAnsi="Times New Roman" w:cs="Times New Roman"/>
              </w:rPr>
              <w:t xml:space="preserve"> </w:t>
            </w:r>
            <w:r w:rsidR="00F12A8F" w:rsidRPr="0061488A">
              <w:rPr>
                <w:rFonts w:ascii="Times New Roman" w:hAnsi="Times New Roman" w:cs="Times New Roman"/>
              </w:rPr>
              <w:t xml:space="preserve">companies’ </w:t>
            </w:r>
            <w:r w:rsidR="00B46630" w:rsidRPr="0061488A">
              <w:rPr>
                <w:rFonts w:ascii="Times New Roman" w:hAnsi="Times New Roman" w:cs="Times New Roman"/>
              </w:rPr>
              <w:t>willing</w:t>
            </w:r>
            <w:r w:rsidR="00F12A8F" w:rsidRPr="0061488A">
              <w:rPr>
                <w:rFonts w:ascii="Times New Roman" w:hAnsi="Times New Roman" w:cs="Times New Roman"/>
              </w:rPr>
              <w:t>ness</w:t>
            </w:r>
            <w:r w:rsidR="00B46630" w:rsidRPr="0061488A">
              <w:rPr>
                <w:rFonts w:ascii="Times New Roman" w:hAnsi="Times New Roman" w:cs="Times New Roman"/>
              </w:rPr>
              <w:t xml:space="preserve"> to share their data and map and </w:t>
            </w:r>
            <w:r w:rsidR="00F12A8F" w:rsidRPr="0061488A">
              <w:rPr>
                <w:rFonts w:ascii="Times New Roman" w:hAnsi="Times New Roman" w:cs="Times New Roman"/>
              </w:rPr>
              <w:t xml:space="preserve">getting </w:t>
            </w:r>
            <w:r w:rsidR="00B46630" w:rsidRPr="0061488A">
              <w:rPr>
                <w:rFonts w:ascii="Times New Roman" w:hAnsi="Times New Roman" w:cs="Times New Roman"/>
              </w:rPr>
              <w:t>involve</w:t>
            </w:r>
            <w:r w:rsidR="00F12A8F" w:rsidRPr="0061488A">
              <w:rPr>
                <w:rFonts w:ascii="Times New Roman" w:hAnsi="Times New Roman" w:cs="Times New Roman"/>
              </w:rPr>
              <w:t>d</w:t>
            </w:r>
            <w:r w:rsidR="00B46630" w:rsidRPr="0061488A">
              <w:rPr>
                <w:rFonts w:ascii="Times New Roman" w:hAnsi="Times New Roman" w:cs="Times New Roman"/>
              </w:rPr>
              <w:t xml:space="preserve"> in </w:t>
            </w:r>
            <w:r w:rsidR="00D1692E" w:rsidRPr="0061488A">
              <w:rPr>
                <w:rFonts w:ascii="Times New Roman" w:hAnsi="Times New Roman" w:cs="Times New Roman"/>
              </w:rPr>
              <w:t xml:space="preserve">various </w:t>
            </w:r>
            <w:r w:rsidR="00B46630" w:rsidRPr="0061488A">
              <w:rPr>
                <w:rFonts w:ascii="Times New Roman" w:hAnsi="Times New Roman" w:cs="Times New Roman"/>
              </w:rPr>
              <w:t>multi-stakeholder platform</w:t>
            </w:r>
            <w:r w:rsidR="00F12A8F" w:rsidRPr="0061488A">
              <w:rPr>
                <w:rFonts w:ascii="Times New Roman" w:hAnsi="Times New Roman" w:cs="Times New Roman"/>
              </w:rPr>
              <w:t>s</w:t>
            </w:r>
            <w:r w:rsidR="00B46630" w:rsidRPr="0061488A">
              <w:rPr>
                <w:rFonts w:ascii="Times New Roman" w:hAnsi="Times New Roman" w:cs="Times New Roman"/>
              </w:rPr>
              <w:t xml:space="preserve">. In addition, there are </w:t>
            </w:r>
            <w:r w:rsidR="00F12A8F" w:rsidRPr="0061488A">
              <w:rPr>
                <w:rFonts w:ascii="Times New Roman" w:hAnsi="Times New Roman" w:cs="Times New Roman"/>
              </w:rPr>
              <w:t xml:space="preserve">a number </w:t>
            </w:r>
            <w:r w:rsidR="00B46630" w:rsidRPr="0061488A">
              <w:rPr>
                <w:rFonts w:ascii="Times New Roman" w:hAnsi="Times New Roman" w:cs="Times New Roman"/>
              </w:rPr>
              <w:t>of working group</w:t>
            </w:r>
            <w:r w:rsidR="00F12A8F" w:rsidRPr="0061488A">
              <w:rPr>
                <w:rFonts w:ascii="Times New Roman" w:hAnsi="Times New Roman" w:cs="Times New Roman"/>
              </w:rPr>
              <w:t>s</w:t>
            </w:r>
            <w:r w:rsidR="00B46630" w:rsidRPr="0061488A">
              <w:rPr>
                <w:rFonts w:ascii="Times New Roman" w:hAnsi="Times New Roman" w:cs="Times New Roman"/>
              </w:rPr>
              <w:t xml:space="preserve"> </w:t>
            </w:r>
            <w:r w:rsidR="004F7854" w:rsidRPr="0061488A">
              <w:rPr>
                <w:rFonts w:ascii="Times New Roman" w:hAnsi="Times New Roman" w:cs="Times New Roman"/>
              </w:rPr>
              <w:t>initiated</w:t>
            </w:r>
            <w:r w:rsidR="00F12A8F" w:rsidRPr="0061488A">
              <w:rPr>
                <w:rFonts w:ascii="Times New Roman" w:hAnsi="Times New Roman" w:cs="Times New Roman"/>
              </w:rPr>
              <w:t xml:space="preserve"> and working on sectoral issues in which</w:t>
            </w:r>
            <w:r w:rsidR="004F7854" w:rsidRPr="0061488A">
              <w:rPr>
                <w:rFonts w:ascii="Times New Roman" w:hAnsi="Times New Roman" w:cs="Times New Roman"/>
              </w:rPr>
              <w:t xml:space="preserve"> </w:t>
            </w:r>
            <w:r w:rsidR="006A4A11" w:rsidRPr="0061488A">
              <w:rPr>
                <w:rFonts w:ascii="Times New Roman" w:hAnsi="Times New Roman" w:cs="Times New Roman"/>
              </w:rPr>
              <w:t>stakeholder</w:t>
            </w:r>
            <w:r w:rsidR="00F12A8F" w:rsidRPr="0061488A">
              <w:rPr>
                <w:rFonts w:ascii="Times New Roman" w:hAnsi="Times New Roman" w:cs="Times New Roman"/>
              </w:rPr>
              <w:t>s</w:t>
            </w:r>
            <w:r w:rsidR="006A4A11" w:rsidRPr="0061488A">
              <w:rPr>
                <w:rFonts w:ascii="Times New Roman" w:hAnsi="Times New Roman" w:cs="Times New Roman"/>
              </w:rPr>
              <w:t xml:space="preserve"> </w:t>
            </w:r>
            <w:r w:rsidR="00F12A8F" w:rsidRPr="0061488A">
              <w:rPr>
                <w:rFonts w:ascii="Times New Roman" w:hAnsi="Times New Roman" w:cs="Times New Roman"/>
              </w:rPr>
              <w:t>can</w:t>
            </w:r>
            <w:r w:rsidRPr="0061488A">
              <w:rPr>
                <w:rFonts w:ascii="Times New Roman" w:hAnsi="Times New Roman" w:cs="Times New Roman"/>
              </w:rPr>
              <w:t xml:space="preserve"> share</w:t>
            </w:r>
            <w:r w:rsidR="00F12A8F" w:rsidRPr="0061488A">
              <w:rPr>
                <w:rFonts w:ascii="Times New Roman" w:hAnsi="Times New Roman" w:cs="Times New Roman"/>
              </w:rPr>
              <w:t xml:space="preserve"> and discuss</w:t>
            </w:r>
            <w:r w:rsidR="00B46630" w:rsidRPr="0061488A">
              <w:rPr>
                <w:rFonts w:ascii="Times New Roman" w:hAnsi="Times New Roman" w:cs="Times New Roman"/>
              </w:rPr>
              <w:t xml:space="preserve"> their concern</w:t>
            </w:r>
            <w:r w:rsidR="00F12A8F" w:rsidRPr="0061488A">
              <w:rPr>
                <w:rFonts w:ascii="Times New Roman" w:hAnsi="Times New Roman" w:cs="Times New Roman"/>
              </w:rPr>
              <w:t>s</w:t>
            </w:r>
            <w:r w:rsidR="00B46630" w:rsidRPr="0061488A">
              <w:rPr>
                <w:rFonts w:ascii="Times New Roman" w:hAnsi="Times New Roman" w:cs="Times New Roman"/>
              </w:rPr>
              <w:t>.</w:t>
            </w:r>
          </w:p>
        </w:tc>
      </w:tr>
      <w:tr w:rsidR="00B46630" w:rsidRPr="00C80F34" w14:paraId="1C945E4E" w14:textId="77777777" w:rsidTr="002B23A5">
        <w:tc>
          <w:tcPr>
            <w:tcW w:w="1843" w:type="dxa"/>
          </w:tcPr>
          <w:p w14:paraId="042F7D1F" w14:textId="77777777" w:rsidR="00B46630" w:rsidRPr="0061488A" w:rsidRDefault="00B46630" w:rsidP="00B46630">
            <w:pPr>
              <w:pStyle w:val="ListParagraph"/>
              <w:ind w:left="0"/>
              <w:rPr>
                <w:rFonts w:ascii="Times New Roman" w:hAnsi="Times New Roman" w:cs="Times New Roman"/>
              </w:rPr>
            </w:pPr>
            <w:r w:rsidRPr="0061488A">
              <w:rPr>
                <w:rFonts w:ascii="Times New Roman" w:hAnsi="Times New Roman" w:cs="Times New Roman"/>
              </w:rPr>
              <w:t>What are the most important lessons learned (good or bad) from implementation of existing strategy (ies) and/or plan(s)?</w:t>
            </w:r>
          </w:p>
        </w:tc>
        <w:tc>
          <w:tcPr>
            <w:tcW w:w="8647" w:type="dxa"/>
          </w:tcPr>
          <w:p w14:paraId="2CDFB0F4" w14:textId="15EC4E00" w:rsidR="00B46630" w:rsidRPr="0061488A" w:rsidRDefault="00B46630" w:rsidP="005F4F0C">
            <w:pPr>
              <w:pStyle w:val="ListParagraph"/>
              <w:ind w:left="0"/>
              <w:jc w:val="both"/>
              <w:rPr>
                <w:rFonts w:ascii="Times New Roman" w:hAnsi="Times New Roman" w:cs="Times New Roman"/>
              </w:rPr>
            </w:pPr>
            <w:r w:rsidRPr="0061488A">
              <w:rPr>
                <w:rFonts w:ascii="Times New Roman" w:hAnsi="Times New Roman" w:cs="Times New Roman"/>
              </w:rPr>
              <w:t xml:space="preserve">Leadership is the most influencing factor </w:t>
            </w:r>
            <w:r w:rsidR="00F12A8F" w:rsidRPr="0061488A">
              <w:rPr>
                <w:rFonts w:ascii="Times New Roman" w:hAnsi="Times New Roman" w:cs="Times New Roman"/>
              </w:rPr>
              <w:t xml:space="preserve">to realize and further support </w:t>
            </w:r>
            <w:r w:rsidR="009E7213" w:rsidRPr="0061488A">
              <w:rPr>
                <w:rFonts w:ascii="Times New Roman" w:hAnsi="Times New Roman" w:cs="Times New Roman"/>
              </w:rPr>
              <w:t xml:space="preserve">the </w:t>
            </w:r>
            <w:r w:rsidRPr="0061488A">
              <w:rPr>
                <w:rFonts w:ascii="Times New Roman" w:hAnsi="Times New Roman" w:cs="Times New Roman"/>
              </w:rPr>
              <w:t xml:space="preserve">SRAP </w:t>
            </w:r>
            <w:r w:rsidR="008D4617" w:rsidRPr="0061488A">
              <w:rPr>
                <w:rFonts w:ascii="Times New Roman" w:hAnsi="Times New Roman" w:cs="Times New Roman"/>
              </w:rPr>
              <w:t xml:space="preserve">REDD+ </w:t>
            </w:r>
            <w:r w:rsidRPr="0061488A">
              <w:rPr>
                <w:rFonts w:ascii="Times New Roman" w:hAnsi="Times New Roman" w:cs="Times New Roman"/>
              </w:rPr>
              <w:t>and GG</w:t>
            </w:r>
            <w:r w:rsidR="004C644A" w:rsidRPr="0061488A">
              <w:rPr>
                <w:rFonts w:ascii="Times New Roman" w:hAnsi="Times New Roman" w:cs="Times New Roman"/>
              </w:rPr>
              <w:t>P</w:t>
            </w:r>
            <w:r w:rsidRPr="0061488A">
              <w:rPr>
                <w:rFonts w:ascii="Times New Roman" w:hAnsi="Times New Roman" w:cs="Times New Roman"/>
              </w:rPr>
              <w:t xml:space="preserve">. Governor of West Kalimantan as </w:t>
            </w:r>
            <w:r w:rsidR="00F12A8F" w:rsidRPr="0061488A">
              <w:rPr>
                <w:rFonts w:ascii="Times New Roman" w:hAnsi="Times New Roman" w:cs="Times New Roman"/>
              </w:rPr>
              <w:t xml:space="preserve">a </w:t>
            </w:r>
            <w:r w:rsidRPr="0061488A">
              <w:rPr>
                <w:rFonts w:ascii="Times New Roman" w:hAnsi="Times New Roman" w:cs="Times New Roman"/>
              </w:rPr>
              <w:t>key decision maker</w:t>
            </w:r>
            <w:r w:rsidR="004C644A" w:rsidRPr="0061488A">
              <w:rPr>
                <w:rFonts w:ascii="Times New Roman" w:hAnsi="Times New Roman" w:cs="Times New Roman"/>
              </w:rPr>
              <w:t xml:space="preserve"> </w:t>
            </w:r>
            <w:r w:rsidR="00F12A8F" w:rsidRPr="0061488A">
              <w:rPr>
                <w:rFonts w:ascii="Times New Roman" w:hAnsi="Times New Roman" w:cs="Times New Roman"/>
              </w:rPr>
              <w:t xml:space="preserve">had shown </w:t>
            </w:r>
            <w:r w:rsidR="008D4617" w:rsidRPr="0061488A">
              <w:rPr>
                <w:rFonts w:ascii="Times New Roman" w:hAnsi="Times New Roman" w:cs="Times New Roman"/>
              </w:rPr>
              <w:t>his leadership including</w:t>
            </w:r>
            <w:r w:rsidR="00F12A8F" w:rsidRPr="0061488A">
              <w:rPr>
                <w:rFonts w:ascii="Times New Roman" w:hAnsi="Times New Roman" w:cs="Times New Roman"/>
              </w:rPr>
              <w:t xml:space="preserve"> by</w:t>
            </w:r>
            <w:r w:rsidR="008D4617" w:rsidRPr="0061488A">
              <w:rPr>
                <w:rFonts w:ascii="Times New Roman" w:hAnsi="Times New Roman" w:cs="Times New Roman"/>
              </w:rPr>
              <w:t xml:space="preserve"> bringing different </w:t>
            </w:r>
            <w:r w:rsidRPr="0061488A">
              <w:rPr>
                <w:rFonts w:ascii="Times New Roman" w:hAnsi="Times New Roman" w:cs="Times New Roman"/>
              </w:rPr>
              <w:t>NGO</w:t>
            </w:r>
            <w:r w:rsidR="008D4617" w:rsidRPr="0061488A">
              <w:rPr>
                <w:rFonts w:ascii="Times New Roman" w:hAnsi="Times New Roman" w:cs="Times New Roman"/>
              </w:rPr>
              <w:t>s</w:t>
            </w:r>
            <w:r w:rsidRPr="0061488A">
              <w:rPr>
                <w:rFonts w:ascii="Times New Roman" w:hAnsi="Times New Roman" w:cs="Times New Roman"/>
              </w:rPr>
              <w:t xml:space="preserve"> and private sector</w:t>
            </w:r>
            <w:r w:rsidR="004C644A" w:rsidRPr="0061488A">
              <w:rPr>
                <w:rFonts w:ascii="Times New Roman" w:hAnsi="Times New Roman" w:cs="Times New Roman"/>
              </w:rPr>
              <w:t>s</w:t>
            </w:r>
            <w:r w:rsidR="008D4617" w:rsidRPr="0061488A">
              <w:rPr>
                <w:rFonts w:ascii="Times New Roman" w:hAnsi="Times New Roman" w:cs="Times New Roman"/>
              </w:rPr>
              <w:t xml:space="preserve"> to the frame</w:t>
            </w:r>
            <w:r w:rsidR="00F12A8F" w:rsidRPr="0061488A">
              <w:rPr>
                <w:rFonts w:ascii="Times New Roman" w:hAnsi="Times New Roman" w:cs="Times New Roman"/>
              </w:rPr>
              <w:t>work of collaboration</w:t>
            </w:r>
            <w:r w:rsidRPr="0061488A">
              <w:rPr>
                <w:rFonts w:ascii="Times New Roman" w:hAnsi="Times New Roman" w:cs="Times New Roman"/>
              </w:rPr>
              <w:t>.</w:t>
            </w:r>
            <w:r w:rsidR="006C61CC" w:rsidRPr="0061488A">
              <w:rPr>
                <w:rFonts w:ascii="Times New Roman" w:hAnsi="Times New Roman" w:cs="Times New Roman"/>
              </w:rPr>
              <w:t xml:space="preserve"> </w:t>
            </w:r>
            <w:r w:rsidR="00D712BB" w:rsidRPr="0061488A">
              <w:rPr>
                <w:rFonts w:ascii="Times New Roman" w:hAnsi="Times New Roman" w:cs="Times New Roman"/>
              </w:rPr>
              <w:t>Also</w:t>
            </w:r>
            <w:r w:rsidR="000F613A" w:rsidRPr="0061488A">
              <w:rPr>
                <w:rFonts w:ascii="Times New Roman" w:hAnsi="Times New Roman" w:cs="Times New Roman"/>
              </w:rPr>
              <w:t>,</w:t>
            </w:r>
            <w:r w:rsidR="00F12A8F" w:rsidRPr="0061488A">
              <w:rPr>
                <w:rFonts w:ascii="Times New Roman" w:hAnsi="Times New Roman" w:cs="Times New Roman"/>
              </w:rPr>
              <w:t xml:space="preserve"> the private sector’s commitments and contribution are key.</w:t>
            </w:r>
            <w:r w:rsidR="000F613A" w:rsidRPr="0061488A">
              <w:rPr>
                <w:rFonts w:ascii="Times New Roman" w:hAnsi="Times New Roman" w:cs="Times New Roman"/>
              </w:rPr>
              <w:t xml:space="preserve"> </w:t>
            </w:r>
            <w:r w:rsidR="00D712BB" w:rsidRPr="0061488A">
              <w:rPr>
                <w:rFonts w:ascii="Times New Roman" w:hAnsi="Times New Roman" w:cs="Times New Roman"/>
              </w:rPr>
              <w:t xml:space="preserve">They have contributed to the development of </w:t>
            </w:r>
            <w:r w:rsidR="00F12A8F" w:rsidRPr="0061488A">
              <w:rPr>
                <w:rFonts w:ascii="Times New Roman" w:hAnsi="Times New Roman" w:cs="Times New Roman"/>
              </w:rPr>
              <w:t>proven business model</w:t>
            </w:r>
            <w:r w:rsidR="00D712BB" w:rsidRPr="0061488A">
              <w:rPr>
                <w:rFonts w:ascii="Times New Roman" w:hAnsi="Times New Roman" w:cs="Times New Roman"/>
              </w:rPr>
              <w:t>s</w:t>
            </w:r>
            <w:r w:rsidR="00F12A8F" w:rsidRPr="0061488A">
              <w:rPr>
                <w:rFonts w:ascii="Times New Roman" w:hAnsi="Times New Roman" w:cs="Times New Roman"/>
              </w:rPr>
              <w:t xml:space="preserve"> </w:t>
            </w:r>
            <w:r w:rsidR="00D712BB" w:rsidRPr="0061488A">
              <w:rPr>
                <w:rFonts w:ascii="Times New Roman" w:hAnsi="Times New Roman" w:cs="Times New Roman"/>
              </w:rPr>
              <w:t>and these models are crucial</w:t>
            </w:r>
            <w:r w:rsidR="00F12A8F" w:rsidRPr="0061488A">
              <w:rPr>
                <w:rFonts w:ascii="Times New Roman" w:hAnsi="Times New Roman" w:cs="Times New Roman"/>
              </w:rPr>
              <w:t xml:space="preserve"> to convince all stakeholders especially </w:t>
            </w:r>
            <w:r w:rsidR="00D712BB" w:rsidRPr="0061488A">
              <w:rPr>
                <w:rFonts w:ascii="Times New Roman" w:hAnsi="Times New Roman" w:cs="Times New Roman"/>
              </w:rPr>
              <w:t>other companies in the region</w:t>
            </w:r>
            <w:r w:rsidR="00F12A8F" w:rsidRPr="0061488A">
              <w:rPr>
                <w:rFonts w:ascii="Times New Roman" w:hAnsi="Times New Roman" w:cs="Times New Roman"/>
              </w:rPr>
              <w:t xml:space="preserve">. </w:t>
            </w:r>
            <w:r w:rsidR="00D712BB" w:rsidRPr="0061488A">
              <w:rPr>
                <w:rFonts w:ascii="Times New Roman" w:hAnsi="Times New Roman" w:cs="Times New Roman"/>
              </w:rPr>
              <w:t>Acceptance and support from the private sector can boost</w:t>
            </w:r>
            <w:r w:rsidR="00F12A8F" w:rsidRPr="0061488A">
              <w:rPr>
                <w:rFonts w:ascii="Times New Roman" w:hAnsi="Times New Roman" w:cs="Times New Roman"/>
              </w:rPr>
              <w:t xml:space="preserve"> </w:t>
            </w:r>
            <w:r w:rsidR="00D712BB" w:rsidRPr="0061488A">
              <w:rPr>
                <w:rFonts w:ascii="Times New Roman" w:hAnsi="Times New Roman" w:cs="Times New Roman"/>
              </w:rPr>
              <w:t>green</w:t>
            </w:r>
            <w:r w:rsidR="00F12A8F" w:rsidRPr="0061488A">
              <w:rPr>
                <w:rFonts w:ascii="Times New Roman" w:hAnsi="Times New Roman" w:cs="Times New Roman"/>
              </w:rPr>
              <w:t xml:space="preserve"> economic growth </w:t>
            </w:r>
            <w:r w:rsidR="00D712BB" w:rsidRPr="0061488A">
              <w:rPr>
                <w:rFonts w:ascii="Times New Roman" w:hAnsi="Times New Roman" w:cs="Times New Roman"/>
              </w:rPr>
              <w:t xml:space="preserve">that </w:t>
            </w:r>
            <w:r w:rsidR="00F12A8F" w:rsidRPr="0061488A">
              <w:rPr>
                <w:rFonts w:ascii="Times New Roman" w:hAnsi="Times New Roman" w:cs="Times New Roman"/>
              </w:rPr>
              <w:t xml:space="preserve">will </w:t>
            </w:r>
            <w:r w:rsidR="00D712BB" w:rsidRPr="0061488A">
              <w:rPr>
                <w:rFonts w:ascii="Times New Roman" w:hAnsi="Times New Roman" w:cs="Times New Roman"/>
              </w:rPr>
              <w:t>lead to or strengthen</w:t>
            </w:r>
            <w:r w:rsidR="00F12A8F" w:rsidRPr="0061488A">
              <w:rPr>
                <w:rFonts w:ascii="Times New Roman" w:hAnsi="Times New Roman" w:cs="Times New Roman"/>
              </w:rPr>
              <w:t xml:space="preserve"> forest and environmental protection. Without</w:t>
            </w:r>
            <w:r w:rsidR="00D712BB" w:rsidRPr="0061488A">
              <w:rPr>
                <w:rFonts w:ascii="Times New Roman" w:hAnsi="Times New Roman" w:cs="Times New Roman"/>
              </w:rPr>
              <w:t xml:space="preserve"> proven business models, there will no</w:t>
            </w:r>
            <w:r w:rsidR="00F12A8F" w:rsidRPr="0061488A">
              <w:rPr>
                <w:rFonts w:ascii="Times New Roman" w:hAnsi="Times New Roman" w:cs="Times New Roman"/>
              </w:rPr>
              <w:t>t be any wider support especially from the private sectors to realize the SRAP REDD+.</w:t>
            </w:r>
            <w:r w:rsidR="00D712BB" w:rsidRPr="0061488A">
              <w:rPr>
                <w:rFonts w:ascii="Times New Roman" w:hAnsi="Times New Roman" w:cs="Times New Roman"/>
              </w:rPr>
              <w:t xml:space="preserve"> Another key aspect is the inclusion of communities. </w:t>
            </w:r>
            <w:r w:rsidR="00B53223" w:rsidRPr="0061488A">
              <w:rPr>
                <w:rFonts w:ascii="Times New Roman" w:hAnsi="Times New Roman" w:cs="Times New Roman"/>
              </w:rPr>
              <w:t xml:space="preserve">The development of village forests and their business models is, therefore, significant to ensure support from the communities for REDD+ related activities. </w:t>
            </w:r>
            <w:r w:rsidR="00D712BB" w:rsidRPr="0061488A">
              <w:rPr>
                <w:rFonts w:ascii="Times New Roman" w:hAnsi="Times New Roman" w:cs="Times New Roman"/>
              </w:rPr>
              <w:t xml:space="preserve"> </w:t>
            </w:r>
            <w:r w:rsidR="008D4617" w:rsidRPr="0061488A">
              <w:rPr>
                <w:rFonts w:ascii="Times New Roman" w:hAnsi="Times New Roman" w:cs="Times New Roman"/>
              </w:rPr>
              <w:t xml:space="preserve"> </w:t>
            </w:r>
          </w:p>
        </w:tc>
      </w:tr>
      <w:tr w:rsidR="000F613A" w:rsidRPr="00C80F34" w14:paraId="4B581258" w14:textId="77777777" w:rsidTr="002B23A5">
        <w:tc>
          <w:tcPr>
            <w:tcW w:w="1843" w:type="dxa"/>
          </w:tcPr>
          <w:p w14:paraId="02F28BC4" w14:textId="77777777" w:rsidR="000F613A" w:rsidRPr="0061488A" w:rsidRDefault="000F613A" w:rsidP="00DB2311">
            <w:pPr>
              <w:pStyle w:val="ListParagraph"/>
              <w:ind w:left="0"/>
              <w:rPr>
                <w:rFonts w:ascii="Times New Roman" w:hAnsi="Times New Roman" w:cs="Times New Roman"/>
              </w:rPr>
            </w:pPr>
            <w:r w:rsidRPr="0061488A">
              <w:rPr>
                <w:rFonts w:ascii="Times New Roman" w:hAnsi="Times New Roman" w:cs="Times New Roman"/>
              </w:rPr>
              <w:t xml:space="preserve">Describe the most important challenges in developing or </w:t>
            </w:r>
            <w:r w:rsidRPr="0061488A">
              <w:rPr>
                <w:rFonts w:ascii="Times New Roman" w:hAnsi="Times New Roman" w:cs="Times New Roman"/>
              </w:rPr>
              <w:lastRenderedPageBreak/>
              <w:t xml:space="preserve">implementing the strategy (ies) or plan(s)? </w:t>
            </w:r>
          </w:p>
        </w:tc>
        <w:tc>
          <w:tcPr>
            <w:tcW w:w="8647" w:type="dxa"/>
          </w:tcPr>
          <w:p w14:paraId="2DE87EE0" w14:textId="591055E5" w:rsidR="000F613A" w:rsidRPr="0061488A" w:rsidRDefault="000F613A" w:rsidP="005F4F0C">
            <w:pPr>
              <w:jc w:val="both"/>
              <w:rPr>
                <w:i/>
                <w:sz w:val="22"/>
                <w:szCs w:val="22"/>
              </w:rPr>
            </w:pPr>
            <w:r w:rsidRPr="0061488A">
              <w:rPr>
                <w:sz w:val="22"/>
                <w:szCs w:val="22"/>
              </w:rPr>
              <w:lastRenderedPageBreak/>
              <w:t xml:space="preserve">The most challenging </w:t>
            </w:r>
            <w:r w:rsidR="0030451E" w:rsidRPr="0061488A">
              <w:rPr>
                <w:sz w:val="22"/>
                <w:szCs w:val="22"/>
              </w:rPr>
              <w:t>part</w:t>
            </w:r>
            <w:r w:rsidRPr="0061488A">
              <w:rPr>
                <w:sz w:val="22"/>
                <w:szCs w:val="22"/>
              </w:rPr>
              <w:t xml:space="preserve"> of</w:t>
            </w:r>
            <w:r w:rsidR="0030451E" w:rsidRPr="0061488A">
              <w:rPr>
                <w:sz w:val="22"/>
                <w:szCs w:val="22"/>
              </w:rPr>
              <w:t xml:space="preserve"> getting</w:t>
            </w:r>
            <w:r w:rsidRPr="0061488A">
              <w:rPr>
                <w:sz w:val="22"/>
                <w:szCs w:val="22"/>
              </w:rPr>
              <w:t xml:space="preserve"> </w:t>
            </w:r>
            <w:r w:rsidR="0030451E" w:rsidRPr="0061488A">
              <w:rPr>
                <w:sz w:val="22"/>
                <w:szCs w:val="22"/>
              </w:rPr>
              <w:t xml:space="preserve">the </w:t>
            </w:r>
            <w:r w:rsidRPr="0061488A">
              <w:rPr>
                <w:sz w:val="22"/>
                <w:szCs w:val="22"/>
              </w:rPr>
              <w:t>REDD+</w:t>
            </w:r>
            <w:r w:rsidR="0030451E" w:rsidRPr="0061488A">
              <w:rPr>
                <w:sz w:val="22"/>
                <w:szCs w:val="22"/>
              </w:rPr>
              <w:t xml:space="preserve"> properly implemented</w:t>
            </w:r>
            <w:r w:rsidRPr="0061488A">
              <w:rPr>
                <w:sz w:val="22"/>
                <w:szCs w:val="22"/>
              </w:rPr>
              <w:t xml:space="preserve"> </w:t>
            </w:r>
            <w:r w:rsidR="00B53223" w:rsidRPr="0061488A">
              <w:rPr>
                <w:sz w:val="22"/>
                <w:szCs w:val="22"/>
              </w:rPr>
              <w:t xml:space="preserve">are a </w:t>
            </w:r>
            <w:r w:rsidRPr="0061488A">
              <w:rPr>
                <w:sz w:val="22"/>
                <w:szCs w:val="22"/>
              </w:rPr>
              <w:t>political changes</w:t>
            </w:r>
            <w:r w:rsidR="0030451E" w:rsidRPr="0061488A">
              <w:rPr>
                <w:sz w:val="22"/>
                <w:szCs w:val="22"/>
              </w:rPr>
              <w:t xml:space="preserve"> and overlapping regulation</w:t>
            </w:r>
            <w:r w:rsidRPr="0061488A">
              <w:rPr>
                <w:sz w:val="22"/>
                <w:szCs w:val="22"/>
              </w:rPr>
              <w:t xml:space="preserve"> at all government levels, caused by a sifting regime or bureaucracy structure. </w:t>
            </w:r>
            <w:r w:rsidR="0030451E" w:rsidRPr="0061488A">
              <w:rPr>
                <w:sz w:val="22"/>
                <w:szCs w:val="22"/>
              </w:rPr>
              <w:t>For instance, a</w:t>
            </w:r>
            <w:r w:rsidRPr="0061488A">
              <w:rPr>
                <w:sz w:val="22"/>
                <w:szCs w:val="22"/>
              </w:rPr>
              <w:t xml:space="preserve">t </w:t>
            </w:r>
            <w:r w:rsidR="00A90547" w:rsidRPr="0061488A">
              <w:rPr>
                <w:sz w:val="22"/>
                <w:szCs w:val="22"/>
              </w:rPr>
              <w:t xml:space="preserve">the </w:t>
            </w:r>
            <w:r w:rsidRPr="0061488A">
              <w:rPr>
                <w:sz w:val="22"/>
                <w:szCs w:val="22"/>
              </w:rPr>
              <w:t xml:space="preserve">national </w:t>
            </w:r>
            <w:r w:rsidR="00A90547" w:rsidRPr="0061488A">
              <w:rPr>
                <w:sz w:val="22"/>
                <w:szCs w:val="22"/>
              </w:rPr>
              <w:t>level</w:t>
            </w:r>
            <w:r w:rsidRPr="0061488A">
              <w:rPr>
                <w:sz w:val="22"/>
                <w:szCs w:val="22"/>
              </w:rPr>
              <w:t xml:space="preserve">, </w:t>
            </w:r>
            <w:r w:rsidR="00A90547" w:rsidRPr="0061488A">
              <w:rPr>
                <w:sz w:val="22"/>
                <w:szCs w:val="22"/>
              </w:rPr>
              <w:t xml:space="preserve">changes happen several times with regard to </w:t>
            </w:r>
            <w:r w:rsidRPr="0061488A">
              <w:rPr>
                <w:sz w:val="22"/>
                <w:szCs w:val="22"/>
              </w:rPr>
              <w:t>REDD+ institution</w:t>
            </w:r>
            <w:r w:rsidR="00A90547" w:rsidRPr="0061488A">
              <w:rPr>
                <w:sz w:val="22"/>
                <w:szCs w:val="22"/>
              </w:rPr>
              <w:t>s</w:t>
            </w:r>
            <w:r w:rsidRPr="0061488A">
              <w:rPr>
                <w:sz w:val="22"/>
                <w:szCs w:val="22"/>
              </w:rPr>
              <w:t xml:space="preserve">. Another important challenge is </w:t>
            </w:r>
            <w:r w:rsidR="0030451E" w:rsidRPr="0061488A">
              <w:rPr>
                <w:sz w:val="22"/>
                <w:szCs w:val="22"/>
              </w:rPr>
              <w:t xml:space="preserve">to prove </w:t>
            </w:r>
            <w:r w:rsidR="00A90547" w:rsidRPr="0061488A">
              <w:rPr>
                <w:sz w:val="22"/>
                <w:szCs w:val="22"/>
              </w:rPr>
              <w:t xml:space="preserve">to the private sector that there is </w:t>
            </w:r>
            <w:r w:rsidR="0030451E" w:rsidRPr="0061488A">
              <w:rPr>
                <w:sz w:val="22"/>
                <w:szCs w:val="22"/>
              </w:rPr>
              <w:t xml:space="preserve">a </w:t>
            </w:r>
            <w:r w:rsidRPr="0061488A">
              <w:rPr>
                <w:sz w:val="22"/>
                <w:szCs w:val="22"/>
              </w:rPr>
              <w:t xml:space="preserve">sustainable </w:t>
            </w:r>
            <w:r w:rsidR="0030451E" w:rsidRPr="0061488A">
              <w:rPr>
                <w:sz w:val="22"/>
                <w:szCs w:val="22"/>
              </w:rPr>
              <w:t xml:space="preserve">business model </w:t>
            </w:r>
            <w:r w:rsidR="00A90547" w:rsidRPr="0061488A">
              <w:rPr>
                <w:sz w:val="22"/>
                <w:szCs w:val="22"/>
              </w:rPr>
              <w:t xml:space="preserve">that can be developed that can lead to both forest protection and </w:t>
            </w:r>
            <w:r w:rsidR="00A90547" w:rsidRPr="0061488A">
              <w:rPr>
                <w:sz w:val="22"/>
                <w:szCs w:val="22"/>
              </w:rPr>
              <w:lastRenderedPageBreak/>
              <w:t>economic development</w:t>
            </w:r>
            <w:r w:rsidR="0030451E" w:rsidRPr="0061488A">
              <w:rPr>
                <w:sz w:val="22"/>
                <w:szCs w:val="22"/>
              </w:rPr>
              <w:t xml:space="preserve">. </w:t>
            </w:r>
            <w:r w:rsidR="00A90547" w:rsidRPr="0061488A">
              <w:rPr>
                <w:sz w:val="22"/>
                <w:szCs w:val="22"/>
              </w:rPr>
              <w:t>As an example</w:t>
            </w:r>
            <w:r w:rsidR="0030451E" w:rsidRPr="0061488A">
              <w:rPr>
                <w:sz w:val="22"/>
                <w:szCs w:val="22"/>
              </w:rPr>
              <w:t xml:space="preserve">, one of acacia plantations in West Kalimantan only </w:t>
            </w:r>
            <w:r w:rsidR="00A90547" w:rsidRPr="0061488A">
              <w:rPr>
                <w:sz w:val="22"/>
                <w:szCs w:val="22"/>
              </w:rPr>
              <w:t xml:space="preserve">has </w:t>
            </w:r>
            <w:r w:rsidR="0030451E" w:rsidRPr="0061488A">
              <w:rPr>
                <w:sz w:val="22"/>
                <w:szCs w:val="22"/>
              </w:rPr>
              <w:t xml:space="preserve">22,000 </w:t>
            </w:r>
            <w:r w:rsidR="00A90547" w:rsidRPr="0061488A">
              <w:rPr>
                <w:sz w:val="22"/>
                <w:szCs w:val="22"/>
              </w:rPr>
              <w:t xml:space="preserve">hectares </w:t>
            </w:r>
            <w:r w:rsidR="0030451E" w:rsidRPr="0061488A">
              <w:rPr>
                <w:sz w:val="22"/>
                <w:szCs w:val="22"/>
              </w:rPr>
              <w:t xml:space="preserve">for their production while they must protect </w:t>
            </w:r>
            <w:r w:rsidR="00A90547" w:rsidRPr="0061488A">
              <w:rPr>
                <w:sz w:val="22"/>
                <w:szCs w:val="22"/>
              </w:rPr>
              <w:t xml:space="preserve">approximately </w:t>
            </w:r>
            <w:r w:rsidR="0030451E" w:rsidRPr="0061488A">
              <w:rPr>
                <w:sz w:val="22"/>
                <w:szCs w:val="22"/>
              </w:rPr>
              <w:t xml:space="preserve">80,000 </w:t>
            </w:r>
            <w:r w:rsidR="00A90547" w:rsidRPr="0061488A">
              <w:rPr>
                <w:sz w:val="22"/>
                <w:szCs w:val="22"/>
              </w:rPr>
              <w:t xml:space="preserve">hectares </w:t>
            </w:r>
            <w:r w:rsidR="0030451E" w:rsidRPr="0061488A">
              <w:rPr>
                <w:sz w:val="22"/>
                <w:szCs w:val="22"/>
              </w:rPr>
              <w:t xml:space="preserve">due to peat regulation. </w:t>
            </w:r>
            <w:r w:rsidR="00A90547" w:rsidRPr="0061488A">
              <w:rPr>
                <w:sz w:val="22"/>
                <w:szCs w:val="22"/>
              </w:rPr>
              <w:t>The question now is whether</w:t>
            </w:r>
            <w:r w:rsidR="0030451E" w:rsidRPr="0061488A">
              <w:rPr>
                <w:sz w:val="22"/>
                <w:szCs w:val="22"/>
              </w:rPr>
              <w:t xml:space="preserve"> the company </w:t>
            </w:r>
            <w:r w:rsidR="00A90547" w:rsidRPr="0061488A">
              <w:rPr>
                <w:sz w:val="22"/>
                <w:szCs w:val="22"/>
              </w:rPr>
              <w:t xml:space="preserve">can still </w:t>
            </w:r>
            <w:r w:rsidR="0030451E" w:rsidRPr="0061488A">
              <w:rPr>
                <w:sz w:val="22"/>
                <w:szCs w:val="22"/>
              </w:rPr>
              <w:t>generate profit while investing a lot in protection</w:t>
            </w:r>
            <w:r w:rsidR="00A90547" w:rsidRPr="0061488A">
              <w:rPr>
                <w:sz w:val="22"/>
                <w:szCs w:val="22"/>
              </w:rPr>
              <w:t>. If the answer is “No”, the company may leave the concession and the un-managed land may be vulnerable from encroachment</w:t>
            </w:r>
            <w:r w:rsidR="0030451E" w:rsidRPr="0061488A">
              <w:rPr>
                <w:sz w:val="22"/>
                <w:szCs w:val="22"/>
              </w:rPr>
              <w:t>.</w:t>
            </w:r>
          </w:p>
        </w:tc>
      </w:tr>
    </w:tbl>
    <w:p w14:paraId="0CC4A8F1" w14:textId="77777777" w:rsidR="00B75FA5" w:rsidRPr="00C80F34" w:rsidRDefault="00B75FA5" w:rsidP="008529B1">
      <w:pPr>
        <w:jc w:val="both"/>
        <w:rPr>
          <w:b/>
        </w:rPr>
      </w:pPr>
    </w:p>
    <w:p w14:paraId="6F91D966" w14:textId="77777777" w:rsidR="00774634" w:rsidRPr="00C80F34" w:rsidRDefault="00774634" w:rsidP="00774634">
      <w:pPr>
        <w:pStyle w:val="ListParagraph"/>
        <w:numPr>
          <w:ilvl w:val="2"/>
          <w:numId w:val="1"/>
        </w:numPr>
        <w:spacing w:after="0" w:line="240" w:lineRule="auto"/>
        <w:jc w:val="both"/>
        <w:rPr>
          <w:rFonts w:ascii="Times New Roman" w:hAnsi="Times New Roman" w:cs="Times New Roman"/>
          <w:b/>
        </w:rPr>
      </w:pPr>
      <w:r w:rsidRPr="00C80F34">
        <w:rPr>
          <w:rFonts w:ascii="Times New Roman" w:hAnsi="Times New Roman" w:cs="Times New Roman"/>
          <w:b/>
        </w:rPr>
        <w:t>Partner Capacity</w:t>
      </w:r>
    </w:p>
    <w:tbl>
      <w:tblPr>
        <w:tblStyle w:val="TableGrid"/>
        <w:tblW w:w="10490" w:type="dxa"/>
        <w:tblInd w:w="-5" w:type="dxa"/>
        <w:tblLook w:val="04A0" w:firstRow="1" w:lastRow="0" w:firstColumn="1" w:lastColumn="0" w:noHBand="0" w:noVBand="1"/>
      </w:tblPr>
      <w:tblGrid>
        <w:gridCol w:w="1985"/>
        <w:gridCol w:w="8505"/>
      </w:tblGrid>
      <w:tr w:rsidR="00E67531" w:rsidRPr="00C80F34" w14:paraId="3AD9619F" w14:textId="77777777" w:rsidTr="002B23A5">
        <w:tc>
          <w:tcPr>
            <w:tcW w:w="1985" w:type="dxa"/>
          </w:tcPr>
          <w:p w14:paraId="494E1291" w14:textId="77777777" w:rsidR="00E67531" w:rsidRPr="0061488A" w:rsidRDefault="00E67531" w:rsidP="00E67531">
            <w:pPr>
              <w:pStyle w:val="ListParagraph"/>
              <w:ind w:left="0"/>
              <w:rPr>
                <w:rFonts w:ascii="Times New Roman" w:hAnsi="Times New Roman" w:cs="Times New Roman"/>
              </w:rPr>
            </w:pPr>
            <w:r w:rsidRPr="0061488A">
              <w:rPr>
                <w:rFonts w:ascii="Times New Roman" w:hAnsi="Times New Roman" w:cs="Times New Roman"/>
              </w:rPr>
              <w:t xml:space="preserve">Does the partner </w:t>
            </w:r>
            <w:r w:rsidR="002B5486" w:rsidRPr="0061488A">
              <w:rPr>
                <w:rFonts w:ascii="Times New Roman" w:hAnsi="Times New Roman" w:cs="Times New Roman"/>
              </w:rPr>
              <w:t>organization</w:t>
            </w:r>
            <w:r w:rsidRPr="0061488A">
              <w:rPr>
                <w:rFonts w:ascii="Times New Roman" w:hAnsi="Times New Roman" w:cs="Times New Roman"/>
              </w:rPr>
              <w:t xml:space="preserve"> have a strong presence in the jurisdiction? Briefly describe any previous relevant REDD+/LED initiatives led by the partner organization</w:t>
            </w:r>
          </w:p>
        </w:tc>
        <w:tc>
          <w:tcPr>
            <w:tcW w:w="8505" w:type="dxa"/>
          </w:tcPr>
          <w:p w14:paraId="532B2FE6" w14:textId="3D72B7E6" w:rsidR="00E67531" w:rsidRPr="0061488A" w:rsidRDefault="00E67531" w:rsidP="005F4F0C">
            <w:pPr>
              <w:jc w:val="both"/>
              <w:rPr>
                <w:sz w:val="22"/>
                <w:szCs w:val="22"/>
              </w:rPr>
            </w:pPr>
            <w:r w:rsidRPr="0061488A">
              <w:rPr>
                <w:sz w:val="22"/>
                <w:szCs w:val="22"/>
              </w:rPr>
              <w:t xml:space="preserve">YIDH convenes public private partnerships, balancing the interests of governments, CSOs and companies. YIDH </w:t>
            </w:r>
            <w:r w:rsidR="0069690E" w:rsidRPr="0061488A">
              <w:rPr>
                <w:sz w:val="22"/>
                <w:szCs w:val="22"/>
              </w:rPr>
              <w:t xml:space="preserve">officially </w:t>
            </w:r>
            <w:r w:rsidR="00A90547" w:rsidRPr="0061488A">
              <w:rPr>
                <w:sz w:val="22"/>
                <w:szCs w:val="22"/>
              </w:rPr>
              <w:t xml:space="preserve">has been </w:t>
            </w:r>
            <w:r w:rsidRPr="0061488A">
              <w:rPr>
                <w:sz w:val="22"/>
                <w:szCs w:val="22"/>
              </w:rPr>
              <w:t>work</w:t>
            </w:r>
            <w:r w:rsidR="00A90547" w:rsidRPr="0061488A">
              <w:rPr>
                <w:sz w:val="22"/>
                <w:szCs w:val="22"/>
              </w:rPr>
              <w:t>ing</w:t>
            </w:r>
            <w:r w:rsidR="0069690E" w:rsidRPr="0061488A">
              <w:rPr>
                <w:sz w:val="22"/>
                <w:szCs w:val="22"/>
              </w:rPr>
              <w:t xml:space="preserve"> in the </w:t>
            </w:r>
            <w:r w:rsidR="00A90547" w:rsidRPr="0061488A">
              <w:rPr>
                <w:sz w:val="22"/>
                <w:szCs w:val="22"/>
              </w:rPr>
              <w:t xml:space="preserve">province </w:t>
            </w:r>
            <w:r w:rsidRPr="0061488A">
              <w:rPr>
                <w:sz w:val="22"/>
                <w:szCs w:val="22"/>
              </w:rPr>
              <w:t xml:space="preserve">since 2016 with several commodity projects </w:t>
            </w:r>
            <w:r w:rsidR="00A90547" w:rsidRPr="0061488A">
              <w:rPr>
                <w:sz w:val="22"/>
                <w:szCs w:val="22"/>
              </w:rPr>
              <w:t xml:space="preserve">based on an </w:t>
            </w:r>
            <w:r w:rsidRPr="0061488A">
              <w:rPr>
                <w:sz w:val="22"/>
                <w:szCs w:val="22"/>
              </w:rPr>
              <w:t xml:space="preserve">MoU with Government of West Kalimantan. </w:t>
            </w:r>
            <w:r w:rsidR="0069690E" w:rsidRPr="0061488A">
              <w:rPr>
                <w:sz w:val="22"/>
                <w:szCs w:val="22"/>
              </w:rPr>
              <w:t>IDH</w:t>
            </w:r>
            <w:r w:rsidR="00A90547" w:rsidRPr="0061488A">
              <w:rPr>
                <w:sz w:val="22"/>
                <w:szCs w:val="22"/>
              </w:rPr>
              <w:t>-</w:t>
            </w:r>
            <w:r w:rsidR="0069690E" w:rsidRPr="0061488A">
              <w:rPr>
                <w:sz w:val="22"/>
                <w:szCs w:val="22"/>
              </w:rPr>
              <w:t xml:space="preserve">the Sustainable Trade Initiative as </w:t>
            </w:r>
            <w:r w:rsidR="00A90547" w:rsidRPr="0061488A">
              <w:rPr>
                <w:sz w:val="22"/>
                <w:szCs w:val="22"/>
              </w:rPr>
              <w:t xml:space="preserve">a </w:t>
            </w:r>
            <w:r w:rsidR="0069690E" w:rsidRPr="0061488A">
              <w:rPr>
                <w:sz w:val="22"/>
                <w:szCs w:val="22"/>
              </w:rPr>
              <w:t>global organization,</w:t>
            </w:r>
            <w:r w:rsidR="00A90547" w:rsidRPr="0061488A">
              <w:rPr>
                <w:sz w:val="22"/>
                <w:szCs w:val="22"/>
              </w:rPr>
              <w:t xml:space="preserve"> nevertheless,</w:t>
            </w:r>
            <w:r w:rsidR="0069690E" w:rsidRPr="0061488A">
              <w:rPr>
                <w:sz w:val="22"/>
                <w:szCs w:val="22"/>
              </w:rPr>
              <w:t xml:space="preserve"> </w:t>
            </w:r>
            <w:r w:rsidR="00A90547" w:rsidRPr="0061488A">
              <w:rPr>
                <w:sz w:val="22"/>
                <w:szCs w:val="22"/>
              </w:rPr>
              <w:t xml:space="preserve">has </w:t>
            </w:r>
            <w:r w:rsidR="0069690E" w:rsidRPr="0061488A">
              <w:rPr>
                <w:sz w:val="22"/>
                <w:szCs w:val="22"/>
              </w:rPr>
              <w:t xml:space="preserve">been working in the Province since 2013. </w:t>
            </w:r>
            <w:r w:rsidRPr="0061488A">
              <w:rPr>
                <w:sz w:val="22"/>
                <w:szCs w:val="22"/>
              </w:rPr>
              <w:t>YIDH creates a common language and understanding of issues. In West Kalimantan, YIDH aims to protect 120</w:t>
            </w:r>
            <w:r w:rsidR="00A90547" w:rsidRPr="0061488A">
              <w:rPr>
                <w:sz w:val="22"/>
                <w:szCs w:val="22"/>
              </w:rPr>
              <w:t>,</w:t>
            </w:r>
            <w:r w:rsidRPr="0061488A">
              <w:rPr>
                <w:sz w:val="22"/>
                <w:szCs w:val="22"/>
              </w:rPr>
              <w:t>000 hectares of high-conservation value forest, rehabilitate 10</w:t>
            </w:r>
            <w:r w:rsidR="00A90547" w:rsidRPr="0061488A">
              <w:rPr>
                <w:sz w:val="22"/>
                <w:szCs w:val="22"/>
              </w:rPr>
              <w:t>,</w:t>
            </w:r>
            <w:r w:rsidRPr="0061488A">
              <w:rPr>
                <w:sz w:val="22"/>
                <w:szCs w:val="22"/>
              </w:rPr>
              <w:t xml:space="preserve">000 hectares and ensure sustainable production </w:t>
            </w:r>
            <w:r w:rsidR="00A90547" w:rsidRPr="0061488A">
              <w:rPr>
                <w:sz w:val="22"/>
                <w:szCs w:val="22"/>
              </w:rPr>
              <w:t xml:space="preserve">of </w:t>
            </w:r>
            <w:r w:rsidRPr="0061488A">
              <w:rPr>
                <w:sz w:val="22"/>
                <w:szCs w:val="22"/>
              </w:rPr>
              <w:t>43</w:t>
            </w:r>
            <w:r w:rsidR="00A90547" w:rsidRPr="0061488A">
              <w:rPr>
                <w:sz w:val="22"/>
                <w:szCs w:val="22"/>
              </w:rPr>
              <w:t>,</w:t>
            </w:r>
            <w:r w:rsidRPr="0061488A">
              <w:rPr>
                <w:sz w:val="22"/>
                <w:szCs w:val="22"/>
              </w:rPr>
              <w:t>000 hectares</w:t>
            </w:r>
            <w:r w:rsidR="00A90547" w:rsidRPr="0061488A">
              <w:rPr>
                <w:sz w:val="22"/>
                <w:szCs w:val="22"/>
              </w:rPr>
              <w:t xml:space="preserve"> land</w:t>
            </w:r>
            <w:r w:rsidRPr="0061488A">
              <w:rPr>
                <w:sz w:val="22"/>
                <w:szCs w:val="22"/>
              </w:rPr>
              <w:t xml:space="preserve">. YIDH </w:t>
            </w:r>
            <w:r w:rsidR="0069690E" w:rsidRPr="0061488A">
              <w:rPr>
                <w:sz w:val="22"/>
                <w:szCs w:val="22"/>
              </w:rPr>
              <w:t>accelerates</w:t>
            </w:r>
            <w:r w:rsidRPr="0061488A">
              <w:rPr>
                <w:sz w:val="22"/>
                <w:szCs w:val="22"/>
              </w:rPr>
              <w:t xml:space="preserve"> sustainable commodity production to avoid forest encroachment, convenes coalition for sustainable landscape governance and supports the development of alternative livelihoods for </w:t>
            </w:r>
            <w:r w:rsidR="00A90547" w:rsidRPr="0061488A">
              <w:rPr>
                <w:sz w:val="22"/>
                <w:szCs w:val="22"/>
              </w:rPr>
              <w:t xml:space="preserve">communities that are </w:t>
            </w:r>
            <w:r w:rsidRPr="0061488A">
              <w:rPr>
                <w:sz w:val="22"/>
                <w:szCs w:val="22"/>
              </w:rPr>
              <w:t xml:space="preserve">dependent on the forest: </w:t>
            </w:r>
            <w:r w:rsidR="00A90547" w:rsidRPr="0061488A">
              <w:rPr>
                <w:sz w:val="22"/>
                <w:szCs w:val="22"/>
              </w:rPr>
              <w:t>“</w:t>
            </w:r>
            <w:r w:rsidRPr="0061488A">
              <w:rPr>
                <w:sz w:val="22"/>
                <w:szCs w:val="22"/>
              </w:rPr>
              <w:t>Production, Protection and Inclusion</w:t>
            </w:r>
            <w:r w:rsidR="00A90547" w:rsidRPr="0061488A">
              <w:rPr>
                <w:sz w:val="22"/>
                <w:szCs w:val="22"/>
              </w:rPr>
              <w:t>”</w:t>
            </w:r>
            <w:r w:rsidRPr="0061488A">
              <w:rPr>
                <w:sz w:val="22"/>
                <w:szCs w:val="22"/>
              </w:rPr>
              <w:t xml:space="preserve"> (PPI). </w:t>
            </w:r>
            <w:r w:rsidR="00A90547" w:rsidRPr="0061488A">
              <w:rPr>
                <w:sz w:val="22"/>
                <w:szCs w:val="22"/>
              </w:rPr>
              <w:t xml:space="preserve">YIDH </w:t>
            </w:r>
            <w:r w:rsidRPr="0061488A">
              <w:rPr>
                <w:sz w:val="22"/>
                <w:szCs w:val="22"/>
              </w:rPr>
              <w:t>co-design</w:t>
            </w:r>
            <w:r w:rsidR="00A90547" w:rsidRPr="0061488A">
              <w:rPr>
                <w:sz w:val="22"/>
                <w:szCs w:val="22"/>
              </w:rPr>
              <w:t>s</w:t>
            </w:r>
            <w:r w:rsidRPr="0061488A">
              <w:rPr>
                <w:sz w:val="22"/>
                <w:szCs w:val="22"/>
              </w:rPr>
              <w:t xml:space="preserve"> and drive</w:t>
            </w:r>
            <w:r w:rsidR="00A90547" w:rsidRPr="0061488A">
              <w:rPr>
                <w:sz w:val="22"/>
                <w:szCs w:val="22"/>
              </w:rPr>
              <w:t>s</w:t>
            </w:r>
            <w:r w:rsidRPr="0061488A">
              <w:rPr>
                <w:sz w:val="22"/>
                <w:szCs w:val="22"/>
              </w:rPr>
              <w:t xml:space="preserve"> ambitious sustainable investment plans that leverage the interests and powers of companies and governments, and deliver</w:t>
            </w:r>
            <w:r w:rsidR="00A90547" w:rsidRPr="0061488A">
              <w:rPr>
                <w:sz w:val="22"/>
                <w:szCs w:val="22"/>
              </w:rPr>
              <w:t>s</w:t>
            </w:r>
            <w:r w:rsidRPr="0061488A">
              <w:rPr>
                <w:sz w:val="22"/>
                <w:szCs w:val="22"/>
              </w:rPr>
              <w:t xml:space="preserve"> large scale, systemic and sustainable change. </w:t>
            </w:r>
            <w:r w:rsidR="00A90547" w:rsidRPr="0061488A">
              <w:rPr>
                <w:sz w:val="22"/>
                <w:szCs w:val="22"/>
              </w:rPr>
              <w:t>Fo</w:t>
            </w:r>
            <w:r w:rsidRPr="0061488A">
              <w:rPr>
                <w:sz w:val="22"/>
                <w:szCs w:val="22"/>
              </w:rPr>
              <w:t xml:space="preserve">r SRAP REDD+ in the sub-national, YIDH </w:t>
            </w:r>
            <w:r w:rsidR="00A90547" w:rsidRPr="0061488A">
              <w:rPr>
                <w:sz w:val="22"/>
                <w:szCs w:val="22"/>
              </w:rPr>
              <w:t xml:space="preserve">has been </w:t>
            </w:r>
            <w:r w:rsidRPr="0061488A">
              <w:rPr>
                <w:sz w:val="22"/>
                <w:szCs w:val="22"/>
              </w:rPr>
              <w:t>supporting</w:t>
            </w:r>
            <w:r w:rsidR="00A90547" w:rsidRPr="0061488A">
              <w:rPr>
                <w:sz w:val="22"/>
                <w:szCs w:val="22"/>
              </w:rPr>
              <w:t>:</w:t>
            </w:r>
            <w:r w:rsidRPr="0061488A">
              <w:rPr>
                <w:sz w:val="22"/>
                <w:szCs w:val="22"/>
              </w:rPr>
              <w:t xml:space="preserve"> </w:t>
            </w:r>
            <w:r w:rsidR="00A90547" w:rsidRPr="0061488A">
              <w:rPr>
                <w:sz w:val="22"/>
                <w:szCs w:val="22"/>
              </w:rPr>
              <w:t xml:space="preserve">(a) </w:t>
            </w:r>
            <w:r w:rsidRPr="0061488A">
              <w:rPr>
                <w:sz w:val="22"/>
                <w:szCs w:val="22"/>
              </w:rPr>
              <w:t>MRV institution</w:t>
            </w:r>
            <w:r w:rsidR="00A90547" w:rsidRPr="0061488A">
              <w:rPr>
                <w:sz w:val="22"/>
                <w:szCs w:val="22"/>
              </w:rPr>
              <w:t>al</w:t>
            </w:r>
            <w:r w:rsidRPr="0061488A">
              <w:rPr>
                <w:sz w:val="22"/>
                <w:szCs w:val="22"/>
              </w:rPr>
              <w:t xml:space="preserve"> development, </w:t>
            </w:r>
            <w:r w:rsidR="00A90547" w:rsidRPr="0061488A">
              <w:rPr>
                <w:sz w:val="22"/>
                <w:szCs w:val="22"/>
              </w:rPr>
              <w:t xml:space="preserve">(b) the development of </w:t>
            </w:r>
            <w:r w:rsidRPr="0061488A">
              <w:rPr>
                <w:sz w:val="22"/>
                <w:szCs w:val="22"/>
              </w:rPr>
              <w:t xml:space="preserve">a multi-stakeholder forum platform, </w:t>
            </w:r>
            <w:r w:rsidR="00A90547" w:rsidRPr="0061488A">
              <w:rPr>
                <w:sz w:val="22"/>
                <w:szCs w:val="22"/>
              </w:rPr>
              <w:t xml:space="preserve">(c) </w:t>
            </w:r>
            <w:r w:rsidRPr="0061488A">
              <w:rPr>
                <w:sz w:val="22"/>
                <w:szCs w:val="22"/>
              </w:rPr>
              <w:t xml:space="preserve">green growth plan, and </w:t>
            </w:r>
            <w:r w:rsidR="00A90547" w:rsidRPr="0061488A">
              <w:rPr>
                <w:sz w:val="22"/>
                <w:szCs w:val="22"/>
              </w:rPr>
              <w:t>(d) engagement</w:t>
            </w:r>
            <w:r w:rsidRPr="0061488A">
              <w:rPr>
                <w:sz w:val="22"/>
                <w:szCs w:val="22"/>
              </w:rPr>
              <w:t xml:space="preserve"> with </w:t>
            </w:r>
            <w:r w:rsidR="00A90547" w:rsidRPr="0061488A">
              <w:rPr>
                <w:sz w:val="22"/>
                <w:szCs w:val="22"/>
              </w:rPr>
              <w:t xml:space="preserve">the </w:t>
            </w:r>
            <w:r w:rsidRPr="0061488A">
              <w:rPr>
                <w:sz w:val="22"/>
                <w:szCs w:val="22"/>
              </w:rPr>
              <w:t xml:space="preserve">private sector to encourage them in supporting </w:t>
            </w:r>
            <w:r w:rsidR="00941950" w:rsidRPr="0061488A">
              <w:rPr>
                <w:sz w:val="22"/>
                <w:szCs w:val="22"/>
              </w:rPr>
              <w:t xml:space="preserve">the </w:t>
            </w:r>
            <w:r w:rsidRPr="0061488A">
              <w:rPr>
                <w:sz w:val="22"/>
                <w:szCs w:val="22"/>
              </w:rPr>
              <w:t>sub-national REDD+</w:t>
            </w:r>
            <w:r w:rsidR="00A90547" w:rsidRPr="0061488A">
              <w:rPr>
                <w:sz w:val="22"/>
                <w:szCs w:val="22"/>
              </w:rPr>
              <w:t xml:space="preserve"> and green growth</w:t>
            </w:r>
            <w:r w:rsidRPr="0061488A">
              <w:rPr>
                <w:sz w:val="22"/>
                <w:szCs w:val="22"/>
              </w:rPr>
              <w:t xml:space="preserve"> implementation. </w:t>
            </w:r>
          </w:p>
        </w:tc>
      </w:tr>
      <w:tr w:rsidR="00E67531" w:rsidRPr="00C80F34" w14:paraId="54128212" w14:textId="77777777" w:rsidTr="002B23A5">
        <w:tc>
          <w:tcPr>
            <w:tcW w:w="1985" w:type="dxa"/>
          </w:tcPr>
          <w:p w14:paraId="4082ED26" w14:textId="77777777" w:rsidR="00E67531" w:rsidRPr="0061488A" w:rsidRDefault="00E67531" w:rsidP="00E67531">
            <w:pPr>
              <w:pStyle w:val="ListParagraph"/>
              <w:ind w:left="0"/>
              <w:rPr>
                <w:rFonts w:ascii="Times New Roman" w:hAnsi="Times New Roman" w:cs="Times New Roman"/>
              </w:rPr>
            </w:pPr>
            <w:r w:rsidRPr="0061488A">
              <w:rPr>
                <w:rFonts w:ascii="Times New Roman" w:hAnsi="Times New Roman" w:cs="Times New Roman"/>
              </w:rPr>
              <w:t>Is this a regional proposal? Describe why a regional approach is necessary.</w:t>
            </w:r>
          </w:p>
        </w:tc>
        <w:tc>
          <w:tcPr>
            <w:tcW w:w="8505" w:type="dxa"/>
          </w:tcPr>
          <w:p w14:paraId="79D0A338" w14:textId="709EEE13" w:rsidR="00E67531" w:rsidRPr="0061488A" w:rsidRDefault="00E67531" w:rsidP="005F4F0C">
            <w:pPr>
              <w:pStyle w:val="ListParagraph"/>
              <w:ind w:left="0"/>
              <w:jc w:val="both"/>
              <w:rPr>
                <w:rFonts w:ascii="Times New Roman" w:hAnsi="Times New Roman" w:cs="Times New Roman"/>
              </w:rPr>
            </w:pPr>
            <w:r w:rsidRPr="0061488A">
              <w:rPr>
                <w:rFonts w:ascii="Times New Roman" w:hAnsi="Times New Roman" w:cs="Times New Roman"/>
              </w:rPr>
              <w:t xml:space="preserve">This proposal is created under </w:t>
            </w:r>
            <w:r w:rsidR="00A90547" w:rsidRPr="0061488A">
              <w:rPr>
                <w:rFonts w:ascii="Times New Roman" w:hAnsi="Times New Roman" w:cs="Times New Roman"/>
              </w:rPr>
              <w:t xml:space="preserve">a </w:t>
            </w:r>
            <w:r w:rsidRPr="0061488A">
              <w:rPr>
                <w:rFonts w:ascii="Times New Roman" w:hAnsi="Times New Roman" w:cs="Times New Roman"/>
              </w:rPr>
              <w:t xml:space="preserve">provincial jurisdictional approach since most activities </w:t>
            </w:r>
            <w:r w:rsidR="00A90547" w:rsidRPr="0061488A">
              <w:rPr>
                <w:rFonts w:ascii="Times New Roman" w:hAnsi="Times New Roman" w:cs="Times New Roman"/>
              </w:rPr>
              <w:t xml:space="preserve">written in </w:t>
            </w:r>
            <w:r w:rsidRPr="0061488A">
              <w:rPr>
                <w:rFonts w:ascii="Times New Roman" w:hAnsi="Times New Roman" w:cs="Times New Roman"/>
              </w:rPr>
              <w:t xml:space="preserve">the proposal </w:t>
            </w:r>
            <w:r w:rsidR="00A90547" w:rsidRPr="0061488A">
              <w:rPr>
                <w:rFonts w:ascii="Times New Roman" w:hAnsi="Times New Roman" w:cs="Times New Roman"/>
              </w:rPr>
              <w:t>link</w:t>
            </w:r>
            <w:r w:rsidRPr="0061488A">
              <w:rPr>
                <w:rFonts w:ascii="Times New Roman" w:hAnsi="Times New Roman" w:cs="Times New Roman"/>
              </w:rPr>
              <w:t xml:space="preserve"> with </w:t>
            </w:r>
            <w:r w:rsidR="00A90547" w:rsidRPr="0061488A">
              <w:rPr>
                <w:rFonts w:ascii="Times New Roman" w:hAnsi="Times New Roman" w:cs="Times New Roman"/>
              </w:rPr>
              <w:t xml:space="preserve">the </w:t>
            </w:r>
            <w:r w:rsidRPr="0061488A">
              <w:rPr>
                <w:rFonts w:ascii="Times New Roman" w:hAnsi="Times New Roman" w:cs="Times New Roman"/>
              </w:rPr>
              <w:t xml:space="preserve">sub-national regulatory framework. A strong sub-national regulatory framework to support REDD+ is very much needed as </w:t>
            </w:r>
            <w:r w:rsidR="00A90547" w:rsidRPr="0061488A">
              <w:rPr>
                <w:rFonts w:ascii="Times New Roman" w:hAnsi="Times New Roman" w:cs="Times New Roman"/>
              </w:rPr>
              <w:t xml:space="preserve">stipulated </w:t>
            </w:r>
            <w:r w:rsidR="007C0D57" w:rsidRPr="0061488A">
              <w:rPr>
                <w:rFonts w:ascii="Times New Roman" w:hAnsi="Times New Roman" w:cs="Times New Roman"/>
              </w:rPr>
              <w:t>in</w:t>
            </w:r>
            <w:r w:rsidR="00A90547" w:rsidRPr="0061488A">
              <w:rPr>
                <w:rFonts w:ascii="Times New Roman" w:hAnsi="Times New Roman" w:cs="Times New Roman"/>
              </w:rPr>
              <w:t xml:space="preserve"> </w:t>
            </w:r>
            <w:r w:rsidRPr="0061488A">
              <w:rPr>
                <w:rFonts w:ascii="Times New Roman" w:hAnsi="Times New Roman" w:cs="Times New Roman"/>
              </w:rPr>
              <w:t xml:space="preserve">Law No. 23, 2014. All the authority for monitoring, evaluation and implementation in </w:t>
            </w:r>
            <w:r w:rsidR="007C0D57" w:rsidRPr="0061488A">
              <w:rPr>
                <w:rFonts w:ascii="Times New Roman" w:hAnsi="Times New Roman" w:cs="Times New Roman"/>
              </w:rPr>
              <w:t xml:space="preserve">the </w:t>
            </w:r>
            <w:r w:rsidRPr="0061488A">
              <w:rPr>
                <w:rFonts w:ascii="Times New Roman" w:hAnsi="Times New Roman" w:cs="Times New Roman"/>
              </w:rPr>
              <w:t xml:space="preserve">forest sector </w:t>
            </w:r>
            <w:r w:rsidR="007C0D57" w:rsidRPr="0061488A">
              <w:rPr>
                <w:rFonts w:ascii="Times New Roman" w:hAnsi="Times New Roman" w:cs="Times New Roman"/>
              </w:rPr>
              <w:t xml:space="preserve">has been </w:t>
            </w:r>
            <w:r w:rsidRPr="0061488A">
              <w:rPr>
                <w:rFonts w:ascii="Times New Roman" w:hAnsi="Times New Roman" w:cs="Times New Roman"/>
              </w:rPr>
              <w:t xml:space="preserve">recently </w:t>
            </w:r>
            <w:r w:rsidR="007C0D57" w:rsidRPr="0061488A">
              <w:rPr>
                <w:rFonts w:ascii="Times New Roman" w:hAnsi="Times New Roman" w:cs="Times New Roman"/>
              </w:rPr>
              <w:t>given to provincial</w:t>
            </w:r>
            <w:r w:rsidRPr="0061488A">
              <w:rPr>
                <w:rFonts w:ascii="Times New Roman" w:hAnsi="Times New Roman" w:cs="Times New Roman"/>
              </w:rPr>
              <w:t xml:space="preserve"> government. </w:t>
            </w:r>
            <w:r w:rsidR="007C0D57" w:rsidRPr="0061488A">
              <w:rPr>
                <w:rFonts w:ascii="Times New Roman" w:hAnsi="Times New Roman" w:cs="Times New Roman"/>
              </w:rPr>
              <w:t>At the same time</w:t>
            </w:r>
            <w:r w:rsidRPr="0061488A">
              <w:rPr>
                <w:rFonts w:ascii="Times New Roman" w:hAnsi="Times New Roman" w:cs="Times New Roman"/>
              </w:rPr>
              <w:t xml:space="preserve">, the </w:t>
            </w:r>
            <w:r w:rsidR="007C0D57" w:rsidRPr="0061488A">
              <w:rPr>
                <w:rFonts w:ascii="Times New Roman" w:hAnsi="Times New Roman" w:cs="Times New Roman"/>
              </w:rPr>
              <w:t>provincial government</w:t>
            </w:r>
            <w:r w:rsidRPr="0061488A">
              <w:rPr>
                <w:rFonts w:ascii="Times New Roman" w:hAnsi="Times New Roman" w:cs="Times New Roman"/>
              </w:rPr>
              <w:t xml:space="preserve"> will </w:t>
            </w:r>
            <w:r w:rsidR="007C0D57" w:rsidRPr="0061488A">
              <w:rPr>
                <w:rFonts w:ascii="Times New Roman" w:hAnsi="Times New Roman" w:cs="Times New Roman"/>
              </w:rPr>
              <w:t xml:space="preserve">have </w:t>
            </w:r>
            <w:r w:rsidRPr="0061488A">
              <w:rPr>
                <w:rFonts w:ascii="Times New Roman" w:hAnsi="Times New Roman" w:cs="Times New Roman"/>
              </w:rPr>
              <w:t xml:space="preserve">a key role in encouraging </w:t>
            </w:r>
            <w:r w:rsidR="007C0D57" w:rsidRPr="0061488A">
              <w:rPr>
                <w:rFonts w:ascii="Times New Roman" w:hAnsi="Times New Roman" w:cs="Times New Roman"/>
              </w:rPr>
              <w:t xml:space="preserve">its respective </w:t>
            </w:r>
            <w:r w:rsidRPr="0061488A">
              <w:rPr>
                <w:rFonts w:ascii="Times New Roman" w:hAnsi="Times New Roman" w:cs="Times New Roman"/>
              </w:rPr>
              <w:t>district</w:t>
            </w:r>
            <w:r w:rsidR="007C0D57" w:rsidRPr="0061488A">
              <w:rPr>
                <w:rFonts w:ascii="Times New Roman" w:hAnsi="Times New Roman" w:cs="Times New Roman"/>
              </w:rPr>
              <w:t>s</w:t>
            </w:r>
            <w:r w:rsidRPr="0061488A">
              <w:rPr>
                <w:rFonts w:ascii="Times New Roman" w:hAnsi="Times New Roman" w:cs="Times New Roman"/>
              </w:rPr>
              <w:t xml:space="preserve"> to </w:t>
            </w:r>
            <w:r w:rsidR="007C0D57" w:rsidRPr="0061488A">
              <w:rPr>
                <w:rFonts w:ascii="Times New Roman" w:hAnsi="Times New Roman" w:cs="Times New Roman"/>
              </w:rPr>
              <w:t xml:space="preserve">support and contribute to </w:t>
            </w:r>
            <w:r w:rsidRPr="0061488A">
              <w:rPr>
                <w:rFonts w:ascii="Times New Roman" w:hAnsi="Times New Roman" w:cs="Times New Roman"/>
              </w:rPr>
              <w:t xml:space="preserve">the REDD+ implementation process.  </w:t>
            </w:r>
          </w:p>
        </w:tc>
      </w:tr>
      <w:tr w:rsidR="00E67531" w:rsidRPr="00C80F34" w14:paraId="555F8A49" w14:textId="77777777" w:rsidTr="002B23A5">
        <w:tc>
          <w:tcPr>
            <w:tcW w:w="1985" w:type="dxa"/>
          </w:tcPr>
          <w:p w14:paraId="6514C793" w14:textId="77777777" w:rsidR="00E67531" w:rsidRPr="0061488A" w:rsidRDefault="00E67531" w:rsidP="00E67531">
            <w:pPr>
              <w:rPr>
                <w:sz w:val="22"/>
                <w:szCs w:val="22"/>
              </w:rPr>
            </w:pPr>
            <w:r w:rsidRPr="0061488A">
              <w:rPr>
                <w:sz w:val="22"/>
                <w:szCs w:val="22"/>
              </w:rPr>
              <w:t>Does the partner have the capacity to effectively manage a project of this scale? Please describe.</w:t>
            </w:r>
          </w:p>
        </w:tc>
        <w:tc>
          <w:tcPr>
            <w:tcW w:w="8505" w:type="dxa"/>
          </w:tcPr>
          <w:p w14:paraId="693946D7" w14:textId="17D5CA45" w:rsidR="00E67531" w:rsidRPr="0061488A" w:rsidRDefault="00E67531" w:rsidP="005F4F0C">
            <w:pPr>
              <w:jc w:val="both"/>
              <w:rPr>
                <w:sz w:val="22"/>
                <w:szCs w:val="22"/>
              </w:rPr>
            </w:pPr>
            <w:r w:rsidRPr="0061488A">
              <w:rPr>
                <w:sz w:val="22"/>
                <w:szCs w:val="22"/>
              </w:rPr>
              <w:t>Yes, it does</w:t>
            </w:r>
            <w:r w:rsidR="00E942E9" w:rsidRPr="0061488A">
              <w:rPr>
                <w:sz w:val="22"/>
                <w:szCs w:val="22"/>
              </w:rPr>
              <w:t>. YIDH is supported by IDH</w:t>
            </w:r>
            <w:r w:rsidR="00F21279" w:rsidRPr="0061488A">
              <w:rPr>
                <w:sz w:val="22"/>
                <w:szCs w:val="22"/>
              </w:rPr>
              <w:t>-</w:t>
            </w:r>
            <w:r w:rsidR="00E942E9" w:rsidRPr="0061488A">
              <w:rPr>
                <w:sz w:val="22"/>
                <w:szCs w:val="22"/>
              </w:rPr>
              <w:t>Sustainable Trade I</w:t>
            </w:r>
            <w:r w:rsidRPr="0061488A">
              <w:rPr>
                <w:sz w:val="22"/>
                <w:szCs w:val="22"/>
              </w:rPr>
              <w:t xml:space="preserve">nitiative which </w:t>
            </w:r>
            <w:r w:rsidR="00F21279" w:rsidRPr="0061488A">
              <w:rPr>
                <w:sz w:val="22"/>
                <w:szCs w:val="22"/>
              </w:rPr>
              <w:t xml:space="preserve">receives funds from </w:t>
            </w:r>
            <w:r w:rsidRPr="0061488A">
              <w:rPr>
                <w:sz w:val="22"/>
                <w:szCs w:val="22"/>
              </w:rPr>
              <w:t>multiple European governments such as the Netherlands (BUZA), Switzerland (SECO), Denmark (DANIDA) and Norway (NICFI). YIDH</w:t>
            </w:r>
            <w:r w:rsidR="00F21279" w:rsidRPr="0061488A">
              <w:rPr>
                <w:sz w:val="22"/>
                <w:szCs w:val="22"/>
              </w:rPr>
              <w:t xml:space="preserve"> is</w:t>
            </w:r>
            <w:r w:rsidRPr="0061488A">
              <w:rPr>
                <w:sz w:val="22"/>
                <w:szCs w:val="22"/>
              </w:rPr>
              <w:t xml:space="preserve"> also </w:t>
            </w:r>
            <w:r w:rsidR="00F21279" w:rsidRPr="0061488A">
              <w:rPr>
                <w:sz w:val="22"/>
                <w:szCs w:val="22"/>
              </w:rPr>
              <w:t xml:space="preserve">financially </w:t>
            </w:r>
            <w:r w:rsidRPr="0061488A">
              <w:rPr>
                <w:sz w:val="22"/>
                <w:szCs w:val="22"/>
              </w:rPr>
              <w:t xml:space="preserve">supported by </w:t>
            </w:r>
            <w:r w:rsidR="00F21279" w:rsidRPr="0061488A">
              <w:rPr>
                <w:sz w:val="22"/>
                <w:szCs w:val="22"/>
              </w:rPr>
              <w:t xml:space="preserve">the </w:t>
            </w:r>
            <w:r w:rsidRPr="0061488A">
              <w:rPr>
                <w:sz w:val="22"/>
                <w:szCs w:val="22"/>
              </w:rPr>
              <w:t xml:space="preserve">UKCCU for Papua and West Papua landscape program. YIDH’s organization structure and its operation are supervised by </w:t>
            </w:r>
            <w:r w:rsidR="00E942E9" w:rsidRPr="0061488A">
              <w:rPr>
                <w:sz w:val="22"/>
                <w:szCs w:val="22"/>
              </w:rPr>
              <w:t>the IDH</w:t>
            </w:r>
            <w:r w:rsidR="00F21279" w:rsidRPr="0061488A">
              <w:rPr>
                <w:sz w:val="22"/>
                <w:szCs w:val="22"/>
              </w:rPr>
              <w:t>-</w:t>
            </w:r>
            <w:r w:rsidR="00E942E9" w:rsidRPr="0061488A">
              <w:rPr>
                <w:sz w:val="22"/>
                <w:szCs w:val="22"/>
              </w:rPr>
              <w:t>Sustainable Trade I</w:t>
            </w:r>
            <w:r w:rsidRPr="0061488A">
              <w:rPr>
                <w:sz w:val="22"/>
                <w:szCs w:val="22"/>
              </w:rPr>
              <w:t xml:space="preserve">nitiative. In West Kalimantan Province, YIDH has strong </w:t>
            </w:r>
            <w:r w:rsidR="00E942E9" w:rsidRPr="0061488A">
              <w:rPr>
                <w:sz w:val="22"/>
                <w:szCs w:val="22"/>
              </w:rPr>
              <w:t xml:space="preserve">experience and </w:t>
            </w:r>
            <w:r w:rsidRPr="0061488A">
              <w:rPr>
                <w:sz w:val="22"/>
                <w:szCs w:val="22"/>
              </w:rPr>
              <w:t xml:space="preserve">network with </w:t>
            </w:r>
            <w:r w:rsidR="00F21279" w:rsidRPr="0061488A">
              <w:rPr>
                <w:sz w:val="22"/>
                <w:szCs w:val="22"/>
              </w:rPr>
              <w:t xml:space="preserve">the </w:t>
            </w:r>
            <w:r w:rsidRPr="0061488A">
              <w:rPr>
                <w:sz w:val="22"/>
                <w:szCs w:val="22"/>
              </w:rPr>
              <w:t>private sectors</w:t>
            </w:r>
            <w:r w:rsidR="00F21279" w:rsidRPr="0061488A">
              <w:rPr>
                <w:sz w:val="22"/>
                <w:szCs w:val="22"/>
              </w:rPr>
              <w:t>, CSO</w:t>
            </w:r>
            <w:r w:rsidRPr="0061488A">
              <w:rPr>
                <w:sz w:val="22"/>
                <w:szCs w:val="22"/>
              </w:rPr>
              <w:t xml:space="preserve"> and </w:t>
            </w:r>
            <w:r w:rsidR="00F21279" w:rsidRPr="0061488A">
              <w:rPr>
                <w:sz w:val="22"/>
                <w:szCs w:val="22"/>
              </w:rPr>
              <w:t xml:space="preserve">different </w:t>
            </w:r>
            <w:r w:rsidRPr="0061488A">
              <w:rPr>
                <w:sz w:val="22"/>
                <w:szCs w:val="22"/>
              </w:rPr>
              <w:t>government</w:t>
            </w:r>
            <w:r w:rsidR="00F21279" w:rsidRPr="0061488A">
              <w:rPr>
                <w:sz w:val="22"/>
                <w:szCs w:val="22"/>
              </w:rPr>
              <w:t xml:space="preserve"> agencies</w:t>
            </w:r>
            <w:r w:rsidRPr="0061488A">
              <w:rPr>
                <w:sz w:val="22"/>
                <w:szCs w:val="22"/>
              </w:rPr>
              <w:t xml:space="preserve">. </w:t>
            </w:r>
            <w:r w:rsidR="00F21279" w:rsidRPr="0061488A">
              <w:rPr>
                <w:sz w:val="22"/>
                <w:szCs w:val="22"/>
              </w:rPr>
              <w:t xml:space="preserve">The engagement of </w:t>
            </w:r>
            <w:r w:rsidRPr="0061488A">
              <w:rPr>
                <w:sz w:val="22"/>
                <w:szCs w:val="22"/>
              </w:rPr>
              <w:t xml:space="preserve">YIDH </w:t>
            </w:r>
            <w:r w:rsidR="00F21279" w:rsidRPr="0061488A">
              <w:rPr>
                <w:sz w:val="22"/>
                <w:szCs w:val="22"/>
              </w:rPr>
              <w:t>with the private sector has led to co-</w:t>
            </w:r>
            <w:r w:rsidRPr="0061488A">
              <w:rPr>
                <w:sz w:val="22"/>
                <w:szCs w:val="22"/>
              </w:rPr>
              <w:t xml:space="preserve">investment </w:t>
            </w:r>
            <w:r w:rsidR="00F21279" w:rsidRPr="0061488A">
              <w:rPr>
                <w:sz w:val="22"/>
                <w:szCs w:val="22"/>
              </w:rPr>
              <w:t xml:space="preserve">and potential </w:t>
            </w:r>
            <w:r w:rsidRPr="0061488A">
              <w:rPr>
                <w:sz w:val="22"/>
                <w:szCs w:val="22"/>
              </w:rPr>
              <w:t>in scaling up their intervention</w:t>
            </w:r>
            <w:r w:rsidR="00F21279" w:rsidRPr="0061488A">
              <w:rPr>
                <w:sz w:val="22"/>
                <w:szCs w:val="22"/>
              </w:rPr>
              <w:t>s</w:t>
            </w:r>
            <w:r w:rsidRPr="0061488A">
              <w:rPr>
                <w:sz w:val="22"/>
                <w:szCs w:val="22"/>
              </w:rPr>
              <w:t xml:space="preserve"> </w:t>
            </w:r>
            <w:r w:rsidR="00E942E9" w:rsidRPr="0061488A">
              <w:rPr>
                <w:sz w:val="22"/>
                <w:szCs w:val="22"/>
              </w:rPr>
              <w:t xml:space="preserve">to support </w:t>
            </w:r>
            <w:r w:rsidR="00F21279" w:rsidRPr="0061488A">
              <w:rPr>
                <w:sz w:val="22"/>
                <w:szCs w:val="22"/>
              </w:rPr>
              <w:t xml:space="preserve">green growth and REDD+ related </w:t>
            </w:r>
            <w:r w:rsidR="00E942E9" w:rsidRPr="0061488A">
              <w:rPr>
                <w:sz w:val="22"/>
                <w:szCs w:val="22"/>
              </w:rPr>
              <w:t>project</w:t>
            </w:r>
            <w:r w:rsidR="00F21279" w:rsidRPr="0061488A">
              <w:rPr>
                <w:sz w:val="22"/>
                <w:szCs w:val="22"/>
              </w:rPr>
              <w:t>s</w:t>
            </w:r>
            <w:r w:rsidR="00E942E9" w:rsidRPr="0061488A">
              <w:rPr>
                <w:sz w:val="22"/>
                <w:szCs w:val="22"/>
              </w:rPr>
              <w:t>.</w:t>
            </w:r>
          </w:p>
        </w:tc>
      </w:tr>
      <w:tr w:rsidR="00774634" w:rsidRPr="00C80F34" w14:paraId="3099074F" w14:textId="77777777" w:rsidTr="002B23A5">
        <w:tc>
          <w:tcPr>
            <w:tcW w:w="1985" w:type="dxa"/>
          </w:tcPr>
          <w:p w14:paraId="4D48E6BD" w14:textId="77777777" w:rsidR="00774634" w:rsidRPr="0061488A" w:rsidRDefault="00774634" w:rsidP="00C87F8E">
            <w:pPr>
              <w:pStyle w:val="ListParagraph"/>
              <w:ind w:left="0"/>
              <w:rPr>
                <w:rFonts w:ascii="Times New Roman" w:hAnsi="Times New Roman" w:cs="Times New Roman"/>
              </w:rPr>
            </w:pPr>
            <w:r w:rsidRPr="0061488A">
              <w:rPr>
                <w:rFonts w:ascii="Times New Roman" w:hAnsi="Times New Roman" w:cs="Times New Roman"/>
              </w:rPr>
              <w:t>Is the partner working with other jurisdictions on separate proposals?</w:t>
            </w:r>
            <w:r w:rsidR="0078683D" w:rsidRPr="0061488A">
              <w:rPr>
                <w:rFonts w:ascii="Times New Roman" w:hAnsi="Times New Roman" w:cs="Times New Roman"/>
              </w:rPr>
              <w:t xml:space="preserve"> </w:t>
            </w:r>
          </w:p>
        </w:tc>
        <w:tc>
          <w:tcPr>
            <w:tcW w:w="8505" w:type="dxa"/>
          </w:tcPr>
          <w:p w14:paraId="00C8C0CC" w14:textId="1865B200" w:rsidR="0016796F" w:rsidRPr="0061488A" w:rsidRDefault="00E942E9" w:rsidP="005F4F0C">
            <w:pPr>
              <w:pStyle w:val="ListParagraph"/>
              <w:ind w:left="0"/>
              <w:jc w:val="both"/>
              <w:rPr>
                <w:rFonts w:ascii="Times New Roman" w:hAnsi="Times New Roman" w:cs="Times New Roman"/>
              </w:rPr>
            </w:pPr>
            <w:r w:rsidRPr="0061488A">
              <w:rPr>
                <w:rFonts w:ascii="Times New Roman" w:hAnsi="Times New Roman" w:cs="Times New Roman"/>
              </w:rPr>
              <w:t>YIDH is</w:t>
            </w:r>
            <w:r w:rsidR="00592A83" w:rsidRPr="0061488A">
              <w:rPr>
                <w:rFonts w:ascii="Times New Roman" w:hAnsi="Times New Roman" w:cs="Times New Roman"/>
              </w:rPr>
              <w:t xml:space="preserve"> </w:t>
            </w:r>
            <w:r w:rsidR="00776B99" w:rsidRPr="0061488A">
              <w:rPr>
                <w:rFonts w:ascii="Times New Roman" w:hAnsi="Times New Roman" w:cs="Times New Roman"/>
              </w:rPr>
              <w:t xml:space="preserve">currently </w:t>
            </w:r>
            <w:r w:rsidR="00592A83" w:rsidRPr="0061488A">
              <w:rPr>
                <w:rFonts w:ascii="Times New Roman" w:hAnsi="Times New Roman" w:cs="Times New Roman"/>
              </w:rPr>
              <w:t xml:space="preserve">working in other jurisdictions </w:t>
            </w:r>
            <w:r w:rsidR="00441E5D" w:rsidRPr="0061488A">
              <w:rPr>
                <w:rFonts w:ascii="Times New Roman" w:hAnsi="Times New Roman" w:cs="Times New Roman"/>
              </w:rPr>
              <w:t xml:space="preserve">such as Aceh, Jambi, South Sumatra, West Java, Papua and West Papua, </w:t>
            </w:r>
            <w:r w:rsidR="00592A83" w:rsidRPr="0061488A">
              <w:rPr>
                <w:rFonts w:ascii="Times New Roman" w:hAnsi="Times New Roman" w:cs="Times New Roman"/>
              </w:rPr>
              <w:t xml:space="preserve">but </w:t>
            </w:r>
            <w:r w:rsidR="00F21279" w:rsidRPr="0061488A">
              <w:rPr>
                <w:rFonts w:ascii="Times New Roman" w:hAnsi="Times New Roman" w:cs="Times New Roman"/>
              </w:rPr>
              <w:t>it has no plan</w:t>
            </w:r>
            <w:r w:rsidR="00592A83" w:rsidRPr="0061488A">
              <w:rPr>
                <w:rFonts w:ascii="Times New Roman" w:hAnsi="Times New Roman" w:cs="Times New Roman"/>
              </w:rPr>
              <w:t xml:space="preserve"> to submit separate proposals for this GCF-UNDP opportunity</w:t>
            </w:r>
          </w:p>
        </w:tc>
      </w:tr>
    </w:tbl>
    <w:p w14:paraId="79BA3A30" w14:textId="77777777" w:rsidR="00774634" w:rsidRPr="00C80F34" w:rsidRDefault="00774634" w:rsidP="00774634">
      <w:pPr>
        <w:jc w:val="both"/>
        <w:rPr>
          <w:b/>
        </w:rPr>
      </w:pPr>
    </w:p>
    <w:p w14:paraId="78573CA2" w14:textId="77777777" w:rsidR="00774634" w:rsidRPr="00C80F34" w:rsidRDefault="00774634" w:rsidP="00774634">
      <w:pPr>
        <w:pStyle w:val="ListParagraph"/>
        <w:numPr>
          <w:ilvl w:val="1"/>
          <w:numId w:val="1"/>
        </w:numPr>
        <w:spacing w:after="0" w:line="240" w:lineRule="auto"/>
        <w:ind w:left="567" w:hanging="567"/>
        <w:contextualSpacing w:val="0"/>
        <w:rPr>
          <w:rFonts w:ascii="Times New Roman" w:hAnsi="Times New Roman" w:cs="Times New Roman"/>
          <w:b/>
        </w:rPr>
      </w:pPr>
      <w:r w:rsidRPr="00C80F34">
        <w:rPr>
          <w:rFonts w:ascii="Times New Roman" w:hAnsi="Times New Roman" w:cs="Times New Roman"/>
          <w:b/>
        </w:rPr>
        <w:t>Strategic Opportunities (1 page)</w:t>
      </w:r>
    </w:p>
    <w:p w14:paraId="45BDF861" w14:textId="2F4D6434" w:rsidR="00756311" w:rsidRDefault="00404B19" w:rsidP="00E67531">
      <w:pPr>
        <w:jc w:val="both"/>
        <w:rPr>
          <w:sz w:val="22"/>
          <w:szCs w:val="22"/>
        </w:rPr>
      </w:pPr>
      <w:r w:rsidRPr="0061488A">
        <w:rPr>
          <w:sz w:val="22"/>
          <w:szCs w:val="22"/>
        </w:rPr>
        <w:t xml:space="preserve">The </w:t>
      </w:r>
      <w:r w:rsidR="00F21279" w:rsidRPr="0061488A">
        <w:rPr>
          <w:sz w:val="22"/>
          <w:szCs w:val="22"/>
        </w:rPr>
        <w:t xml:space="preserve">inability to achieve </w:t>
      </w:r>
      <w:r w:rsidRPr="0061488A">
        <w:rPr>
          <w:sz w:val="22"/>
          <w:szCs w:val="22"/>
        </w:rPr>
        <w:t>emission</w:t>
      </w:r>
      <w:r w:rsidR="00F21279" w:rsidRPr="0061488A">
        <w:rPr>
          <w:sz w:val="22"/>
          <w:szCs w:val="22"/>
        </w:rPr>
        <w:t xml:space="preserve"> reduction</w:t>
      </w:r>
      <w:r w:rsidR="005D366E" w:rsidRPr="0061488A">
        <w:rPr>
          <w:sz w:val="22"/>
          <w:szCs w:val="22"/>
        </w:rPr>
        <w:t>,</w:t>
      </w:r>
      <w:r w:rsidR="00F21279" w:rsidRPr="0061488A">
        <w:rPr>
          <w:sz w:val="22"/>
          <w:szCs w:val="22"/>
        </w:rPr>
        <w:t xml:space="preserve"> as</w:t>
      </w:r>
      <w:r w:rsidRPr="0061488A">
        <w:rPr>
          <w:sz w:val="22"/>
          <w:szCs w:val="22"/>
        </w:rPr>
        <w:t xml:space="preserve"> </w:t>
      </w:r>
      <w:r w:rsidR="00F21279" w:rsidRPr="0061488A">
        <w:rPr>
          <w:sz w:val="22"/>
          <w:szCs w:val="22"/>
        </w:rPr>
        <w:t xml:space="preserve">indicated as </w:t>
      </w:r>
      <w:r w:rsidR="00E67531" w:rsidRPr="0061488A">
        <w:rPr>
          <w:sz w:val="22"/>
          <w:szCs w:val="22"/>
        </w:rPr>
        <w:t>gap</w:t>
      </w:r>
      <w:r w:rsidR="00DF2642" w:rsidRPr="0061488A">
        <w:rPr>
          <w:sz w:val="22"/>
          <w:szCs w:val="22"/>
        </w:rPr>
        <w:t>s</w:t>
      </w:r>
      <w:r w:rsidR="00E67531" w:rsidRPr="0061488A">
        <w:rPr>
          <w:sz w:val="22"/>
          <w:szCs w:val="22"/>
        </w:rPr>
        <w:t xml:space="preserve"> </w:t>
      </w:r>
      <w:r w:rsidR="00F21279" w:rsidRPr="0061488A">
        <w:rPr>
          <w:sz w:val="22"/>
          <w:szCs w:val="22"/>
        </w:rPr>
        <w:t xml:space="preserve">as measured against </w:t>
      </w:r>
      <w:r w:rsidR="002C3FED" w:rsidRPr="0061488A">
        <w:rPr>
          <w:sz w:val="22"/>
          <w:szCs w:val="22"/>
        </w:rPr>
        <w:t xml:space="preserve">SRAP </w:t>
      </w:r>
      <w:r w:rsidR="00E67531" w:rsidRPr="0061488A">
        <w:rPr>
          <w:sz w:val="22"/>
          <w:szCs w:val="22"/>
        </w:rPr>
        <w:t>REDD+</w:t>
      </w:r>
      <w:r w:rsidR="00F21279" w:rsidRPr="0061488A">
        <w:rPr>
          <w:sz w:val="22"/>
          <w:szCs w:val="22"/>
        </w:rPr>
        <w:t>,</w:t>
      </w:r>
      <w:r w:rsidR="00E67531" w:rsidRPr="0061488A">
        <w:rPr>
          <w:sz w:val="22"/>
          <w:szCs w:val="22"/>
        </w:rPr>
        <w:t xml:space="preserve"> </w:t>
      </w:r>
      <w:r w:rsidR="005D366E" w:rsidRPr="0061488A">
        <w:rPr>
          <w:sz w:val="22"/>
          <w:szCs w:val="22"/>
        </w:rPr>
        <w:t xml:space="preserve">clearly identifies the need for further </w:t>
      </w:r>
      <w:r w:rsidR="00E67531" w:rsidRPr="0061488A">
        <w:rPr>
          <w:sz w:val="22"/>
          <w:szCs w:val="22"/>
        </w:rPr>
        <w:t xml:space="preserve">measurement </w:t>
      </w:r>
      <w:r w:rsidR="005D366E" w:rsidRPr="0061488A">
        <w:rPr>
          <w:sz w:val="22"/>
          <w:szCs w:val="22"/>
        </w:rPr>
        <w:t xml:space="preserve">or </w:t>
      </w:r>
      <w:r w:rsidR="00E67531" w:rsidRPr="0061488A">
        <w:rPr>
          <w:sz w:val="22"/>
          <w:szCs w:val="22"/>
        </w:rPr>
        <w:t>standard</w:t>
      </w:r>
      <w:r w:rsidR="005D366E" w:rsidRPr="0061488A">
        <w:rPr>
          <w:sz w:val="22"/>
          <w:szCs w:val="22"/>
        </w:rPr>
        <w:t xml:space="preserve"> development that can help credibly</w:t>
      </w:r>
      <w:r w:rsidR="00E67531" w:rsidRPr="0061488A">
        <w:rPr>
          <w:sz w:val="22"/>
          <w:szCs w:val="22"/>
        </w:rPr>
        <w:t xml:space="preserve"> </w:t>
      </w:r>
      <w:r w:rsidR="0061488A" w:rsidRPr="0061488A">
        <w:rPr>
          <w:sz w:val="22"/>
          <w:szCs w:val="22"/>
        </w:rPr>
        <w:t>analyse</w:t>
      </w:r>
      <w:r w:rsidR="005D366E" w:rsidRPr="0061488A">
        <w:rPr>
          <w:sz w:val="22"/>
          <w:szCs w:val="22"/>
        </w:rPr>
        <w:t xml:space="preserve"> </w:t>
      </w:r>
      <w:r w:rsidR="00A71650" w:rsidRPr="0061488A">
        <w:rPr>
          <w:sz w:val="22"/>
          <w:szCs w:val="22"/>
        </w:rPr>
        <w:t xml:space="preserve">REDD+ performance </w:t>
      </w:r>
      <w:r w:rsidR="005D366E" w:rsidRPr="0061488A">
        <w:rPr>
          <w:sz w:val="22"/>
          <w:szCs w:val="22"/>
        </w:rPr>
        <w:t xml:space="preserve">(concrete mitigation of deforestation) in the province </w:t>
      </w:r>
      <w:r w:rsidR="00E67531" w:rsidRPr="0061488A">
        <w:rPr>
          <w:sz w:val="22"/>
          <w:szCs w:val="22"/>
        </w:rPr>
        <w:t xml:space="preserve">since 2012. </w:t>
      </w:r>
      <w:r w:rsidR="005D366E" w:rsidRPr="0061488A">
        <w:rPr>
          <w:sz w:val="22"/>
          <w:szCs w:val="22"/>
        </w:rPr>
        <w:t xml:space="preserve">Key </w:t>
      </w:r>
      <w:r w:rsidR="00E67531" w:rsidRPr="0061488A">
        <w:rPr>
          <w:sz w:val="22"/>
          <w:szCs w:val="22"/>
        </w:rPr>
        <w:t xml:space="preserve">gaps that have been identified </w:t>
      </w:r>
      <w:r w:rsidR="003821B7" w:rsidRPr="0061488A">
        <w:rPr>
          <w:sz w:val="22"/>
          <w:szCs w:val="22"/>
        </w:rPr>
        <w:t>and o</w:t>
      </w:r>
      <w:r w:rsidR="00DF2642" w:rsidRPr="0061488A">
        <w:rPr>
          <w:sz w:val="22"/>
          <w:szCs w:val="22"/>
        </w:rPr>
        <w:t xml:space="preserve">pportunities to narrow the gaps </w:t>
      </w:r>
      <w:r w:rsidR="00E67531" w:rsidRPr="0061488A">
        <w:rPr>
          <w:sz w:val="22"/>
          <w:szCs w:val="22"/>
        </w:rPr>
        <w:t>as mentioned below:</w:t>
      </w:r>
    </w:p>
    <w:p w14:paraId="29E04BAF" w14:textId="77777777" w:rsidR="0061488A" w:rsidRPr="0061488A" w:rsidRDefault="0061488A" w:rsidP="00E67531">
      <w:pPr>
        <w:jc w:val="both"/>
        <w:rPr>
          <w:sz w:val="22"/>
          <w:szCs w:val="22"/>
        </w:rPr>
      </w:pPr>
    </w:p>
    <w:p w14:paraId="23EE7FE0" w14:textId="6EB651F0" w:rsidR="00961568" w:rsidRDefault="00687C9E" w:rsidP="00776872">
      <w:pPr>
        <w:pStyle w:val="ListParagraph"/>
        <w:numPr>
          <w:ilvl w:val="0"/>
          <w:numId w:val="3"/>
        </w:numPr>
        <w:spacing w:after="0" w:line="240" w:lineRule="auto"/>
        <w:ind w:left="426" w:hanging="426"/>
        <w:contextualSpacing w:val="0"/>
        <w:jc w:val="both"/>
        <w:rPr>
          <w:rFonts w:ascii="Times New Roman" w:hAnsi="Times New Roman" w:cs="Times New Roman"/>
        </w:rPr>
      </w:pPr>
      <w:r w:rsidRPr="0061488A">
        <w:rPr>
          <w:rFonts w:ascii="Times New Roman" w:hAnsi="Times New Roman" w:cs="Times New Roman"/>
          <w:b/>
          <w:i/>
        </w:rPr>
        <w:t xml:space="preserve">SRAP </w:t>
      </w:r>
      <w:r w:rsidR="00E67531" w:rsidRPr="0061488A">
        <w:rPr>
          <w:rFonts w:ascii="Times New Roman" w:hAnsi="Times New Roman" w:cs="Times New Roman"/>
          <w:b/>
          <w:i/>
        </w:rPr>
        <w:t>REDD+</w:t>
      </w:r>
      <w:r w:rsidRPr="0061488A">
        <w:rPr>
          <w:rFonts w:ascii="Times New Roman" w:hAnsi="Times New Roman" w:cs="Times New Roman"/>
          <w:b/>
          <w:i/>
        </w:rPr>
        <w:t xml:space="preserve"> institution</w:t>
      </w:r>
      <w:r w:rsidR="00E67531" w:rsidRPr="0061488A">
        <w:rPr>
          <w:rFonts w:ascii="Times New Roman" w:hAnsi="Times New Roman" w:cs="Times New Roman"/>
          <w:b/>
          <w:i/>
        </w:rPr>
        <w:t>.</w:t>
      </w:r>
      <w:r w:rsidR="00E67531" w:rsidRPr="0061488A">
        <w:rPr>
          <w:rFonts w:ascii="Times New Roman" w:hAnsi="Times New Roman" w:cs="Times New Roman"/>
        </w:rPr>
        <w:t xml:space="preserve"> </w:t>
      </w:r>
      <w:r w:rsidRPr="0061488A">
        <w:rPr>
          <w:rFonts w:ascii="Times New Roman" w:hAnsi="Times New Roman" w:cs="Times New Roman"/>
        </w:rPr>
        <w:t>SRAP</w:t>
      </w:r>
      <w:r w:rsidR="00961568" w:rsidRPr="0061488A">
        <w:rPr>
          <w:rFonts w:ascii="Times New Roman" w:hAnsi="Times New Roman" w:cs="Times New Roman"/>
        </w:rPr>
        <w:t xml:space="preserve"> REDD+ task force </w:t>
      </w:r>
      <w:r w:rsidR="00973930" w:rsidRPr="0061488A">
        <w:rPr>
          <w:rFonts w:ascii="Times New Roman" w:hAnsi="Times New Roman" w:cs="Times New Roman"/>
        </w:rPr>
        <w:t>has a significant challenge</w:t>
      </w:r>
      <w:r w:rsidR="007D749D" w:rsidRPr="0061488A">
        <w:rPr>
          <w:rFonts w:ascii="Times New Roman" w:hAnsi="Times New Roman" w:cs="Times New Roman"/>
        </w:rPr>
        <w:t xml:space="preserve"> </w:t>
      </w:r>
      <w:r w:rsidR="00961568" w:rsidRPr="0061488A">
        <w:rPr>
          <w:rFonts w:ascii="Times New Roman" w:hAnsi="Times New Roman" w:cs="Times New Roman"/>
        </w:rPr>
        <w:t xml:space="preserve">to coordinate </w:t>
      </w:r>
      <w:r w:rsidR="00973930" w:rsidRPr="0061488A">
        <w:rPr>
          <w:rFonts w:ascii="Times New Roman" w:hAnsi="Times New Roman" w:cs="Times New Roman"/>
        </w:rPr>
        <w:t xml:space="preserve">different </w:t>
      </w:r>
      <w:r w:rsidR="005D366E" w:rsidRPr="0061488A">
        <w:rPr>
          <w:rFonts w:ascii="Times New Roman" w:hAnsi="Times New Roman" w:cs="Times New Roman"/>
        </w:rPr>
        <w:t xml:space="preserve">sectors and districts </w:t>
      </w:r>
      <w:r w:rsidR="00973930" w:rsidRPr="0061488A">
        <w:rPr>
          <w:rFonts w:ascii="Times New Roman" w:hAnsi="Times New Roman" w:cs="Times New Roman"/>
        </w:rPr>
        <w:t xml:space="preserve">so that a clear strategy </w:t>
      </w:r>
      <w:r w:rsidR="005D366E" w:rsidRPr="0061488A">
        <w:rPr>
          <w:rFonts w:ascii="Times New Roman" w:hAnsi="Times New Roman" w:cs="Times New Roman"/>
        </w:rPr>
        <w:t>with clear steps for ensuring mitigation of deforestation</w:t>
      </w:r>
      <w:r w:rsidR="00973930" w:rsidRPr="0061488A">
        <w:rPr>
          <w:rFonts w:ascii="Times New Roman" w:hAnsi="Times New Roman" w:cs="Times New Roman"/>
        </w:rPr>
        <w:t xml:space="preserve"> can be achieved, </w:t>
      </w:r>
      <w:r w:rsidR="005D366E" w:rsidRPr="0061488A">
        <w:rPr>
          <w:rFonts w:ascii="Times New Roman" w:hAnsi="Times New Roman" w:cs="Times New Roman"/>
        </w:rPr>
        <w:t>and program</w:t>
      </w:r>
      <w:r w:rsidR="00E67531" w:rsidRPr="0061488A">
        <w:rPr>
          <w:rFonts w:ascii="Times New Roman" w:hAnsi="Times New Roman" w:cs="Times New Roman"/>
        </w:rPr>
        <w:t xml:space="preserve"> implementation</w:t>
      </w:r>
      <w:r w:rsidR="00973930" w:rsidRPr="0061488A">
        <w:rPr>
          <w:rFonts w:ascii="Times New Roman" w:hAnsi="Times New Roman" w:cs="Times New Roman"/>
        </w:rPr>
        <w:t xml:space="preserve"> can be elaborated and ensured</w:t>
      </w:r>
      <w:r w:rsidR="00961568" w:rsidRPr="0061488A">
        <w:rPr>
          <w:rFonts w:ascii="Times New Roman" w:hAnsi="Times New Roman" w:cs="Times New Roman"/>
        </w:rPr>
        <w:t>.</w:t>
      </w:r>
      <w:r w:rsidR="00146457" w:rsidRPr="0061488A">
        <w:rPr>
          <w:rFonts w:ascii="Times New Roman" w:hAnsi="Times New Roman" w:cs="Times New Roman"/>
        </w:rPr>
        <w:t xml:space="preserve"> The government has been trying to institutionalize sub-national REDD+ task force with </w:t>
      </w:r>
      <w:r w:rsidR="00973930" w:rsidRPr="0061488A">
        <w:rPr>
          <w:rFonts w:ascii="Times New Roman" w:hAnsi="Times New Roman" w:cs="Times New Roman"/>
        </w:rPr>
        <w:t xml:space="preserve">the involvement of </w:t>
      </w:r>
      <w:r w:rsidR="00146457" w:rsidRPr="0061488A">
        <w:rPr>
          <w:rFonts w:ascii="Times New Roman" w:hAnsi="Times New Roman" w:cs="Times New Roman"/>
        </w:rPr>
        <w:t>district</w:t>
      </w:r>
      <w:r w:rsidR="00973930" w:rsidRPr="0061488A">
        <w:rPr>
          <w:rFonts w:ascii="Times New Roman" w:hAnsi="Times New Roman" w:cs="Times New Roman"/>
        </w:rPr>
        <w:t>s</w:t>
      </w:r>
      <w:r w:rsidR="00146457" w:rsidRPr="0061488A">
        <w:rPr>
          <w:rFonts w:ascii="Times New Roman" w:hAnsi="Times New Roman" w:cs="Times New Roman"/>
        </w:rPr>
        <w:t xml:space="preserve"> and integrating SRAP REDD+ with sectoral institution but obstacles</w:t>
      </w:r>
      <w:r w:rsidR="00973930" w:rsidRPr="0061488A">
        <w:rPr>
          <w:rFonts w:ascii="Times New Roman" w:hAnsi="Times New Roman" w:cs="Times New Roman"/>
        </w:rPr>
        <w:t xml:space="preserve"> remain</w:t>
      </w:r>
      <w:r w:rsidR="00146457" w:rsidRPr="0061488A">
        <w:rPr>
          <w:rFonts w:ascii="Times New Roman" w:hAnsi="Times New Roman" w:cs="Times New Roman"/>
        </w:rPr>
        <w:t xml:space="preserve">. </w:t>
      </w:r>
      <w:r w:rsidR="00973930" w:rsidRPr="0061488A">
        <w:rPr>
          <w:rFonts w:ascii="Times New Roman" w:hAnsi="Times New Roman" w:cs="Times New Roman"/>
        </w:rPr>
        <w:t>S</w:t>
      </w:r>
      <w:r w:rsidRPr="0061488A">
        <w:rPr>
          <w:rFonts w:ascii="Times New Roman" w:hAnsi="Times New Roman" w:cs="Times New Roman"/>
        </w:rPr>
        <w:t>trengthen</w:t>
      </w:r>
      <w:r w:rsidR="00973930" w:rsidRPr="0061488A">
        <w:rPr>
          <w:rFonts w:ascii="Times New Roman" w:hAnsi="Times New Roman" w:cs="Times New Roman"/>
        </w:rPr>
        <w:t>ing</w:t>
      </w:r>
      <w:r w:rsidRPr="0061488A">
        <w:rPr>
          <w:rFonts w:ascii="Times New Roman" w:hAnsi="Times New Roman" w:cs="Times New Roman"/>
        </w:rPr>
        <w:t xml:space="preserve"> the i</w:t>
      </w:r>
      <w:r w:rsidR="007D749D" w:rsidRPr="0061488A">
        <w:rPr>
          <w:rFonts w:ascii="Times New Roman" w:hAnsi="Times New Roman" w:cs="Times New Roman"/>
        </w:rPr>
        <w:t xml:space="preserve">nstitution </w:t>
      </w:r>
      <w:r w:rsidR="00973930" w:rsidRPr="0061488A">
        <w:rPr>
          <w:rFonts w:ascii="Times New Roman" w:hAnsi="Times New Roman" w:cs="Times New Roman"/>
        </w:rPr>
        <w:t xml:space="preserve">and </w:t>
      </w:r>
      <w:r w:rsidR="007D749D" w:rsidRPr="0061488A">
        <w:rPr>
          <w:rFonts w:ascii="Times New Roman" w:hAnsi="Times New Roman" w:cs="Times New Roman"/>
        </w:rPr>
        <w:t xml:space="preserve">system </w:t>
      </w:r>
      <w:r w:rsidR="00870FF9" w:rsidRPr="0061488A">
        <w:rPr>
          <w:rFonts w:ascii="Times New Roman" w:hAnsi="Times New Roman" w:cs="Times New Roman"/>
        </w:rPr>
        <w:t xml:space="preserve">of </w:t>
      </w:r>
      <w:r w:rsidR="00146457" w:rsidRPr="0061488A">
        <w:rPr>
          <w:rFonts w:ascii="Times New Roman" w:hAnsi="Times New Roman" w:cs="Times New Roman"/>
        </w:rPr>
        <w:t xml:space="preserve">SRAP </w:t>
      </w:r>
      <w:r w:rsidR="00973930" w:rsidRPr="0061488A">
        <w:rPr>
          <w:rFonts w:ascii="Times New Roman" w:hAnsi="Times New Roman" w:cs="Times New Roman"/>
        </w:rPr>
        <w:t xml:space="preserve">including for concrete </w:t>
      </w:r>
      <w:r w:rsidR="00D038FE" w:rsidRPr="0061488A">
        <w:rPr>
          <w:rFonts w:ascii="Times New Roman" w:hAnsi="Times New Roman" w:cs="Times New Roman"/>
        </w:rPr>
        <w:t>monitoring, e</w:t>
      </w:r>
      <w:r w:rsidR="004F63D8" w:rsidRPr="0061488A">
        <w:rPr>
          <w:rFonts w:ascii="Times New Roman" w:hAnsi="Times New Roman" w:cs="Times New Roman"/>
        </w:rPr>
        <w:t xml:space="preserve">valuation and implementation over </w:t>
      </w:r>
      <w:r w:rsidR="00D038FE" w:rsidRPr="0061488A">
        <w:rPr>
          <w:rFonts w:ascii="Times New Roman" w:hAnsi="Times New Roman" w:cs="Times New Roman"/>
        </w:rPr>
        <w:t xml:space="preserve">forest and land sector </w:t>
      </w:r>
      <w:r w:rsidR="00973930" w:rsidRPr="0061488A">
        <w:rPr>
          <w:rFonts w:ascii="Times New Roman" w:hAnsi="Times New Roman" w:cs="Times New Roman"/>
        </w:rPr>
        <w:t xml:space="preserve">is crucial, </w:t>
      </w:r>
      <w:r w:rsidR="007D749D" w:rsidRPr="0061488A">
        <w:rPr>
          <w:rFonts w:ascii="Times New Roman" w:hAnsi="Times New Roman" w:cs="Times New Roman"/>
        </w:rPr>
        <w:t xml:space="preserve">at </w:t>
      </w:r>
      <w:r w:rsidR="00973930" w:rsidRPr="0061488A">
        <w:rPr>
          <w:rFonts w:ascii="Times New Roman" w:hAnsi="Times New Roman" w:cs="Times New Roman"/>
        </w:rPr>
        <w:t>provincial</w:t>
      </w:r>
      <w:r w:rsidR="00D038FE" w:rsidRPr="0061488A">
        <w:rPr>
          <w:rFonts w:ascii="Times New Roman" w:hAnsi="Times New Roman" w:cs="Times New Roman"/>
        </w:rPr>
        <w:t xml:space="preserve"> government</w:t>
      </w:r>
      <w:r w:rsidR="00973930" w:rsidRPr="0061488A">
        <w:rPr>
          <w:rFonts w:ascii="Times New Roman" w:hAnsi="Times New Roman" w:cs="Times New Roman"/>
        </w:rPr>
        <w:t xml:space="preserve"> level</w:t>
      </w:r>
      <w:r w:rsidR="00D038FE" w:rsidRPr="0061488A">
        <w:rPr>
          <w:rFonts w:ascii="Times New Roman" w:hAnsi="Times New Roman" w:cs="Times New Roman"/>
        </w:rPr>
        <w:t xml:space="preserve">. </w:t>
      </w:r>
    </w:p>
    <w:p w14:paraId="672C4F04" w14:textId="77777777" w:rsidR="0061488A" w:rsidRDefault="0061488A" w:rsidP="0061488A">
      <w:pPr>
        <w:pStyle w:val="ListParagraph"/>
        <w:spacing w:after="0" w:line="240" w:lineRule="auto"/>
        <w:ind w:left="426"/>
        <w:contextualSpacing w:val="0"/>
        <w:jc w:val="both"/>
        <w:rPr>
          <w:rFonts w:ascii="Times New Roman" w:hAnsi="Times New Roman" w:cs="Times New Roman"/>
        </w:rPr>
      </w:pPr>
    </w:p>
    <w:p w14:paraId="45981869" w14:textId="77777777" w:rsidR="003B37DD" w:rsidRPr="0061488A" w:rsidRDefault="003B37DD" w:rsidP="0061488A">
      <w:pPr>
        <w:pStyle w:val="ListParagraph"/>
        <w:spacing w:after="0" w:line="240" w:lineRule="auto"/>
        <w:ind w:left="426"/>
        <w:contextualSpacing w:val="0"/>
        <w:jc w:val="both"/>
        <w:rPr>
          <w:rFonts w:ascii="Times New Roman" w:hAnsi="Times New Roman" w:cs="Times New Roman"/>
        </w:rPr>
      </w:pPr>
    </w:p>
    <w:p w14:paraId="0FAC77AA" w14:textId="12D5FF32" w:rsidR="00B05CF4" w:rsidRDefault="00E67531" w:rsidP="00776872">
      <w:pPr>
        <w:pStyle w:val="ListParagraph"/>
        <w:numPr>
          <w:ilvl w:val="0"/>
          <w:numId w:val="3"/>
        </w:numPr>
        <w:spacing w:after="0" w:line="240" w:lineRule="auto"/>
        <w:ind w:left="426" w:hanging="426"/>
        <w:contextualSpacing w:val="0"/>
        <w:jc w:val="both"/>
        <w:rPr>
          <w:rFonts w:ascii="Times New Roman" w:hAnsi="Times New Roman" w:cs="Times New Roman"/>
        </w:rPr>
      </w:pPr>
      <w:r w:rsidRPr="0061488A">
        <w:rPr>
          <w:rFonts w:ascii="Times New Roman" w:hAnsi="Times New Roman" w:cs="Times New Roman"/>
          <w:b/>
          <w:i/>
        </w:rPr>
        <w:lastRenderedPageBreak/>
        <w:t>Strategic Program for REDD+ Performance.</w:t>
      </w:r>
      <w:r w:rsidR="00961568" w:rsidRPr="0061488A">
        <w:rPr>
          <w:rFonts w:ascii="Times New Roman" w:hAnsi="Times New Roman" w:cs="Times New Roman"/>
          <w:b/>
          <w:i/>
        </w:rPr>
        <w:t xml:space="preserve"> </w:t>
      </w:r>
      <w:r w:rsidR="006E3719" w:rsidRPr="0061488A">
        <w:rPr>
          <w:rFonts w:ascii="Times New Roman" w:hAnsi="Times New Roman" w:cs="Times New Roman"/>
        </w:rPr>
        <w:t xml:space="preserve">SRAP </w:t>
      </w:r>
      <w:r w:rsidR="00326F4E" w:rsidRPr="0061488A">
        <w:rPr>
          <w:rFonts w:ascii="Times New Roman" w:hAnsi="Times New Roman" w:cs="Times New Roman"/>
        </w:rPr>
        <w:t xml:space="preserve">REDD+ task force, </w:t>
      </w:r>
      <w:r w:rsidR="00973930" w:rsidRPr="0061488A">
        <w:rPr>
          <w:rFonts w:ascii="Times New Roman" w:hAnsi="Times New Roman" w:cs="Times New Roman"/>
        </w:rPr>
        <w:t xml:space="preserve">other governmental </w:t>
      </w:r>
      <w:r w:rsidR="00391E7C" w:rsidRPr="0061488A">
        <w:rPr>
          <w:rFonts w:ascii="Times New Roman" w:hAnsi="Times New Roman" w:cs="Times New Roman"/>
        </w:rPr>
        <w:t>agencies</w:t>
      </w:r>
      <w:r w:rsidR="00961568" w:rsidRPr="0061488A">
        <w:rPr>
          <w:rFonts w:ascii="Times New Roman" w:hAnsi="Times New Roman" w:cs="Times New Roman"/>
        </w:rPr>
        <w:t xml:space="preserve">, </w:t>
      </w:r>
      <w:r w:rsidR="00973930" w:rsidRPr="0061488A">
        <w:rPr>
          <w:rFonts w:ascii="Times New Roman" w:hAnsi="Times New Roman" w:cs="Times New Roman"/>
        </w:rPr>
        <w:t xml:space="preserve">the </w:t>
      </w:r>
      <w:r w:rsidR="00961568" w:rsidRPr="0061488A">
        <w:rPr>
          <w:rFonts w:ascii="Times New Roman" w:hAnsi="Times New Roman" w:cs="Times New Roman"/>
        </w:rPr>
        <w:t>private sector</w:t>
      </w:r>
      <w:r w:rsidR="00391E7C" w:rsidRPr="0061488A">
        <w:rPr>
          <w:rFonts w:ascii="Times New Roman" w:hAnsi="Times New Roman" w:cs="Times New Roman"/>
        </w:rPr>
        <w:t xml:space="preserve">s and </w:t>
      </w:r>
      <w:r w:rsidR="00776B99" w:rsidRPr="0061488A">
        <w:rPr>
          <w:rFonts w:ascii="Times New Roman" w:hAnsi="Times New Roman" w:cs="Times New Roman"/>
        </w:rPr>
        <w:t xml:space="preserve">local </w:t>
      </w:r>
      <w:r w:rsidR="00391E7C" w:rsidRPr="0061488A">
        <w:rPr>
          <w:rFonts w:ascii="Times New Roman" w:hAnsi="Times New Roman" w:cs="Times New Roman"/>
        </w:rPr>
        <w:t>communities</w:t>
      </w:r>
      <w:r w:rsidR="00973930" w:rsidRPr="0061488A">
        <w:rPr>
          <w:rFonts w:ascii="Times New Roman" w:hAnsi="Times New Roman" w:cs="Times New Roman"/>
        </w:rPr>
        <w:t xml:space="preserve"> have undertaken numerous REDD+ related activities but the</w:t>
      </w:r>
      <w:r w:rsidR="004F63D8" w:rsidRPr="0061488A">
        <w:rPr>
          <w:rFonts w:ascii="Times New Roman" w:hAnsi="Times New Roman" w:cs="Times New Roman"/>
        </w:rPr>
        <w:t xml:space="preserve"> achievement</w:t>
      </w:r>
      <w:r w:rsidR="00973930" w:rsidRPr="0061488A">
        <w:rPr>
          <w:rFonts w:ascii="Times New Roman" w:hAnsi="Times New Roman" w:cs="Times New Roman"/>
        </w:rPr>
        <w:t xml:space="preserve"> is not yet significant</w:t>
      </w:r>
      <w:r w:rsidR="00004B9B" w:rsidRPr="0061488A">
        <w:rPr>
          <w:rFonts w:ascii="Times New Roman" w:hAnsi="Times New Roman" w:cs="Times New Roman"/>
        </w:rPr>
        <w:t xml:space="preserve">. </w:t>
      </w:r>
      <w:r w:rsidR="00973930" w:rsidRPr="0061488A">
        <w:rPr>
          <w:rFonts w:ascii="Times New Roman" w:hAnsi="Times New Roman" w:cs="Times New Roman"/>
        </w:rPr>
        <w:t>A coordinated program with concrete implementation and credible objectives need to be developed. This program needs to contribute to increase the level of</w:t>
      </w:r>
      <w:r w:rsidR="006E3719" w:rsidRPr="0061488A">
        <w:rPr>
          <w:rFonts w:ascii="Times New Roman" w:hAnsi="Times New Roman" w:cs="Times New Roman"/>
        </w:rPr>
        <w:t xml:space="preserve"> REDD+ performance</w:t>
      </w:r>
      <w:r w:rsidR="00973930" w:rsidRPr="0061488A">
        <w:rPr>
          <w:rFonts w:ascii="Times New Roman" w:hAnsi="Times New Roman" w:cs="Times New Roman"/>
        </w:rPr>
        <w:t>. The program needs to build upon</w:t>
      </w:r>
      <w:r w:rsidR="00021F20" w:rsidRPr="0061488A">
        <w:rPr>
          <w:rFonts w:ascii="Times New Roman" w:hAnsi="Times New Roman" w:cs="Times New Roman"/>
        </w:rPr>
        <w:t xml:space="preserve"> </w:t>
      </w:r>
      <w:r w:rsidR="00613AD2" w:rsidRPr="0061488A">
        <w:rPr>
          <w:rFonts w:ascii="Times New Roman" w:hAnsi="Times New Roman" w:cs="Times New Roman"/>
        </w:rPr>
        <w:t>public-private partnership</w:t>
      </w:r>
      <w:r w:rsidR="00973930" w:rsidRPr="0061488A">
        <w:rPr>
          <w:rFonts w:ascii="Times New Roman" w:hAnsi="Times New Roman" w:cs="Times New Roman"/>
        </w:rPr>
        <w:t>s</w:t>
      </w:r>
      <w:r w:rsidR="00613AD2" w:rsidRPr="0061488A">
        <w:rPr>
          <w:rFonts w:ascii="Times New Roman" w:hAnsi="Times New Roman" w:cs="Times New Roman"/>
        </w:rPr>
        <w:t xml:space="preserve"> on forest management, community based forest management (Social Forestry)</w:t>
      </w:r>
      <w:r w:rsidR="00F90508" w:rsidRPr="0061488A">
        <w:rPr>
          <w:rFonts w:ascii="Times New Roman" w:hAnsi="Times New Roman" w:cs="Times New Roman"/>
        </w:rPr>
        <w:t>, green investment</w:t>
      </w:r>
      <w:r w:rsidR="00613AD2" w:rsidRPr="0061488A">
        <w:rPr>
          <w:rFonts w:ascii="Times New Roman" w:hAnsi="Times New Roman" w:cs="Times New Roman"/>
        </w:rPr>
        <w:t xml:space="preserve"> </w:t>
      </w:r>
      <w:r w:rsidR="00D9117F" w:rsidRPr="0061488A">
        <w:rPr>
          <w:rFonts w:ascii="Times New Roman" w:hAnsi="Times New Roman" w:cs="Times New Roman"/>
        </w:rPr>
        <w:t xml:space="preserve">development </w:t>
      </w:r>
      <w:r w:rsidR="00613AD2" w:rsidRPr="0061488A">
        <w:rPr>
          <w:rFonts w:ascii="Times New Roman" w:hAnsi="Times New Roman" w:cs="Times New Roman"/>
        </w:rPr>
        <w:t xml:space="preserve">and regulatory framework such </w:t>
      </w:r>
      <w:r w:rsidR="006E3719" w:rsidRPr="0061488A">
        <w:rPr>
          <w:rFonts w:ascii="Times New Roman" w:hAnsi="Times New Roman" w:cs="Times New Roman"/>
        </w:rPr>
        <w:t>as Ecosystem Essential Area (KEE</w:t>
      </w:r>
      <w:r w:rsidR="00613AD2" w:rsidRPr="0061488A">
        <w:rPr>
          <w:rFonts w:ascii="Times New Roman" w:hAnsi="Times New Roman" w:cs="Times New Roman"/>
        </w:rPr>
        <w:t xml:space="preserve">). </w:t>
      </w:r>
      <w:r w:rsidR="00973930" w:rsidRPr="0061488A">
        <w:rPr>
          <w:rFonts w:ascii="Times New Roman" w:hAnsi="Times New Roman" w:cs="Times New Roman"/>
        </w:rPr>
        <w:t>The program aims at</w:t>
      </w:r>
      <w:r w:rsidR="00F90508" w:rsidRPr="0061488A">
        <w:rPr>
          <w:rFonts w:ascii="Times New Roman" w:hAnsi="Times New Roman" w:cs="Times New Roman"/>
        </w:rPr>
        <w:t xml:space="preserve"> </w:t>
      </w:r>
      <w:r w:rsidR="00973930" w:rsidRPr="0061488A">
        <w:rPr>
          <w:rFonts w:ascii="Times New Roman" w:hAnsi="Times New Roman" w:cs="Times New Roman"/>
        </w:rPr>
        <w:t xml:space="preserve">ensuring </w:t>
      </w:r>
      <w:r w:rsidR="00F90508" w:rsidRPr="0061488A">
        <w:rPr>
          <w:rFonts w:ascii="Times New Roman" w:hAnsi="Times New Roman" w:cs="Times New Roman"/>
        </w:rPr>
        <w:t>the contribu</w:t>
      </w:r>
      <w:r w:rsidR="009272EF" w:rsidRPr="0061488A">
        <w:rPr>
          <w:rFonts w:ascii="Times New Roman" w:hAnsi="Times New Roman" w:cs="Times New Roman"/>
        </w:rPr>
        <w:t xml:space="preserve">tion </w:t>
      </w:r>
      <w:r w:rsidR="00973930" w:rsidRPr="0061488A">
        <w:rPr>
          <w:rFonts w:ascii="Times New Roman" w:hAnsi="Times New Roman" w:cs="Times New Roman"/>
        </w:rPr>
        <w:t xml:space="preserve">of these activities </w:t>
      </w:r>
      <w:r w:rsidR="009272EF" w:rsidRPr="0061488A">
        <w:rPr>
          <w:rFonts w:ascii="Times New Roman" w:hAnsi="Times New Roman" w:cs="Times New Roman"/>
        </w:rPr>
        <w:t>for</w:t>
      </w:r>
      <w:r w:rsidR="00F90508" w:rsidRPr="0061488A">
        <w:rPr>
          <w:rFonts w:ascii="Times New Roman" w:hAnsi="Times New Roman" w:cs="Times New Roman"/>
        </w:rPr>
        <w:t xml:space="preserve"> </w:t>
      </w:r>
      <w:r w:rsidR="00973930" w:rsidRPr="0061488A">
        <w:rPr>
          <w:rFonts w:ascii="Times New Roman" w:hAnsi="Times New Roman" w:cs="Times New Roman"/>
        </w:rPr>
        <w:t xml:space="preserve">mitigation of deforestation (and </w:t>
      </w:r>
      <w:r w:rsidR="00F90508" w:rsidRPr="0061488A">
        <w:rPr>
          <w:rFonts w:ascii="Times New Roman" w:hAnsi="Times New Roman" w:cs="Times New Roman"/>
        </w:rPr>
        <w:t xml:space="preserve">carbon </w:t>
      </w:r>
      <w:r w:rsidR="006E3719" w:rsidRPr="0061488A">
        <w:rPr>
          <w:rFonts w:ascii="Times New Roman" w:hAnsi="Times New Roman" w:cs="Times New Roman"/>
        </w:rPr>
        <w:t>emission reduction</w:t>
      </w:r>
      <w:r w:rsidR="00973930" w:rsidRPr="0061488A">
        <w:rPr>
          <w:rFonts w:ascii="Times New Roman" w:hAnsi="Times New Roman" w:cs="Times New Roman"/>
        </w:rPr>
        <w:t>) can</w:t>
      </w:r>
      <w:r w:rsidR="00776B99" w:rsidRPr="0061488A">
        <w:rPr>
          <w:rFonts w:ascii="Times New Roman" w:hAnsi="Times New Roman" w:cs="Times New Roman"/>
        </w:rPr>
        <w:t xml:space="preserve"> </w:t>
      </w:r>
      <w:r w:rsidR="00973930" w:rsidRPr="0061488A">
        <w:rPr>
          <w:rFonts w:ascii="Times New Roman" w:hAnsi="Times New Roman" w:cs="Times New Roman"/>
        </w:rPr>
        <w:t>be credibly achieved and</w:t>
      </w:r>
      <w:r w:rsidR="006E3719" w:rsidRPr="0061488A">
        <w:rPr>
          <w:rFonts w:ascii="Times New Roman" w:hAnsi="Times New Roman" w:cs="Times New Roman"/>
        </w:rPr>
        <w:t xml:space="preserve"> </w:t>
      </w:r>
      <w:r w:rsidR="00973930" w:rsidRPr="0061488A">
        <w:rPr>
          <w:rFonts w:ascii="Times New Roman" w:hAnsi="Times New Roman" w:cs="Times New Roman"/>
        </w:rPr>
        <w:t>measured</w:t>
      </w:r>
      <w:r w:rsidR="00F90508" w:rsidRPr="0061488A">
        <w:rPr>
          <w:rFonts w:ascii="Times New Roman" w:hAnsi="Times New Roman" w:cs="Times New Roman"/>
        </w:rPr>
        <w:t xml:space="preserve">. </w:t>
      </w:r>
    </w:p>
    <w:p w14:paraId="196C34A5" w14:textId="77777777" w:rsidR="0061488A" w:rsidRPr="0061488A" w:rsidRDefault="0061488A" w:rsidP="0061488A">
      <w:pPr>
        <w:pStyle w:val="ListParagraph"/>
        <w:spacing w:after="0" w:line="240" w:lineRule="auto"/>
        <w:ind w:left="426"/>
        <w:contextualSpacing w:val="0"/>
        <w:jc w:val="both"/>
        <w:rPr>
          <w:rFonts w:ascii="Times New Roman" w:hAnsi="Times New Roman" w:cs="Times New Roman"/>
        </w:rPr>
      </w:pPr>
    </w:p>
    <w:p w14:paraId="66776C94" w14:textId="5AFB0C07" w:rsidR="00E67531" w:rsidRPr="0061488A" w:rsidRDefault="00E67531" w:rsidP="00776872">
      <w:pPr>
        <w:pStyle w:val="ListParagraph"/>
        <w:numPr>
          <w:ilvl w:val="0"/>
          <w:numId w:val="3"/>
        </w:numPr>
        <w:spacing w:after="0" w:line="240" w:lineRule="auto"/>
        <w:ind w:left="426" w:hanging="426"/>
        <w:contextualSpacing w:val="0"/>
        <w:jc w:val="both"/>
        <w:rPr>
          <w:rFonts w:ascii="Times New Roman" w:hAnsi="Times New Roman" w:cs="Times New Roman"/>
          <w:b/>
          <w:i/>
        </w:rPr>
      </w:pPr>
      <w:r w:rsidRPr="0061488A">
        <w:rPr>
          <w:rFonts w:ascii="Times New Roman" w:hAnsi="Times New Roman" w:cs="Times New Roman"/>
          <w:b/>
          <w:i/>
        </w:rPr>
        <w:t xml:space="preserve">Financial Scheme. </w:t>
      </w:r>
      <w:r w:rsidR="00973930" w:rsidRPr="0061488A">
        <w:rPr>
          <w:rFonts w:ascii="Times New Roman" w:hAnsi="Times New Roman" w:cs="Times New Roman"/>
        </w:rPr>
        <w:t xml:space="preserve">A </w:t>
      </w:r>
      <w:r w:rsidR="000E2331" w:rsidRPr="0061488A">
        <w:rPr>
          <w:rFonts w:ascii="Times New Roman" w:hAnsi="Times New Roman" w:cs="Times New Roman"/>
        </w:rPr>
        <w:t xml:space="preserve">governance </w:t>
      </w:r>
      <w:r w:rsidR="004F02FE" w:rsidRPr="0061488A">
        <w:rPr>
          <w:rFonts w:ascii="Times New Roman" w:hAnsi="Times New Roman" w:cs="Times New Roman"/>
        </w:rPr>
        <w:t xml:space="preserve">system </w:t>
      </w:r>
      <w:r w:rsidR="00973930" w:rsidRPr="0061488A">
        <w:rPr>
          <w:rFonts w:ascii="Times New Roman" w:hAnsi="Times New Roman" w:cs="Times New Roman"/>
        </w:rPr>
        <w:t xml:space="preserve">that can accommodate financial disbursement for </w:t>
      </w:r>
      <w:r w:rsidR="00B66760" w:rsidRPr="0061488A">
        <w:rPr>
          <w:rFonts w:ascii="Times New Roman" w:hAnsi="Times New Roman" w:cs="Times New Roman"/>
        </w:rPr>
        <w:t xml:space="preserve">REDD+ and </w:t>
      </w:r>
      <w:r w:rsidR="006E3719" w:rsidRPr="0061488A">
        <w:rPr>
          <w:rFonts w:ascii="Times New Roman" w:hAnsi="Times New Roman" w:cs="Times New Roman"/>
        </w:rPr>
        <w:t xml:space="preserve">the </w:t>
      </w:r>
      <w:r w:rsidR="00B66760" w:rsidRPr="0061488A">
        <w:rPr>
          <w:rFonts w:ascii="Times New Roman" w:hAnsi="Times New Roman" w:cs="Times New Roman"/>
        </w:rPr>
        <w:t>GPP</w:t>
      </w:r>
      <w:r w:rsidR="00973930" w:rsidRPr="0061488A">
        <w:rPr>
          <w:rFonts w:ascii="Times New Roman" w:hAnsi="Times New Roman" w:cs="Times New Roman"/>
        </w:rPr>
        <w:t xml:space="preserve"> implementation is yet to be developed</w:t>
      </w:r>
      <w:r w:rsidR="00133905" w:rsidRPr="0061488A">
        <w:rPr>
          <w:rFonts w:ascii="Times New Roman" w:hAnsi="Times New Roman" w:cs="Times New Roman"/>
        </w:rPr>
        <w:t xml:space="preserve">. </w:t>
      </w:r>
      <w:r w:rsidR="00973930" w:rsidRPr="0061488A">
        <w:rPr>
          <w:rFonts w:ascii="Times New Roman" w:hAnsi="Times New Roman" w:cs="Times New Roman"/>
        </w:rPr>
        <w:t>With a good system in place, t</w:t>
      </w:r>
      <w:r w:rsidR="00BC2DD9" w:rsidRPr="0061488A">
        <w:rPr>
          <w:rFonts w:ascii="Times New Roman" w:hAnsi="Times New Roman" w:cs="Times New Roman"/>
        </w:rPr>
        <w:t xml:space="preserve">here are </w:t>
      </w:r>
      <w:r w:rsidR="006E3719" w:rsidRPr="0061488A">
        <w:rPr>
          <w:rFonts w:ascii="Times New Roman" w:hAnsi="Times New Roman" w:cs="Times New Roman"/>
        </w:rPr>
        <w:t xml:space="preserve">actually </w:t>
      </w:r>
      <w:r w:rsidR="00BC2DD9" w:rsidRPr="0061488A">
        <w:rPr>
          <w:rFonts w:ascii="Times New Roman" w:hAnsi="Times New Roman" w:cs="Times New Roman"/>
        </w:rPr>
        <w:t>3</w:t>
      </w:r>
      <w:r w:rsidR="00973930" w:rsidRPr="0061488A">
        <w:rPr>
          <w:rFonts w:ascii="Times New Roman" w:hAnsi="Times New Roman" w:cs="Times New Roman"/>
        </w:rPr>
        <w:t xml:space="preserve"> (three)</w:t>
      </w:r>
      <w:r w:rsidR="00BC2DD9" w:rsidRPr="0061488A">
        <w:rPr>
          <w:rFonts w:ascii="Times New Roman" w:hAnsi="Times New Roman" w:cs="Times New Roman"/>
        </w:rPr>
        <w:t xml:space="preserve"> </w:t>
      </w:r>
      <w:r w:rsidR="004F02FE" w:rsidRPr="0061488A">
        <w:rPr>
          <w:rFonts w:ascii="Times New Roman" w:hAnsi="Times New Roman" w:cs="Times New Roman"/>
        </w:rPr>
        <w:t xml:space="preserve">finance </w:t>
      </w:r>
      <w:r w:rsidR="00BC2DD9" w:rsidRPr="0061488A">
        <w:rPr>
          <w:rFonts w:ascii="Times New Roman" w:hAnsi="Times New Roman" w:cs="Times New Roman"/>
        </w:rPr>
        <w:t>opportunities</w:t>
      </w:r>
      <w:r w:rsidR="00133905" w:rsidRPr="0061488A">
        <w:rPr>
          <w:rFonts w:ascii="Times New Roman" w:hAnsi="Times New Roman" w:cs="Times New Roman"/>
        </w:rPr>
        <w:t xml:space="preserve"> </w:t>
      </w:r>
      <w:r w:rsidR="00973930" w:rsidRPr="0061488A">
        <w:rPr>
          <w:rFonts w:ascii="Times New Roman" w:hAnsi="Times New Roman" w:cs="Times New Roman"/>
        </w:rPr>
        <w:t>that can be utilized</w:t>
      </w:r>
      <w:r w:rsidR="00133905" w:rsidRPr="0061488A">
        <w:rPr>
          <w:rFonts w:ascii="Times New Roman" w:hAnsi="Times New Roman" w:cs="Times New Roman"/>
        </w:rPr>
        <w:t xml:space="preserve">: </w:t>
      </w:r>
      <w:r w:rsidR="00BC2DD9" w:rsidRPr="0061488A">
        <w:rPr>
          <w:rFonts w:ascii="Times New Roman" w:hAnsi="Times New Roman" w:cs="Times New Roman"/>
        </w:rPr>
        <w:t>grant, result based payment and green investment</w:t>
      </w:r>
      <w:r w:rsidR="00743E6A" w:rsidRPr="0061488A">
        <w:rPr>
          <w:rFonts w:ascii="Times New Roman" w:hAnsi="Times New Roman" w:cs="Times New Roman"/>
        </w:rPr>
        <w:t>.</w:t>
      </w:r>
      <w:r w:rsidR="00133905" w:rsidRPr="0061488A">
        <w:rPr>
          <w:rFonts w:ascii="Times New Roman" w:hAnsi="Times New Roman" w:cs="Times New Roman"/>
        </w:rPr>
        <w:t xml:space="preserve"> </w:t>
      </w:r>
      <w:r w:rsidR="00973930" w:rsidRPr="0061488A">
        <w:rPr>
          <w:rFonts w:ascii="Times New Roman" w:hAnsi="Times New Roman" w:cs="Times New Roman"/>
        </w:rPr>
        <w:t xml:space="preserve">A good system can ensure the disbursement of </w:t>
      </w:r>
      <w:r w:rsidR="00133905" w:rsidRPr="0061488A">
        <w:rPr>
          <w:rFonts w:ascii="Times New Roman" w:hAnsi="Times New Roman" w:cs="Times New Roman"/>
        </w:rPr>
        <w:t>grant</w:t>
      </w:r>
      <w:r w:rsidR="00973930" w:rsidRPr="0061488A">
        <w:rPr>
          <w:rFonts w:ascii="Times New Roman" w:hAnsi="Times New Roman" w:cs="Times New Roman"/>
        </w:rPr>
        <w:t xml:space="preserve"> especially in contributing to</w:t>
      </w:r>
      <w:r w:rsidR="001D720B" w:rsidRPr="0061488A">
        <w:rPr>
          <w:rFonts w:ascii="Times New Roman" w:hAnsi="Times New Roman" w:cs="Times New Roman"/>
        </w:rPr>
        <w:t xml:space="preserve"> sub-national </w:t>
      </w:r>
      <w:r w:rsidR="00973930" w:rsidRPr="0061488A">
        <w:rPr>
          <w:rFonts w:ascii="Times New Roman" w:hAnsi="Times New Roman" w:cs="Times New Roman"/>
        </w:rPr>
        <w:t xml:space="preserve">mitigation of </w:t>
      </w:r>
      <w:r w:rsidR="00133905" w:rsidRPr="0061488A">
        <w:rPr>
          <w:rFonts w:ascii="Times New Roman" w:hAnsi="Times New Roman" w:cs="Times New Roman"/>
        </w:rPr>
        <w:t>deforestation and degradation.</w:t>
      </w:r>
      <w:r w:rsidR="00A47C4B" w:rsidRPr="0061488A">
        <w:rPr>
          <w:rFonts w:ascii="Times New Roman" w:hAnsi="Times New Roman" w:cs="Times New Roman"/>
        </w:rPr>
        <w:t xml:space="preserve"> </w:t>
      </w:r>
      <w:r w:rsidR="00973930" w:rsidRPr="0061488A">
        <w:rPr>
          <w:rFonts w:ascii="Times New Roman" w:hAnsi="Times New Roman" w:cs="Times New Roman"/>
        </w:rPr>
        <w:t>A good system can also ensure the safeguard of the Fund coming from the</w:t>
      </w:r>
      <w:r w:rsidR="006E3719" w:rsidRPr="0061488A">
        <w:rPr>
          <w:rFonts w:ascii="Times New Roman" w:hAnsi="Times New Roman" w:cs="Times New Roman"/>
        </w:rPr>
        <w:t xml:space="preserve"> </w:t>
      </w:r>
      <w:r w:rsidR="00973930" w:rsidRPr="0061488A">
        <w:rPr>
          <w:rFonts w:ascii="Times New Roman" w:hAnsi="Times New Roman" w:cs="Times New Roman"/>
        </w:rPr>
        <w:t xml:space="preserve">Norwegian </w:t>
      </w:r>
      <w:r w:rsidR="006E3719" w:rsidRPr="0061488A">
        <w:rPr>
          <w:rFonts w:ascii="Times New Roman" w:hAnsi="Times New Roman" w:cs="Times New Roman"/>
        </w:rPr>
        <w:t>Government</w:t>
      </w:r>
      <w:r w:rsidR="00973930" w:rsidRPr="0061488A">
        <w:rPr>
          <w:rFonts w:ascii="Times New Roman" w:hAnsi="Times New Roman" w:cs="Times New Roman"/>
        </w:rPr>
        <w:t xml:space="preserve"> to Government of Indonesia and disbursement down to provincial and district level</w:t>
      </w:r>
      <w:r w:rsidR="00133905" w:rsidRPr="0061488A">
        <w:rPr>
          <w:rFonts w:ascii="Times New Roman" w:hAnsi="Times New Roman" w:cs="Times New Roman"/>
        </w:rPr>
        <w:t xml:space="preserve"> </w:t>
      </w:r>
      <w:r w:rsidR="0067006E" w:rsidRPr="0061488A">
        <w:rPr>
          <w:rFonts w:ascii="Times New Roman" w:hAnsi="Times New Roman" w:cs="Times New Roman"/>
        </w:rPr>
        <w:t xml:space="preserve">for the </w:t>
      </w:r>
      <w:r w:rsidR="00A47C4B" w:rsidRPr="0061488A">
        <w:rPr>
          <w:rFonts w:ascii="Times New Roman" w:hAnsi="Times New Roman" w:cs="Times New Roman"/>
        </w:rPr>
        <w:t xml:space="preserve">Result Based Payment scheme </w:t>
      </w:r>
      <w:r w:rsidR="00133905" w:rsidRPr="0061488A">
        <w:rPr>
          <w:rFonts w:ascii="Times New Roman" w:hAnsi="Times New Roman" w:cs="Times New Roman"/>
        </w:rPr>
        <w:t>in 2020</w:t>
      </w:r>
      <w:r w:rsidR="0067006E" w:rsidRPr="0061488A">
        <w:rPr>
          <w:rFonts w:ascii="Times New Roman" w:hAnsi="Times New Roman" w:cs="Times New Roman"/>
        </w:rPr>
        <w:t xml:space="preserve">. Since </w:t>
      </w:r>
      <w:r w:rsidR="00390E09" w:rsidRPr="0061488A">
        <w:rPr>
          <w:rFonts w:ascii="Times New Roman" w:hAnsi="Times New Roman" w:cs="Times New Roman"/>
        </w:rPr>
        <w:t>MRV and FREL</w:t>
      </w:r>
      <w:r w:rsidR="00133905" w:rsidRPr="0061488A">
        <w:rPr>
          <w:rFonts w:ascii="Times New Roman" w:hAnsi="Times New Roman" w:cs="Times New Roman"/>
        </w:rPr>
        <w:t xml:space="preserve"> both at national and sub-national levels </w:t>
      </w:r>
      <w:r w:rsidR="0003234E" w:rsidRPr="0061488A">
        <w:rPr>
          <w:rFonts w:ascii="Times New Roman" w:hAnsi="Times New Roman" w:cs="Times New Roman"/>
        </w:rPr>
        <w:t>are well-</w:t>
      </w:r>
      <w:r w:rsidR="00133905" w:rsidRPr="0061488A">
        <w:rPr>
          <w:rFonts w:ascii="Times New Roman" w:hAnsi="Times New Roman" w:cs="Times New Roman"/>
        </w:rPr>
        <w:t>established</w:t>
      </w:r>
      <w:r w:rsidR="00390E09" w:rsidRPr="0061488A">
        <w:rPr>
          <w:rFonts w:ascii="Times New Roman" w:hAnsi="Times New Roman" w:cs="Times New Roman"/>
        </w:rPr>
        <w:t xml:space="preserve"> and linked</w:t>
      </w:r>
      <w:r w:rsidR="0067006E" w:rsidRPr="0061488A">
        <w:rPr>
          <w:rFonts w:ascii="Times New Roman" w:hAnsi="Times New Roman" w:cs="Times New Roman"/>
        </w:rPr>
        <w:t>, a good financial arrangement will help a lot to match or support such activities earmarked in the program</w:t>
      </w:r>
      <w:r w:rsidR="00133905" w:rsidRPr="0061488A">
        <w:rPr>
          <w:rFonts w:ascii="Times New Roman" w:hAnsi="Times New Roman" w:cs="Times New Roman"/>
        </w:rPr>
        <w:t xml:space="preserve">. </w:t>
      </w:r>
      <w:r w:rsidR="0067006E" w:rsidRPr="0061488A">
        <w:rPr>
          <w:rFonts w:ascii="Times New Roman" w:hAnsi="Times New Roman" w:cs="Times New Roman"/>
        </w:rPr>
        <w:t xml:space="preserve">A good system can also help the government and the private sector to leverage further </w:t>
      </w:r>
      <w:r w:rsidR="006E3719" w:rsidRPr="0061488A">
        <w:rPr>
          <w:rFonts w:ascii="Times New Roman" w:hAnsi="Times New Roman" w:cs="Times New Roman"/>
        </w:rPr>
        <w:t xml:space="preserve">green </w:t>
      </w:r>
      <w:r w:rsidR="00B66760" w:rsidRPr="0061488A">
        <w:rPr>
          <w:rFonts w:ascii="Times New Roman" w:hAnsi="Times New Roman" w:cs="Times New Roman"/>
        </w:rPr>
        <w:t>investment</w:t>
      </w:r>
      <w:r w:rsidR="0067006E" w:rsidRPr="0061488A">
        <w:rPr>
          <w:rFonts w:ascii="Times New Roman" w:hAnsi="Times New Roman" w:cs="Times New Roman"/>
        </w:rPr>
        <w:t xml:space="preserve"> from impact investors and other financial institutions. The </w:t>
      </w:r>
      <w:r w:rsidR="00E942E9" w:rsidRPr="0061488A">
        <w:rPr>
          <w:rFonts w:ascii="Times New Roman" w:hAnsi="Times New Roman" w:cs="Times New Roman"/>
        </w:rPr>
        <w:t>Andg</w:t>
      </w:r>
      <w:r w:rsidR="00133905" w:rsidRPr="0061488A">
        <w:rPr>
          <w:rFonts w:ascii="Times New Roman" w:hAnsi="Times New Roman" w:cs="Times New Roman"/>
        </w:rPr>
        <w:t>reen.Fund</w:t>
      </w:r>
      <w:r w:rsidR="006E3719" w:rsidRPr="0061488A">
        <w:rPr>
          <w:rFonts w:ascii="Times New Roman" w:hAnsi="Times New Roman" w:cs="Times New Roman"/>
        </w:rPr>
        <w:t xml:space="preserve"> </w:t>
      </w:r>
      <w:r w:rsidR="0067006E" w:rsidRPr="0061488A">
        <w:rPr>
          <w:rFonts w:ascii="Times New Roman" w:hAnsi="Times New Roman" w:cs="Times New Roman"/>
        </w:rPr>
        <w:t>would require a good system at jurisdiction level to monitor deforestation credibly</w:t>
      </w:r>
      <w:r w:rsidR="00B66760" w:rsidRPr="0061488A">
        <w:rPr>
          <w:rFonts w:ascii="Times New Roman" w:hAnsi="Times New Roman" w:cs="Times New Roman"/>
        </w:rPr>
        <w:t xml:space="preserve">. </w:t>
      </w:r>
      <w:r w:rsidR="006E3719" w:rsidRPr="0061488A">
        <w:rPr>
          <w:rFonts w:ascii="Times New Roman" w:hAnsi="Times New Roman" w:cs="Times New Roman"/>
        </w:rPr>
        <w:t xml:space="preserve">If a company could access </w:t>
      </w:r>
      <w:r w:rsidR="0067006E" w:rsidRPr="0061488A">
        <w:rPr>
          <w:rFonts w:ascii="Times New Roman" w:hAnsi="Times New Roman" w:cs="Times New Roman"/>
        </w:rPr>
        <w:t>to such Fund</w:t>
      </w:r>
      <w:r w:rsidR="006E3719" w:rsidRPr="0061488A">
        <w:rPr>
          <w:rFonts w:ascii="Times New Roman" w:hAnsi="Times New Roman" w:cs="Times New Roman"/>
        </w:rPr>
        <w:t xml:space="preserve">, </w:t>
      </w:r>
      <w:r w:rsidR="0067006E" w:rsidRPr="0061488A">
        <w:rPr>
          <w:rFonts w:ascii="Times New Roman" w:hAnsi="Times New Roman" w:cs="Times New Roman"/>
        </w:rPr>
        <w:t xml:space="preserve">this </w:t>
      </w:r>
      <w:r w:rsidR="006E3719" w:rsidRPr="0061488A">
        <w:rPr>
          <w:rFonts w:ascii="Times New Roman" w:hAnsi="Times New Roman" w:cs="Times New Roman"/>
        </w:rPr>
        <w:t>would</w:t>
      </w:r>
      <w:r w:rsidR="00133905" w:rsidRPr="0061488A">
        <w:rPr>
          <w:rFonts w:ascii="Times New Roman" w:hAnsi="Times New Roman" w:cs="Times New Roman"/>
        </w:rPr>
        <w:t xml:space="preserve"> be </w:t>
      </w:r>
      <w:r w:rsidR="0067006E" w:rsidRPr="0061488A">
        <w:rPr>
          <w:rFonts w:ascii="Times New Roman" w:hAnsi="Times New Roman" w:cs="Times New Roman"/>
        </w:rPr>
        <w:t>perceived as a good</w:t>
      </w:r>
      <w:r w:rsidR="00133905" w:rsidRPr="0061488A">
        <w:rPr>
          <w:rFonts w:ascii="Times New Roman" w:hAnsi="Times New Roman" w:cs="Times New Roman"/>
        </w:rPr>
        <w:t xml:space="preserve"> model </w:t>
      </w:r>
      <w:r w:rsidR="00A47C4B" w:rsidRPr="0061488A">
        <w:rPr>
          <w:rFonts w:ascii="Times New Roman" w:hAnsi="Times New Roman" w:cs="Times New Roman"/>
        </w:rPr>
        <w:t xml:space="preserve">for </w:t>
      </w:r>
      <w:r w:rsidR="006E3719" w:rsidRPr="0061488A">
        <w:rPr>
          <w:rFonts w:ascii="Times New Roman" w:hAnsi="Times New Roman" w:cs="Times New Roman"/>
        </w:rPr>
        <w:t xml:space="preserve">other </w:t>
      </w:r>
      <w:r w:rsidR="009259E4" w:rsidRPr="0061488A">
        <w:rPr>
          <w:rFonts w:ascii="Times New Roman" w:hAnsi="Times New Roman" w:cs="Times New Roman"/>
        </w:rPr>
        <w:t xml:space="preserve">sub-national government and </w:t>
      </w:r>
      <w:r w:rsidR="006E3719" w:rsidRPr="0061488A">
        <w:rPr>
          <w:rFonts w:ascii="Times New Roman" w:hAnsi="Times New Roman" w:cs="Times New Roman"/>
        </w:rPr>
        <w:t>companies to access</w:t>
      </w:r>
      <w:r w:rsidR="001E5600" w:rsidRPr="0061488A">
        <w:rPr>
          <w:rFonts w:ascii="Times New Roman" w:hAnsi="Times New Roman" w:cs="Times New Roman"/>
        </w:rPr>
        <w:t xml:space="preserve"> </w:t>
      </w:r>
      <w:r w:rsidR="0067006E" w:rsidRPr="0061488A">
        <w:rPr>
          <w:rFonts w:ascii="Times New Roman" w:hAnsi="Times New Roman" w:cs="Times New Roman"/>
        </w:rPr>
        <w:t xml:space="preserve">different </w:t>
      </w:r>
      <w:r w:rsidR="001E5600" w:rsidRPr="0061488A">
        <w:rPr>
          <w:rFonts w:ascii="Times New Roman" w:hAnsi="Times New Roman" w:cs="Times New Roman"/>
        </w:rPr>
        <w:t>green investment</w:t>
      </w:r>
      <w:r w:rsidR="0067006E" w:rsidRPr="0061488A">
        <w:rPr>
          <w:rFonts w:ascii="Times New Roman" w:hAnsi="Times New Roman" w:cs="Times New Roman"/>
        </w:rPr>
        <w:t>s</w:t>
      </w:r>
      <w:r w:rsidR="001E5600" w:rsidRPr="0061488A">
        <w:rPr>
          <w:rFonts w:ascii="Times New Roman" w:hAnsi="Times New Roman" w:cs="Times New Roman"/>
        </w:rPr>
        <w:t xml:space="preserve">. </w:t>
      </w:r>
    </w:p>
    <w:p w14:paraId="0E8D4FF9" w14:textId="53CC0A49" w:rsidR="0050045D" w:rsidRPr="0061488A" w:rsidRDefault="00E67531" w:rsidP="00776872">
      <w:pPr>
        <w:pStyle w:val="ListParagraph"/>
        <w:numPr>
          <w:ilvl w:val="0"/>
          <w:numId w:val="3"/>
        </w:numPr>
        <w:spacing w:after="0" w:line="240" w:lineRule="auto"/>
        <w:ind w:left="426" w:hanging="426"/>
        <w:contextualSpacing w:val="0"/>
        <w:jc w:val="both"/>
        <w:rPr>
          <w:rFonts w:ascii="Times New Roman" w:hAnsi="Times New Roman" w:cs="Times New Roman"/>
          <w:b/>
          <w:i/>
        </w:rPr>
      </w:pPr>
      <w:r w:rsidRPr="0061488A">
        <w:rPr>
          <w:rFonts w:ascii="Times New Roman" w:hAnsi="Times New Roman" w:cs="Times New Roman"/>
          <w:b/>
          <w:i/>
        </w:rPr>
        <w:t>Policies and Regulation</w:t>
      </w:r>
      <w:r w:rsidR="00EF3C9A" w:rsidRPr="0061488A">
        <w:rPr>
          <w:rFonts w:ascii="Times New Roman" w:hAnsi="Times New Roman" w:cs="Times New Roman"/>
          <w:b/>
          <w:i/>
        </w:rPr>
        <w:t>s</w:t>
      </w:r>
      <w:r w:rsidRPr="0061488A">
        <w:rPr>
          <w:rFonts w:ascii="Times New Roman" w:hAnsi="Times New Roman" w:cs="Times New Roman"/>
          <w:b/>
          <w:i/>
        </w:rPr>
        <w:t xml:space="preserve">. </w:t>
      </w:r>
      <w:r w:rsidR="0067006E" w:rsidRPr="0061488A">
        <w:rPr>
          <w:rFonts w:ascii="Times New Roman" w:hAnsi="Times New Roman" w:cs="Times New Roman"/>
        </w:rPr>
        <w:t xml:space="preserve">In the </w:t>
      </w:r>
      <w:r w:rsidRPr="0061488A">
        <w:rPr>
          <w:rFonts w:ascii="Times New Roman" w:hAnsi="Times New Roman" w:cs="Times New Roman"/>
        </w:rPr>
        <w:t>SRAP REDD+</w:t>
      </w:r>
      <w:r w:rsidR="0067006E" w:rsidRPr="0061488A">
        <w:rPr>
          <w:rFonts w:ascii="Times New Roman" w:hAnsi="Times New Roman" w:cs="Times New Roman"/>
        </w:rPr>
        <w:t>,</w:t>
      </w:r>
      <w:r w:rsidRPr="0061488A">
        <w:rPr>
          <w:rFonts w:ascii="Times New Roman" w:hAnsi="Times New Roman" w:cs="Times New Roman"/>
        </w:rPr>
        <w:t xml:space="preserve"> </w:t>
      </w:r>
      <w:r w:rsidR="0067006E" w:rsidRPr="0061488A">
        <w:rPr>
          <w:rFonts w:ascii="Times New Roman" w:hAnsi="Times New Roman" w:cs="Times New Roman"/>
        </w:rPr>
        <w:t>relevant sub-national</w:t>
      </w:r>
      <w:r w:rsidRPr="0061488A">
        <w:rPr>
          <w:rFonts w:ascii="Times New Roman" w:hAnsi="Times New Roman" w:cs="Times New Roman"/>
        </w:rPr>
        <w:t xml:space="preserve"> </w:t>
      </w:r>
      <w:r w:rsidR="00057419" w:rsidRPr="0061488A">
        <w:rPr>
          <w:rFonts w:ascii="Times New Roman" w:hAnsi="Times New Roman" w:cs="Times New Roman"/>
        </w:rPr>
        <w:t>regulation</w:t>
      </w:r>
      <w:r w:rsidR="0067006E" w:rsidRPr="0061488A">
        <w:rPr>
          <w:rFonts w:ascii="Times New Roman" w:hAnsi="Times New Roman" w:cs="Times New Roman"/>
        </w:rPr>
        <w:t>s</w:t>
      </w:r>
      <w:r w:rsidR="00057419" w:rsidRPr="0061488A">
        <w:rPr>
          <w:rFonts w:ascii="Times New Roman" w:hAnsi="Times New Roman" w:cs="Times New Roman"/>
        </w:rPr>
        <w:t xml:space="preserve"> </w:t>
      </w:r>
      <w:r w:rsidR="0067006E" w:rsidRPr="0061488A">
        <w:rPr>
          <w:rFonts w:ascii="Times New Roman" w:hAnsi="Times New Roman" w:cs="Times New Roman"/>
        </w:rPr>
        <w:t xml:space="preserve">are </w:t>
      </w:r>
      <w:r w:rsidR="00475DC5" w:rsidRPr="0061488A">
        <w:rPr>
          <w:rFonts w:ascii="Times New Roman" w:hAnsi="Times New Roman" w:cs="Times New Roman"/>
        </w:rPr>
        <w:t>required</w:t>
      </w:r>
      <w:r w:rsidR="00057419" w:rsidRPr="0061488A">
        <w:rPr>
          <w:rFonts w:ascii="Times New Roman" w:hAnsi="Times New Roman" w:cs="Times New Roman"/>
        </w:rPr>
        <w:t xml:space="preserve"> </w:t>
      </w:r>
      <w:r w:rsidRPr="0061488A">
        <w:rPr>
          <w:rFonts w:ascii="Times New Roman" w:hAnsi="Times New Roman" w:cs="Times New Roman"/>
        </w:rPr>
        <w:t xml:space="preserve">to support </w:t>
      </w:r>
      <w:r w:rsidR="00475DC5" w:rsidRPr="0061488A">
        <w:rPr>
          <w:rFonts w:ascii="Times New Roman" w:hAnsi="Times New Roman" w:cs="Times New Roman"/>
        </w:rPr>
        <w:t xml:space="preserve">the </w:t>
      </w:r>
      <w:r w:rsidRPr="0061488A">
        <w:rPr>
          <w:rFonts w:ascii="Times New Roman" w:hAnsi="Times New Roman" w:cs="Times New Roman"/>
        </w:rPr>
        <w:t>REDD+</w:t>
      </w:r>
      <w:r w:rsidR="00475DC5" w:rsidRPr="0061488A">
        <w:rPr>
          <w:rFonts w:ascii="Times New Roman" w:hAnsi="Times New Roman" w:cs="Times New Roman"/>
        </w:rPr>
        <w:t xml:space="preserve"> implementation</w:t>
      </w:r>
      <w:r w:rsidRPr="0061488A">
        <w:rPr>
          <w:rFonts w:ascii="Times New Roman" w:hAnsi="Times New Roman" w:cs="Times New Roman"/>
        </w:rPr>
        <w:t>. The progress</w:t>
      </w:r>
      <w:r w:rsidR="0067006E" w:rsidRPr="0061488A">
        <w:rPr>
          <w:rFonts w:ascii="Times New Roman" w:hAnsi="Times New Roman" w:cs="Times New Roman"/>
        </w:rPr>
        <w:t xml:space="preserve"> to develop and issue such regulations (and further enforcement) are</w:t>
      </w:r>
      <w:r w:rsidRPr="0061488A">
        <w:rPr>
          <w:rFonts w:ascii="Times New Roman" w:hAnsi="Times New Roman" w:cs="Times New Roman"/>
        </w:rPr>
        <w:t xml:space="preserve"> not</w:t>
      </w:r>
      <w:r w:rsidR="0067006E" w:rsidRPr="0061488A">
        <w:rPr>
          <w:rFonts w:ascii="Times New Roman" w:hAnsi="Times New Roman" w:cs="Times New Roman"/>
        </w:rPr>
        <w:t xml:space="preserve"> sufficiently fast</w:t>
      </w:r>
      <w:r w:rsidRPr="0061488A">
        <w:rPr>
          <w:rFonts w:ascii="Times New Roman" w:hAnsi="Times New Roman" w:cs="Times New Roman"/>
        </w:rPr>
        <w:t xml:space="preserve"> as deforestation </w:t>
      </w:r>
      <w:r w:rsidR="0067006E" w:rsidRPr="0061488A">
        <w:rPr>
          <w:rFonts w:ascii="Times New Roman" w:hAnsi="Times New Roman" w:cs="Times New Roman"/>
        </w:rPr>
        <w:t xml:space="preserve">still </w:t>
      </w:r>
      <w:r w:rsidR="006E3719" w:rsidRPr="0061488A">
        <w:rPr>
          <w:rFonts w:ascii="Times New Roman" w:hAnsi="Times New Roman" w:cs="Times New Roman"/>
        </w:rPr>
        <w:t>happen</w:t>
      </w:r>
      <w:r w:rsidR="0067006E" w:rsidRPr="0061488A">
        <w:rPr>
          <w:rFonts w:ascii="Times New Roman" w:hAnsi="Times New Roman" w:cs="Times New Roman"/>
        </w:rPr>
        <w:t>s</w:t>
      </w:r>
      <w:r w:rsidR="006E3719" w:rsidRPr="0061488A">
        <w:rPr>
          <w:rFonts w:ascii="Times New Roman" w:hAnsi="Times New Roman" w:cs="Times New Roman"/>
        </w:rPr>
        <w:t xml:space="preserve"> </w:t>
      </w:r>
      <w:r w:rsidR="0067006E" w:rsidRPr="0061488A">
        <w:rPr>
          <w:rFonts w:ascii="Times New Roman" w:hAnsi="Times New Roman" w:cs="Times New Roman"/>
        </w:rPr>
        <w:t xml:space="preserve">on </w:t>
      </w:r>
      <w:r w:rsidRPr="0061488A">
        <w:rPr>
          <w:rFonts w:ascii="Times New Roman" w:hAnsi="Times New Roman" w:cs="Times New Roman"/>
        </w:rPr>
        <w:t xml:space="preserve">the ground. </w:t>
      </w:r>
      <w:r w:rsidR="0067006E" w:rsidRPr="0061488A">
        <w:rPr>
          <w:rFonts w:ascii="Times New Roman" w:hAnsi="Times New Roman" w:cs="Times New Roman"/>
        </w:rPr>
        <w:t>There is a good opportunity to develop and issue key regulations and s</w:t>
      </w:r>
      <w:r w:rsidR="0050045D" w:rsidRPr="0061488A">
        <w:rPr>
          <w:rFonts w:ascii="Times New Roman" w:hAnsi="Times New Roman" w:cs="Times New Roman"/>
        </w:rPr>
        <w:t xml:space="preserve">trengthen REDD+ implementation </w:t>
      </w:r>
      <w:r w:rsidR="0067006E" w:rsidRPr="0061488A">
        <w:rPr>
          <w:rFonts w:ascii="Times New Roman" w:hAnsi="Times New Roman" w:cs="Times New Roman"/>
        </w:rPr>
        <w:t xml:space="preserve">especially since there is growing </w:t>
      </w:r>
      <w:r w:rsidR="00E9448D" w:rsidRPr="0061488A">
        <w:rPr>
          <w:rFonts w:ascii="Times New Roman" w:hAnsi="Times New Roman" w:cs="Times New Roman"/>
        </w:rPr>
        <w:t xml:space="preserve">conservation </w:t>
      </w:r>
      <w:r w:rsidR="00BE07E6" w:rsidRPr="0061488A">
        <w:rPr>
          <w:rFonts w:ascii="Times New Roman" w:hAnsi="Times New Roman" w:cs="Times New Roman"/>
        </w:rPr>
        <w:t>commitment</w:t>
      </w:r>
      <w:r w:rsidR="00B12EA2" w:rsidRPr="0061488A">
        <w:rPr>
          <w:rFonts w:ascii="Times New Roman" w:hAnsi="Times New Roman" w:cs="Times New Roman"/>
        </w:rPr>
        <w:t xml:space="preserve"> </w:t>
      </w:r>
      <w:r w:rsidR="006E3719" w:rsidRPr="0061488A">
        <w:rPr>
          <w:rFonts w:ascii="Times New Roman" w:hAnsi="Times New Roman" w:cs="Times New Roman"/>
        </w:rPr>
        <w:t>from all stakeholders including the</w:t>
      </w:r>
      <w:r w:rsidR="00B12EA2" w:rsidRPr="0061488A">
        <w:rPr>
          <w:rFonts w:ascii="Times New Roman" w:hAnsi="Times New Roman" w:cs="Times New Roman"/>
        </w:rPr>
        <w:t xml:space="preserve"> private sector</w:t>
      </w:r>
      <w:r w:rsidR="006E3719" w:rsidRPr="0061488A">
        <w:rPr>
          <w:rFonts w:ascii="Times New Roman" w:hAnsi="Times New Roman" w:cs="Times New Roman"/>
        </w:rPr>
        <w:t xml:space="preserve">. </w:t>
      </w:r>
      <w:r w:rsidR="0067006E" w:rsidRPr="0061488A">
        <w:rPr>
          <w:rFonts w:ascii="Times New Roman" w:hAnsi="Times New Roman" w:cs="Times New Roman"/>
        </w:rPr>
        <w:t xml:space="preserve">Provincial government regulations such as on KEE, sustainable land utilization, and </w:t>
      </w:r>
      <w:r w:rsidR="00D02B71" w:rsidRPr="0061488A">
        <w:rPr>
          <w:rFonts w:ascii="Times New Roman" w:hAnsi="Times New Roman" w:cs="Times New Roman"/>
        </w:rPr>
        <w:t>fire prevention have been issued and these can be linked t</w:t>
      </w:r>
      <w:r w:rsidR="00475DC5" w:rsidRPr="0061488A">
        <w:rPr>
          <w:rFonts w:ascii="Times New Roman" w:hAnsi="Times New Roman" w:cs="Times New Roman"/>
        </w:rPr>
        <w:t>he p</w:t>
      </w:r>
      <w:r w:rsidR="0050045D" w:rsidRPr="0061488A">
        <w:rPr>
          <w:rFonts w:ascii="Times New Roman" w:hAnsi="Times New Roman" w:cs="Times New Roman"/>
        </w:rPr>
        <w:t>rivate sector</w:t>
      </w:r>
      <w:r w:rsidR="00D02B71" w:rsidRPr="0061488A">
        <w:rPr>
          <w:rFonts w:ascii="Times New Roman" w:hAnsi="Times New Roman" w:cs="Times New Roman"/>
        </w:rPr>
        <w:t>’s commitment</w:t>
      </w:r>
      <w:r w:rsidR="0050045D" w:rsidRPr="0061488A">
        <w:rPr>
          <w:rFonts w:ascii="Times New Roman" w:hAnsi="Times New Roman" w:cs="Times New Roman"/>
        </w:rPr>
        <w:t xml:space="preserve"> </w:t>
      </w:r>
      <w:r w:rsidR="00D02B71" w:rsidRPr="0061488A">
        <w:rPr>
          <w:rFonts w:ascii="Times New Roman" w:hAnsi="Times New Roman" w:cs="Times New Roman"/>
        </w:rPr>
        <w:t>to change their</w:t>
      </w:r>
      <w:r w:rsidR="0050045D" w:rsidRPr="0061488A">
        <w:rPr>
          <w:rFonts w:ascii="Times New Roman" w:hAnsi="Times New Roman" w:cs="Times New Roman"/>
        </w:rPr>
        <w:t xml:space="preserve"> business</w:t>
      </w:r>
      <w:r w:rsidR="00D02B71" w:rsidRPr="0061488A">
        <w:rPr>
          <w:rFonts w:ascii="Times New Roman" w:hAnsi="Times New Roman" w:cs="Times New Roman"/>
        </w:rPr>
        <w:t>-</w:t>
      </w:r>
      <w:r w:rsidR="0050045D" w:rsidRPr="0061488A">
        <w:rPr>
          <w:rFonts w:ascii="Times New Roman" w:hAnsi="Times New Roman" w:cs="Times New Roman"/>
        </w:rPr>
        <w:t>as</w:t>
      </w:r>
      <w:r w:rsidR="00D02B71" w:rsidRPr="0061488A">
        <w:rPr>
          <w:rFonts w:ascii="Times New Roman" w:hAnsi="Times New Roman" w:cs="Times New Roman"/>
        </w:rPr>
        <w:t>-</w:t>
      </w:r>
      <w:r w:rsidR="0050045D" w:rsidRPr="0061488A">
        <w:rPr>
          <w:rFonts w:ascii="Times New Roman" w:hAnsi="Times New Roman" w:cs="Times New Roman"/>
        </w:rPr>
        <w:t>usual paradigm</w:t>
      </w:r>
      <w:r w:rsidR="00475DC5" w:rsidRPr="0061488A">
        <w:rPr>
          <w:rFonts w:ascii="Times New Roman" w:hAnsi="Times New Roman" w:cs="Times New Roman"/>
        </w:rPr>
        <w:t xml:space="preserve"> </w:t>
      </w:r>
      <w:r w:rsidR="00D02B71" w:rsidRPr="0061488A">
        <w:rPr>
          <w:rFonts w:ascii="Times New Roman" w:hAnsi="Times New Roman" w:cs="Times New Roman"/>
        </w:rPr>
        <w:t>and investment</w:t>
      </w:r>
      <w:r w:rsidR="0050045D" w:rsidRPr="0061488A">
        <w:rPr>
          <w:rFonts w:ascii="Times New Roman" w:hAnsi="Times New Roman" w:cs="Times New Roman"/>
        </w:rPr>
        <w:t xml:space="preserve">. </w:t>
      </w:r>
      <w:r w:rsidR="00D02B71" w:rsidRPr="0061488A">
        <w:rPr>
          <w:rFonts w:ascii="Times New Roman" w:hAnsi="Times New Roman" w:cs="Times New Roman"/>
        </w:rPr>
        <w:t xml:space="preserve">Such regulations have started to push the private sector to </w:t>
      </w:r>
      <w:r w:rsidR="00DF4B87" w:rsidRPr="0061488A">
        <w:rPr>
          <w:rFonts w:ascii="Times New Roman" w:hAnsi="Times New Roman" w:cs="Times New Roman"/>
        </w:rPr>
        <w:t xml:space="preserve">share their data, </w:t>
      </w:r>
      <w:r w:rsidR="00D02B71" w:rsidRPr="0061488A">
        <w:rPr>
          <w:rFonts w:ascii="Times New Roman" w:hAnsi="Times New Roman" w:cs="Times New Roman"/>
        </w:rPr>
        <w:t xml:space="preserve">get </w:t>
      </w:r>
      <w:r w:rsidR="0050045D" w:rsidRPr="0061488A">
        <w:rPr>
          <w:rFonts w:ascii="Times New Roman" w:hAnsi="Times New Roman" w:cs="Times New Roman"/>
        </w:rPr>
        <w:t>involve</w:t>
      </w:r>
      <w:r w:rsidR="00D02B71" w:rsidRPr="0061488A">
        <w:rPr>
          <w:rFonts w:ascii="Times New Roman" w:hAnsi="Times New Roman" w:cs="Times New Roman"/>
        </w:rPr>
        <w:t>d</w:t>
      </w:r>
      <w:r w:rsidR="0050045D" w:rsidRPr="0061488A">
        <w:rPr>
          <w:rFonts w:ascii="Times New Roman" w:hAnsi="Times New Roman" w:cs="Times New Roman"/>
        </w:rPr>
        <w:t xml:space="preserve"> in multi-stakeholder </w:t>
      </w:r>
      <w:r w:rsidR="00DF4B87" w:rsidRPr="0061488A">
        <w:rPr>
          <w:rFonts w:ascii="Times New Roman" w:hAnsi="Times New Roman" w:cs="Times New Roman"/>
        </w:rPr>
        <w:t xml:space="preserve">discussion and </w:t>
      </w:r>
      <w:r w:rsidR="00D02B71" w:rsidRPr="0061488A">
        <w:rPr>
          <w:rFonts w:ascii="Times New Roman" w:hAnsi="Times New Roman" w:cs="Times New Roman"/>
        </w:rPr>
        <w:t xml:space="preserve">concrete </w:t>
      </w:r>
      <w:r w:rsidR="00DF4B87" w:rsidRPr="0061488A">
        <w:rPr>
          <w:rFonts w:ascii="Times New Roman" w:hAnsi="Times New Roman" w:cs="Times New Roman"/>
        </w:rPr>
        <w:t xml:space="preserve">conserve their </w:t>
      </w:r>
      <w:r w:rsidR="00D02B71" w:rsidRPr="0061488A">
        <w:rPr>
          <w:rFonts w:ascii="Times New Roman" w:hAnsi="Times New Roman" w:cs="Times New Roman"/>
        </w:rPr>
        <w:t xml:space="preserve">remaining </w:t>
      </w:r>
      <w:r w:rsidR="00DF4B87" w:rsidRPr="0061488A">
        <w:rPr>
          <w:rFonts w:ascii="Times New Roman" w:hAnsi="Times New Roman" w:cs="Times New Roman"/>
        </w:rPr>
        <w:t>forest</w:t>
      </w:r>
      <w:r w:rsidR="00D02B71" w:rsidRPr="0061488A">
        <w:rPr>
          <w:rFonts w:ascii="Times New Roman" w:hAnsi="Times New Roman" w:cs="Times New Roman"/>
        </w:rPr>
        <w:t xml:space="preserve"> cover</w:t>
      </w:r>
      <w:r w:rsidR="00DF4B87" w:rsidRPr="0061488A">
        <w:rPr>
          <w:rFonts w:ascii="Times New Roman" w:hAnsi="Times New Roman" w:cs="Times New Roman"/>
        </w:rPr>
        <w:t xml:space="preserve"> </w:t>
      </w:r>
      <w:r w:rsidR="00D02B71" w:rsidRPr="0061488A">
        <w:rPr>
          <w:rFonts w:ascii="Times New Roman" w:hAnsi="Times New Roman" w:cs="Times New Roman"/>
        </w:rPr>
        <w:t>in</w:t>
      </w:r>
      <w:r w:rsidR="007B48F3" w:rsidRPr="0061488A">
        <w:rPr>
          <w:rFonts w:ascii="Times New Roman" w:hAnsi="Times New Roman" w:cs="Times New Roman"/>
        </w:rPr>
        <w:t xml:space="preserve"> their concession</w:t>
      </w:r>
      <w:r w:rsidR="00D02B71" w:rsidRPr="0061488A">
        <w:rPr>
          <w:rFonts w:ascii="Times New Roman" w:hAnsi="Times New Roman" w:cs="Times New Roman"/>
        </w:rPr>
        <w:t>s</w:t>
      </w:r>
      <w:r w:rsidR="007B48F3" w:rsidRPr="0061488A">
        <w:rPr>
          <w:rFonts w:ascii="Times New Roman" w:hAnsi="Times New Roman" w:cs="Times New Roman"/>
        </w:rPr>
        <w:t xml:space="preserve"> </w:t>
      </w:r>
      <w:r w:rsidR="00D02B71" w:rsidRPr="0061488A">
        <w:rPr>
          <w:rFonts w:ascii="Times New Roman" w:hAnsi="Times New Roman" w:cs="Times New Roman"/>
        </w:rPr>
        <w:t xml:space="preserve">as part of </w:t>
      </w:r>
      <w:r w:rsidR="00DF4B87" w:rsidRPr="0061488A">
        <w:rPr>
          <w:rFonts w:ascii="Times New Roman" w:hAnsi="Times New Roman" w:cs="Times New Roman"/>
        </w:rPr>
        <w:t>green business model</w:t>
      </w:r>
      <w:r w:rsidR="00D02B71" w:rsidRPr="0061488A">
        <w:rPr>
          <w:rFonts w:ascii="Times New Roman" w:hAnsi="Times New Roman" w:cs="Times New Roman"/>
        </w:rPr>
        <w:t>s</w:t>
      </w:r>
      <w:r w:rsidR="00DF4B87" w:rsidRPr="0061488A">
        <w:rPr>
          <w:rFonts w:ascii="Times New Roman" w:hAnsi="Times New Roman" w:cs="Times New Roman"/>
        </w:rPr>
        <w:t xml:space="preserve"> and practic</w:t>
      </w:r>
      <w:r w:rsidR="00D02B71" w:rsidRPr="0061488A">
        <w:rPr>
          <w:rFonts w:ascii="Times New Roman" w:hAnsi="Times New Roman" w:cs="Times New Roman"/>
        </w:rPr>
        <w:t>es</w:t>
      </w:r>
      <w:r w:rsidR="00DF4B87" w:rsidRPr="0061488A">
        <w:rPr>
          <w:rFonts w:ascii="Times New Roman" w:hAnsi="Times New Roman" w:cs="Times New Roman"/>
        </w:rPr>
        <w:t xml:space="preserve">. </w:t>
      </w:r>
      <w:r w:rsidR="00D02B71" w:rsidRPr="0061488A">
        <w:rPr>
          <w:rFonts w:ascii="Times New Roman" w:hAnsi="Times New Roman" w:cs="Times New Roman"/>
        </w:rPr>
        <w:t xml:space="preserve">Stronger regulations and enforcement can help </w:t>
      </w:r>
      <w:r w:rsidR="00DF4B87" w:rsidRPr="0061488A">
        <w:rPr>
          <w:rFonts w:ascii="Times New Roman" w:hAnsi="Times New Roman" w:cs="Times New Roman"/>
        </w:rPr>
        <w:t xml:space="preserve">Forest Management Unit (FMU) </w:t>
      </w:r>
      <w:r w:rsidR="00D02B71" w:rsidRPr="0061488A">
        <w:rPr>
          <w:rFonts w:ascii="Times New Roman" w:hAnsi="Times New Roman" w:cs="Times New Roman"/>
        </w:rPr>
        <w:t>as the leading institution to ensure the implementation of REDD+ and green growth</w:t>
      </w:r>
      <w:r w:rsidR="00650B23" w:rsidRPr="0061488A">
        <w:rPr>
          <w:rFonts w:ascii="Times New Roman" w:hAnsi="Times New Roman" w:cs="Times New Roman"/>
        </w:rPr>
        <w:t xml:space="preserve">. </w:t>
      </w:r>
    </w:p>
    <w:p w14:paraId="5E41ADA4" w14:textId="77777777" w:rsidR="00475DC5" w:rsidRPr="0061488A" w:rsidRDefault="00475DC5" w:rsidP="00475DC5">
      <w:pPr>
        <w:jc w:val="both"/>
        <w:rPr>
          <w:b/>
          <w:i/>
          <w:sz w:val="22"/>
          <w:szCs w:val="22"/>
        </w:rPr>
      </w:pPr>
    </w:p>
    <w:p w14:paraId="18AF5089" w14:textId="2CC97271" w:rsidR="00475DC5" w:rsidRPr="0061488A" w:rsidRDefault="00E942E9" w:rsidP="00475DC5">
      <w:pPr>
        <w:spacing w:after="200"/>
        <w:jc w:val="both"/>
        <w:rPr>
          <w:sz w:val="22"/>
          <w:szCs w:val="22"/>
        </w:rPr>
      </w:pPr>
      <w:r w:rsidRPr="0061488A">
        <w:rPr>
          <w:sz w:val="22"/>
          <w:szCs w:val="22"/>
        </w:rPr>
        <w:t>T</w:t>
      </w:r>
      <w:r w:rsidR="00D02B71" w:rsidRPr="0061488A">
        <w:rPr>
          <w:sz w:val="22"/>
          <w:szCs w:val="22"/>
        </w:rPr>
        <w:t>o address the gaps and achieve strategic objectives, t</w:t>
      </w:r>
      <w:r w:rsidRPr="0061488A">
        <w:rPr>
          <w:sz w:val="22"/>
          <w:szCs w:val="22"/>
        </w:rPr>
        <w:t>his</w:t>
      </w:r>
      <w:r w:rsidR="00475DC5" w:rsidRPr="0061488A">
        <w:rPr>
          <w:sz w:val="22"/>
          <w:szCs w:val="22"/>
        </w:rPr>
        <w:t xml:space="preserve"> project </w:t>
      </w:r>
      <w:r w:rsidR="00D02B71" w:rsidRPr="0061488A">
        <w:rPr>
          <w:sz w:val="22"/>
          <w:szCs w:val="22"/>
        </w:rPr>
        <w:t>focuses on</w:t>
      </w:r>
      <w:r w:rsidR="00475DC5" w:rsidRPr="0061488A">
        <w:rPr>
          <w:sz w:val="22"/>
          <w:szCs w:val="22"/>
        </w:rPr>
        <w:t xml:space="preserve"> 4 main pillars, which are: a) Performance analysis on SRAP REDD+ for period 2012-2018 </w:t>
      </w:r>
      <w:r w:rsidR="00D02B71" w:rsidRPr="0061488A">
        <w:rPr>
          <w:sz w:val="22"/>
          <w:szCs w:val="22"/>
        </w:rPr>
        <w:t xml:space="preserve">and GGP implementation against </w:t>
      </w:r>
      <w:r w:rsidR="00475DC5" w:rsidRPr="0061488A">
        <w:rPr>
          <w:sz w:val="22"/>
          <w:szCs w:val="22"/>
        </w:rPr>
        <w:t>carbon emission reduction target, b) Capacity building for the SRAP REDD+ task force</w:t>
      </w:r>
      <w:r w:rsidR="00D02B71" w:rsidRPr="0061488A">
        <w:rPr>
          <w:sz w:val="22"/>
          <w:szCs w:val="22"/>
        </w:rPr>
        <w:t xml:space="preserve"> and relevant platforms</w:t>
      </w:r>
      <w:r w:rsidR="00475DC5" w:rsidRPr="0061488A">
        <w:rPr>
          <w:sz w:val="22"/>
          <w:szCs w:val="22"/>
        </w:rPr>
        <w:t xml:space="preserve">, c) Develop initial phase of governance structure for potential financing mechanism scheme for REDD+ </w:t>
      </w:r>
      <w:r w:rsidRPr="0061488A">
        <w:rPr>
          <w:sz w:val="22"/>
          <w:szCs w:val="22"/>
        </w:rPr>
        <w:t xml:space="preserve">and </w:t>
      </w:r>
      <w:r w:rsidR="00475DC5" w:rsidRPr="0061488A">
        <w:rPr>
          <w:sz w:val="22"/>
          <w:szCs w:val="22"/>
        </w:rPr>
        <w:t xml:space="preserve">green investment and d) Regulatory framework in supporting the SRAP REDD+ </w:t>
      </w:r>
      <w:r w:rsidR="00D02B71" w:rsidRPr="0061488A">
        <w:rPr>
          <w:sz w:val="22"/>
          <w:szCs w:val="22"/>
        </w:rPr>
        <w:t xml:space="preserve">and GGP </w:t>
      </w:r>
      <w:r w:rsidR="00475DC5" w:rsidRPr="0061488A">
        <w:rPr>
          <w:sz w:val="22"/>
          <w:szCs w:val="22"/>
        </w:rPr>
        <w:t xml:space="preserve">implementation. We propose 11 main activities to be implemented under 18 months of project duration. YIDH, West Kalimantan Provincial Government and SRAP REDD+ task force are the main project implementers of this project with support from </w:t>
      </w:r>
      <w:r w:rsidR="00D02B71" w:rsidRPr="0061488A">
        <w:rPr>
          <w:sz w:val="22"/>
          <w:szCs w:val="22"/>
        </w:rPr>
        <w:t xml:space="preserve">key </w:t>
      </w:r>
      <w:r w:rsidR="00475DC5" w:rsidRPr="0061488A">
        <w:rPr>
          <w:sz w:val="22"/>
          <w:szCs w:val="22"/>
        </w:rPr>
        <w:t>expert</w:t>
      </w:r>
      <w:r w:rsidR="00D02B71" w:rsidRPr="0061488A">
        <w:rPr>
          <w:sz w:val="22"/>
          <w:szCs w:val="22"/>
        </w:rPr>
        <w:t>s</w:t>
      </w:r>
      <w:r w:rsidR="00475DC5" w:rsidRPr="0061488A">
        <w:rPr>
          <w:sz w:val="22"/>
          <w:szCs w:val="22"/>
        </w:rPr>
        <w:t xml:space="preserve"> and local partner</w:t>
      </w:r>
      <w:r w:rsidR="00D02B71" w:rsidRPr="0061488A">
        <w:rPr>
          <w:sz w:val="22"/>
          <w:szCs w:val="22"/>
        </w:rPr>
        <w:t>s</w:t>
      </w:r>
      <w:r w:rsidR="00475DC5" w:rsidRPr="0061488A">
        <w:rPr>
          <w:sz w:val="22"/>
          <w:szCs w:val="22"/>
        </w:rPr>
        <w:t xml:space="preserve"> such as Sampan Kalimantan and several companies</w:t>
      </w:r>
      <w:r w:rsidR="00A9598F" w:rsidRPr="0061488A">
        <w:rPr>
          <w:sz w:val="22"/>
          <w:szCs w:val="22"/>
        </w:rPr>
        <w:t xml:space="preserve"> that currently have engagement with YIDH</w:t>
      </w:r>
      <w:r w:rsidR="00475DC5" w:rsidRPr="0061488A">
        <w:rPr>
          <w:sz w:val="22"/>
          <w:szCs w:val="22"/>
        </w:rPr>
        <w:t xml:space="preserve">. </w:t>
      </w:r>
    </w:p>
    <w:p w14:paraId="18B15716" w14:textId="77777777" w:rsidR="00475DC5" w:rsidRPr="00C80F34" w:rsidRDefault="00736CD2" w:rsidP="00475DC5">
      <w:pPr>
        <w:keepNext/>
      </w:pPr>
      <w:r>
        <w:rPr>
          <w:noProof/>
        </w:rPr>
        <w:object w:dxaOrig="16701" w:dyaOrig="6000" w14:anchorId="29420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2.85pt;height:203.4pt;mso-width-percent:0;mso-height-percent:0;mso-width-percent:0;mso-height-percent:0" o:ole="">
            <v:imagedata r:id="rId16" o:title=""/>
          </v:shape>
          <o:OLEObject Type="Embed" ProgID="Visio.Drawing.15" ShapeID="_x0000_i1025" DrawAspect="Content" ObjectID="_1603204826" r:id="rId17"/>
        </w:object>
      </w:r>
    </w:p>
    <w:p w14:paraId="6666AD20" w14:textId="77777777" w:rsidR="00475DC5" w:rsidRPr="0061488A" w:rsidRDefault="00475DC5" w:rsidP="00475DC5">
      <w:pPr>
        <w:pStyle w:val="Caption"/>
        <w:jc w:val="center"/>
        <w:rPr>
          <w:rFonts w:ascii="Times New Roman" w:hAnsi="Times New Roman" w:cs="Times New Roman"/>
          <w:b/>
        </w:rPr>
      </w:pPr>
      <w:r w:rsidRPr="0061488A">
        <w:rPr>
          <w:rFonts w:ascii="Times New Roman" w:hAnsi="Times New Roman" w:cs="Times New Roman"/>
          <w:b/>
        </w:rPr>
        <w:t xml:space="preserve">Figure </w:t>
      </w:r>
      <w:r w:rsidR="00DC5E83" w:rsidRPr="0061488A">
        <w:rPr>
          <w:rFonts w:ascii="Times New Roman" w:hAnsi="Times New Roman" w:cs="Times New Roman"/>
          <w:b/>
          <w:noProof/>
        </w:rPr>
        <w:fldChar w:fldCharType="begin"/>
      </w:r>
      <w:r w:rsidR="00DC5E83" w:rsidRPr="0061488A">
        <w:rPr>
          <w:rFonts w:ascii="Times New Roman" w:hAnsi="Times New Roman" w:cs="Times New Roman"/>
          <w:b/>
          <w:noProof/>
        </w:rPr>
        <w:instrText xml:space="preserve"> SEQ Figure \* ARABIC </w:instrText>
      </w:r>
      <w:r w:rsidR="00DC5E83" w:rsidRPr="0061488A">
        <w:rPr>
          <w:rFonts w:ascii="Times New Roman" w:hAnsi="Times New Roman" w:cs="Times New Roman"/>
          <w:b/>
          <w:noProof/>
        </w:rPr>
        <w:fldChar w:fldCharType="separate"/>
      </w:r>
      <w:r w:rsidRPr="0061488A">
        <w:rPr>
          <w:rFonts w:ascii="Times New Roman" w:hAnsi="Times New Roman" w:cs="Times New Roman"/>
          <w:b/>
          <w:noProof/>
        </w:rPr>
        <w:t>1</w:t>
      </w:r>
      <w:r w:rsidR="00DC5E83" w:rsidRPr="0061488A">
        <w:rPr>
          <w:rFonts w:ascii="Times New Roman" w:hAnsi="Times New Roman" w:cs="Times New Roman"/>
          <w:b/>
          <w:noProof/>
        </w:rPr>
        <w:fldChar w:fldCharType="end"/>
      </w:r>
      <w:r w:rsidRPr="0061488A">
        <w:rPr>
          <w:rFonts w:ascii="Times New Roman" w:hAnsi="Times New Roman" w:cs="Times New Roman"/>
          <w:b/>
        </w:rPr>
        <w:t>. Project’s Theory of Change</w:t>
      </w:r>
    </w:p>
    <w:p w14:paraId="0C0C7F11" w14:textId="77777777" w:rsidR="007471D8" w:rsidRPr="00C80F34" w:rsidRDefault="007471D8" w:rsidP="00E942E9">
      <w:pPr>
        <w:rPr>
          <w:b/>
        </w:rPr>
        <w:sectPr w:rsidR="007471D8" w:rsidRPr="00C80F34" w:rsidSect="00AE4A26">
          <w:type w:val="continuous"/>
          <w:pgSz w:w="11907" w:h="16839" w:code="9"/>
          <w:pgMar w:top="720" w:right="720" w:bottom="720" w:left="720" w:header="1134" w:footer="601" w:gutter="0"/>
          <w:cols w:space="708"/>
          <w:docGrid w:linePitch="360"/>
        </w:sectPr>
      </w:pPr>
    </w:p>
    <w:p w14:paraId="56736BDE" w14:textId="77777777" w:rsidR="00774634" w:rsidRPr="00C80F34" w:rsidRDefault="00774634" w:rsidP="00774634">
      <w:pPr>
        <w:pStyle w:val="ListParagraph"/>
        <w:numPr>
          <w:ilvl w:val="1"/>
          <w:numId w:val="1"/>
        </w:numPr>
        <w:spacing w:after="0" w:line="240" w:lineRule="auto"/>
        <w:ind w:left="567" w:hanging="567"/>
        <w:contextualSpacing w:val="0"/>
        <w:rPr>
          <w:rFonts w:ascii="Times New Roman" w:hAnsi="Times New Roman" w:cs="Times New Roman"/>
          <w:b/>
        </w:rPr>
      </w:pPr>
      <w:r w:rsidRPr="00C80F34">
        <w:rPr>
          <w:rFonts w:ascii="Times New Roman" w:hAnsi="Times New Roman" w:cs="Times New Roman"/>
          <w:b/>
        </w:rPr>
        <w:lastRenderedPageBreak/>
        <w:t>Objective and Expected Results</w:t>
      </w:r>
    </w:p>
    <w:p w14:paraId="24FE026F" w14:textId="52FCF943" w:rsidR="00492570" w:rsidRPr="0061488A" w:rsidRDefault="00492570" w:rsidP="00492570">
      <w:pPr>
        <w:spacing w:after="120"/>
        <w:rPr>
          <w:b/>
          <w:sz w:val="22"/>
          <w:szCs w:val="22"/>
        </w:rPr>
      </w:pPr>
      <w:r w:rsidRPr="0061488A">
        <w:rPr>
          <w:b/>
          <w:sz w:val="22"/>
          <w:szCs w:val="22"/>
        </w:rPr>
        <w:t xml:space="preserve">Objective #1: </w:t>
      </w:r>
      <w:r w:rsidR="0012320B" w:rsidRPr="0061488A">
        <w:rPr>
          <w:b/>
          <w:sz w:val="22"/>
          <w:szCs w:val="22"/>
        </w:rPr>
        <w:t>Performance analysis on SRAP REDD+ 2012-201</w:t>
      </w:r>
      <w:r w:rsidR="0007145B" w:rsidRPr="0061488A">
        <w:rPr>
          <w:b/>
          <w:sz w:val="22"/>
          <w:szCs w:val="22"/>
        </w:rPr>
        <w:t>8</w:t>
      </w:r>
      <w:r w:rsidR="0012320B" w:rsidRPr="0061488A">
        <w:rPr>
          <w:b/>
          <w:sz w:val="22"/>
          <w:szCs w:val="22"/>
        </w:rPr>
        <w:t xml:space="preserve"> </w:t>
      </w:r>
      <w:r w:rsidR="0095510F" w:rsidRPr="0061488A">
        <w:rPr>
          <w:b/>
          <w:sz w:val="22"/>
          <w:szCs w:val="22"/>
        </w:rPr>
        <w:t xml:space="preserve">and GGP </w:t>
      </w:r>
      <w:r w:rsidR="0012320B" w:rsidRPr="0061488A">
        <w:rPr>
          <w:b/>
          <w:sz w:val="22"/>
          <w:szCs w:val="22"/>
        </w:rPr>
        <w:t>implementation towards carbon reduction target</w:t>
      </w:r>
    </w:p>
    <w:tbl>
      <w:tblPr>
        <w:tblStyle w:val="TableGrid"/>
        <w:tblW w:w="15444" w:type="dxa"/>
        <w:tblLayout w:type="fixed"/>
        <w:tblLook w:val="04A0" w:firstRow="1" w:lastRow="0" w:firstColumn="1" w:lastColumn="0" w:noHBand="0" w:noVBand="1"/>
      </w:tblPr>
      <w:tblGrid>
        <w:gridCol w:w="2405"/>
        <w:gridCol w:w="3260"/>
        <w:gridCol w:w="1723"/>
        <w:gridCol w:w="829"/>
        <w:gridCol w:w="688"/>
        <w:gridCol w:w="852"/>
        <w:gridCol w:w="3421"/>
        <w:gridCol w:w="2266"/>
      </w:tblGrid>
      <w:tr w:rsidR="00492570" w:rsidRPr="00C80F34" w14:paraId="0B10E6B3" w14:textId="77777777" w:rsidTr="00492570">
        <w:tc>
          <w:tcPr>
            <w:tcW w:w="2405" w:type="dxa"/>
            <w:vMerge w:val="restart"/>
            <w:vAlign w:val="center"/>
          </w:tcPr>
          <w:p w14:paraId="3FB02D8C" w14:textId="77777777" w:rsidR="00492570" w:rsidRPr="00C80F34" w:rsidRDefault="00492570" w:rsidP="00A57DC2">
            <w:pPr>
              <w:jc w:val="center"/>
              <w:rPr>
                <w:b/>
                <w:sz w:val="21"/>
                <w:szCs w:val="21"/>
              </w:rPr>
            </w:pPr>
            <w:r w:rsidRPr="00C80F34">
              <w:rPr>
                <w:b/>
                <w:sz w:val="21"/>
                <w:szCs w:val="21"/>
              </w:rPr>
              <w:t>Expected Outputs</w:t>
            </w:r>
          </w:p>
        </w:tc>
        <w:tc>
          <w:tcPr>
            <w:tcW w:w="3260" w:type="dxa"/>
            <w:vMerge w:val="restart"/>
            <w:vAlign w:val="center"/>
          </w:tcPr>
          <w:p w14:paraId="64D029CD" w14:textId="77777777" w:rsidR="00492570" w:rsidRPr="00C80F34" w:rsidRDefault="00492570" w:rsidP="00A57DC2">
            <w:pPr>
              <w:jc w:val="center"/>
              <w:rPr>
                <w:b/>
                <w:sz w:val="21"/>
                <w:szCs w:val="21"/>
              </w:rPr>
            </w:pPr>
            <w:r w:rsidRPr="00C80F34">
              <w:rPr>
                <w:b/>
                <w:sz w:val="21"/>
                <w:szCs w:val="21"/>
              </w:rPr>
              <w:t>Output Indicators</w:t>
            </w:r>
          </w:p>
        </w:tc>
        <w:tc>
          <w:tcPr>
            <w:tcW w:w="1723" w:type="dxa"/>
            <w:vMerge w:val="restart"/>
            <w:vAlign w:val="center"/>
          </w:tcPr>
          <w:p w14:paraId="20E0846D" w14:textId="77777777" w:rsidR="00492570" w:rsidRPr="00C80F34" w:rsidRDefault="00492570" w:rsidP="00A57DC2">
            <w:pPr>
              <w:jc w:val="center"/>
              <w:rPr>
                <w:b/>
                <w:sz w:val="21"/>
                <w:szCs w:val="21"/>
              </w:rPr>
            </w:pPr>
            <w:r w:rsidRPr="00C80F34">
              <w:rPr>
                <w:b/>
                <w:sz w:val="21"/>
                <w:szCs w:val="21"/>
              </w:rPr>
              <w:t>Data Source</w:t>
            </w:r>
          </w:p>
        </w:tc>
        <w:tc>
          <w:tcPr>
            <w:tcW w:w="1517" w:type="dxa"/>
            <w:gridSpan w:val="2"/>
            <w:vAlign w:val="center"/>
          </w:tcPr>
          <w:p w14:paraId="6045131A" w14:textId="77777777" w:rsidR="00492570" w:rsidRPr="00C80F34" w:rsidRDefault="00492570" w:rsidP="00A57DC2">
            <w:pPr>
              <w:jc w:val="center"/>
              <w:rPr>
                <w:b/>
                <w:sz w:val="21"/>
                <w:szCs w:val="21"/>
              </w:rPr>
            </w:pPr>
            <w:r w:rsidRPr="00C80F34">
              <w:rPr>
                <w:b/>
                <w:sz w:val="21"/>
                <w:szCs w:val="21"/>
              </w:rPr>
              <w:t>Baseline</w:t>
            </w:r>
          </w:p>
        </w:tc>
        <w:tc>
          <w:tcPr>
            <w:tcW w:w="852" w:type="dxa"/>
            <w:vMerge w:val="restart"/>
            <w:vAlign w:val="center"/>
          </w:tcPr>
          <w:p w14:paraId="54FAAD8D" w14:textId="77777777" w:rsidR="00492570" w:rsidRPr="00C80F34" w:rsidRDefault="00492570" w:rsidP="00A57DC2">
            <w:pPr>
              <w:jc w:val="center"/>
              <w:rPr>
                <w:b/>
                <w:sz w:val="21"/>
                <w:szCs w:val="21"/>
              </w:rPr>
            </w:pPr>
            <w:r w:rsidRPr="00C80F34">
              <w:rPr>
                <w:b/>
                <w:sz w:val="21"/>
                <w:szCs w:val="21"/>
              </w:rPr>
              <w:t>Target</w:t>
            </w:r>
          </w:p>
        </w:tc>
        <w:tc>
          <w:tcPr>
            <w:tcW w:w="3421" w:type="dxa"/>
            <w:vMerge w:val="restart"/>
            <w:vAlign w:val="center"/>
          </w:tcPr>
          <w:p w14:paraId="2FE0E3A6" w14:textId="77777777" w:rsidR="00492570" w:rsidRPr="00C80F34" w:rsidRDefault="00492570" w:rsidP="00A57DC2">
            <w:pPr>
              <w:jc w:val="center"/>
              <w:rPr>
                <w:b/>
                <w:sz w:val="21"/>
                <w:szCs w:val="21"/>
              </w:rPr>
            </w:pPr>
            <w:r w:rsidRPr="00C80F34">
              <w:rPr>
                <w:b/>
                <w:sz w:val="21"/>
                <w:szCs w:val="21"/>
              </w:rPr>
              <w:t>Data Collection Method &amp; Risk</w:t>
            </w:r>
          </w:p>
        </w:tc>
        <w:tc>
          <w:tcPr>
            <w:tcW w:w="2266" w:type="dxa"/>
            <w:vMerge w:val="restart"/>
            <w:vAlign w:val="center"/>
          </w:tcPr>
          <w:p w14:paraId="618A2095" w14:textId="77777777" w:rsidR="00492570" w:rsidRPr="00C80F34" w:rsidRDefault="00492570" w:rsidP="00A57DC2">
            <w:pPr>
              <w:jc w:val="center"/>
              <w:rPr>
                <w:b/>
                <w:sz w:val="21"/>
                <w:szCs w:val="21"/>
              </w:rPr>
            </w:pPr>
            <w:r w:rsidRPr="00C80F34">
              <w:rPr>
                <w:b/>
                <w:sz w:val="21"/>
                <w:szCs w:val="21"/>
              </w:rPr>
              <w:t>Key Assumption</w:t>
            </w:r>
          </w:p>
        </w:tc>
      </w:tr>
      <w:tr w:rsidR="00492570" w:rsidRPr="00C80F34" w14:paraId="549BBBA7" w14:textId="77777777" w:rsidTr="00492570">
        <w:tc>
          <w:tcPr>
            <w:tcW w:w="2405" w:type="dxa"/>
            <w:vMerge/>
          </w:tcPr>
          <w:p w14:paraId="226F0A17" w14:textId="77777777" w:rsidR="00492570" w:rsidRPr="00C80F34" w:rsidRDefault="00492570" w:rsidP="00A57DC2">
            <w:pPr>
              <w:rPr>
                <w:sz w:val="21"/>
                <w:szCs w:val="21"/>
              </w:rPr>
            </w:pPr>
          </w:p>
        </w:tc>
        <w:tc>
          <w:tcPr>
            <w:tcW w:w="3260" w:type="dxa"/>
            <w:vMerge/>
          </w:tcPr>
          <w:p w14:paraId="18E2DC84" w14:textId="77777777" w:rsidR="00492570" w:rsidRPr="00C80F34" w:rsidRDefault="00492570" w:rsidP="00A57DC2">
            <w:pPr>
              <w:rPr>
                <w:b/>
                <w:sz w:val="21"/>
                <w:szCs w:val="21"/>
              </w:rPr>
            </w:pPr>
          </w:p>
        </w:tc>
        <w:tc>
          <w:tcPr>
            <w:tcW w:w="1723" w:type="dxa"/>
            <w:vMerge/>
          </w:tcPr>
          <w:p w14:paraId="5232645B" w14:textId="77777777" w:rsidR="00492570" w:rsidRPr="00C80F34" w:rsidRDefault="00492570" w:rsidP="00A57DC2">
            <w:pPr>
              <w:rPr>
                <w:b/>
                <w:sz w:val="21"/>
                <w:szCs w:val="21"/>
              </w:rPr>
            </w:pPr>
          </w:p>
        </w:tc>
        <w:tc>
          <w:tcPr>
            <w:tcW w:w="829" w:type="dxa"/>
          </w:tcPr>
          <w:p w14:paraId="7240DDEF" w14:textId="77777777" w:rsidR="00492570" w:rsidRPr="00C80F34" w:rsidRDefault="00492570" w:rsidP="00A57DC2">
            <w:pPr>
              <w:jc w:val="center"/>
              <w:rPr>
                <w:b/>
                <w:sz w:val="21"/>
                <w:szCs w:val="21"/>
              </w:rPr>
            </w:pPr>
            <w:r w:rsidRPr="00C80F34">
              <w:rPr>
                <w:b/>
                <w:sz w:val="21"/>
                <w:szCs w:val="21"/>
              </w:rPr>
              <w:t>Value</w:t>
            </w:r>
          </w:p>
        </w:tc>
        <w:tc>
          <w:tcPr>
            <w:tcW w:w="688" w:type="dxa"/>
          </w:tcPr>
          <w:p w14:paraId="3D8F02B9" w14:textId="77777777" w:rsidR="00492570" w:rsidRPr="00C80F34" w:rsidRDefault="00492570" w:rsidP="00A57DC2">
            <w:pPr>
              <w:jc w:val="center"/>
              <w:rPr>
                <w:b/>
                <w:sz w:val="21"/>
                <w:szCs w:val="21"/>
              </w:rPr>
            </w:pPr>
            <w:r w:rsidRPr="00C80F34">
              <w:rPr>
                <w:b/>
                <w:sz w:val="21"/>
                <w:szCs w:val="21"/>
              </w:rPr>
              <w:t>Year</w:t>
            </w:r>
          </w:p>
        </w:tc>
        <w:tc>
          <w:tcPr>
            <w:tcW w:w="852" w:type="dxa"/>
            <w:vMerge/>
          </w:tcPr>
          <w:p w14:paraId="32685870" w14:textId="77777777" w:rsidR="00492570" w:rsidRPr="00C80F34" w:rsidRDefault="00492570" w:rsidP="00A57DC2">
            <w:pPr>
              <w:rPr>
                <w:b/>
                <w:sz w:val="21"/>
                <w:szCs w:val="21"/>
              </w:rPr>
            </w:pPr>
          </w:p>
        </w:tc>
        <w:tc>
          <w:tcPr>
            <w:tcW w:w="3421" w:type="dxa"/>
            <w:vMerge/>
          </w:tcPr>
          <w:p w14:paraId="6815835F" w14:textId="77777777" w:rsidR="00492570" w:rsidRPr="00C80F34" w:rsidRDefault="00492570" w:rsidP="00A57DC2">
            <w:pPr>
              <w:rPr>
                <w:b/>
                <w:sz w:val="21"/>
                <w:szCs w:val="21"/>
              </w:rPr>
            </w:pPr>
          </w:p>
        </w:tc>
        <w:tc>
          <w:tcPr>
            <w:tcW w:w="2266" w:type="dxa"/>
            <w:vMerge/>
          </w:tcPr>
          <w:p w14:paraId="1C5DC6AE" w14:textId="77777777" w:rsidR="00492570" w:rsidRPr="00C80F34" w:rsidRDefault="00492570" w:rsidP="00A57DC2">
            <w:pPr>
              <w:rPr>
                <w:b/>
                <w:sz w:val="21"/>
                <w:szCs w:val="21"/>
              </w:rPr>
            </w:pPr>
          </w:p>
        </w:tc>
      </w:tr>
      <w:tr w:rsidR="00492570" w:rsidRPr="00C80F34" w14:paraId="3C2C6CB9" w14:textId="77777777" w:rsidTr="00492570">
        <w:tc>
          <w:tcPr>
            <w:tcW w:w="2405" w:type="dxa"/>
          </w:tcPr>
          <w:p w14:paraId="757AE994" w14:textId="77777777" w:rsidR="001B0CE7" w:rsidRPr="00C80F34" w:rsidRDefault="001B0CE7" w:rsidP="00F64D07">
            <w:pPr>
              <w:rPr>
                <w:sz w:val="21"/>
                <w:szCs w:val="21"/>
              </w:rPr>
            </w:pPr>
            <w:r w:rsidRPr="00C80F34">
              <w:rPr>
                <w:sz w:val="21"/>
                <w:szCs w:val="21"/>
              </w:rPr>
              <w:t>REDD+ performance in emission reduction evaluated</w:t>
            </w:r>
            <w:r w:rsidR="00E942E9" w:rsidRPr="00C80F34">
              <w:rPr>
                <w:sz w:val="21"/>
                <w:szCs w:val="21"/>
              </w:rPr>
              <w:t xml:space="preserve"> for period 2012-2018 </w:t>
            </w:r>
          </w:p>
          <w:p w14:paraId="075FD2E6" w14:textId="77777777" w:rsidR="00492570" w:rsidRPr="00C80F34" w:rsidRDefault="00492570" w:rsidP="00F64D07">
            <w:pPr>
              <w:rPr>
                <w:sz w:val="21"/>
                <w:szCs w:val="21"/>
              </w:rPr>
            </w:pPr>
          </w:p>
        </w:tc>
        <w:tc>
          <w:tcPr>
            <w:tcW w:w="3260" w:type="dxa"/>
          </w:tcPr>
          <w:p w14:paraId="022A660D" w14:textId="4DF35E0C" w:rsidR="00492570" w:rsidRPr="00C80F34" w:rsidRDefault="001B0CE7" w:rsidP="001B0CE7">
            <w:pPr>
              <w:rPr>
                <w:sz w:val="21"/>
                <w:szCs w:val="21"/>
              </w:rPr>
            </w:pPr>
            <w:r w:rsidRPr="00C80F34">
              <w:rPr>
                <w:sz w:val="21"/>
                <w:szCs w:val="21"/>
              </w:rPr>
              <w:t>A detail analysis and result on REDD+ performance</w:t>
            </w:r>
            <w:r w:rsidR="00492570" w:rsidRPr="00C80F34">
              <w:rPr>
                <w:sz w:val="21"/>
                <w:szCs w:val="21"/>
              </w:rPr>
              <w:t xml:space="preserve"> (Inc. effectiveness of REDD+ task force governance, activity and financial barriers, carbon reduction, etc.)</w:t>
            </w:r>
            <w:r w:rsidR="00D3380C" w:rsidRPr="00C80F34">
              <w:rPr>
                <w:sz w:val="21"/>
                <w:szCs w:val="21"/>
              </w:rPr>
              <w:t xml:space="preserve"> developed</w:t>
            </w:r>
          </w:p>
        </w:tc>
        <w:tc>
          <w:tcPr>
            <w:tcW w:w="1723" w:type="dxa"/>
          </w:tcPr>
          <w:p w14:paraId="2F999F72" w14:textId="6807E263" w:rsidR="00492570" w:rsidRPr="00C80F34" w:rsidRDefault="00492570" w:rsidP="00492570">
            <w:pPr>
              <w:rPr>
                <w:sz w:val="21"/>
                <w:szCs w:val="21"/>
              </w:rPr>
            </w:pPr>
            <w:r w:rsidRPr="00C80F34">
              <w:rPr>
                <w:sz w:val="21"/>
                <w:szCs w:val="21"/>
              </w:rPr>
              <w:t>SRAP</w:t>
            </w:r>
            <w:r w:rsidR="00424784" w:rsidRPr="00C80F34">
              <w:rPr>
                <w:sz w:val="21"/>
                <w:szCs w:val="21"/>
                <w:lang w:val="id-ID"/>
              </w:rPr>
              <w:t xml:space="preserve"> REDD+</w:t>
            </w:r>
            <w:r w:rsidRPr="00C80F34">
              <w:rPr>
                <w:sz w:val="21"/>
                <w:szCs w:val="21"/>
              </w:rPr>
              <w:t xml:space="preserve">, FREL, </w:t>
            </w:r>
            <w:r w:rsidR="0095510F" w:rsidRPr="00C80F34">
              <w:rPr>
                <w:sz w:val="21"/>
                <w:szCs w:val="21"/>
              </w:rPr>
              <w:t xml:space="preserve">GGP </w:t>
            </w:r>
            <w:r w:rsidRPr="00C80F34">
              <w:rPr>
                <w:sz w:val="21"/>
                <w:szCs w:val="21"/>
              </w:rPr>
              <w:t>and study result</w:t>
            </w:r>
          </w:p>
        </w:tc>
        <w:tc>
          <w:tcPr>
            <w:tcW w:w="829" w:type="dxa"/>
          </w:tcPr>
          <w:p w14:paraId="33869E07" w14:textId="77777777" w:rsidR="00492570" w:rsidRPr="00C80F34" w:rsidRDefault="00FC1AF0" w:rsidP="00A57DC2">
            <w:pPr>
              <w:jc w:val="center"/>
              <w:rPr>
                <w:sz w:val="21"/>
                <w:szCs w:val="21"/>
              </w:rPr>
            </w:pPr>
            <w:r w:rsidRPr="00C80F34">
              <w:rPr>
                <w:sz w:val="21"/>
                <w:szCs w:val="21"/>
              </w:rPr>
              <w:t>-</w:t>
            </w:r>
          </w:p>
        </w:tc>
        <w:tc>
          <w:tcPr>
            <w:tcW w:w="688" w:type="dxa"/>
          </w:tcPr>
          <w:p w14:paraId="4E693335" w14:textId="77777777" w:rsidR="00492570" w:rsidRPr="00C80F34" w:rsidRDefault="00FC1AF0" w:rsidP="00FC1AF0">
            <w:pPr>
              <w:jc w:val="center"/>
              <w:rPr>
                <w:sz w:val="21"/>
                <w:szCs w:val="21"/>
              </w:rPr>
            </w:pPr>
            <w:r w:rsidRPr="00C80F34">
              <w:rPr>
                <w:sz w:val="21"/>
                <w:szCs w:val="21"/>
              </w:rPr>
              <w:t>-</w:t>
            </w:r>
          </w:p>
        </w:tc>
        <w:tc>
          <w:tcPr>
            <w:tcW w:w="852" w:type="dxa"/>
          </w:tcPr>
          <w:p w14:paraId="34DE48BA" w14:textId="77777777" w:rsidR="00492570" w:rsidRPr="00C80F34" w:rsidRDefault="00FC1AF0" w:rsidP="00FC1AF0">
            <w:pPr>
              <w:jc w:val="center"/>
              <w:rPr>
                <w:sz w:val="21"/>
                <w:szCs w:val="21"/>
              </w:rPr>
            </w:pPr>
            <w:r w:rsidRPr="00C80F34">
              <w:rPr>
                <w:sz w:val="21"/>
                <w:szCs w:val="21"/>
              </w:rPr>
              <w:t>2019</w:t>
            </w:r>
          </w:p>
        </w:tc>
        <w:tc>
          <w:tcPr>
            <w:tcW w:w="3421" w:type="dxa"/>
          </w:tcPr>
          <w:p w14:paraId="4E98E48E" w14:textId="77777777" w:rsidR="00492570" w:rsidRPr="00C80F34" w:rsidRDefault="00492570" w:rsidP="00492570">
            <w:pPr>
              <w:ind w:left="34"/>
              <w:rPr>
                <w:i/>
                <w:sz w:val="21"/>
                <w:szCs w:val="21"/>
              </w:rPr>
            </w:pPr>
            <w:r w:rsidRPr="00C80F34">
              <w:rPr>
                <w:b/>
                <w:i/>
                <w:sz w:val="21"/>
                <w:szCs w:val="21"/>
              </w:rPr>
              <w:t xml:space="preserve">Data Collection Method: </w:t>
            </w:r>
            <w:r w:rsidRPr="00C80F34">
              <w:rPr>
                <w:sz w:val="21"/>
                <w:szCs w:val="21"/>
              </w:rPr>
              <w:t xml:space="preserve">Desk study, FGD, GIS analysis and interview. </w:t>
            </w:r>
            <w:r w:rsidRPr="00C80F34">
              <w:rPr>
                <w:b/>
                <w:i/>
                <w:sz w:val="21"/>
                <w:szCs w:val="21"/>
              </w:rPr>
              <w:t xml:space="preserve">Risk: </w:t>
            </w:r>
            <w:r w:rsidRPr="00C80F34">
              <w:rPr>
                <w:sz w:val="21"/>
                <w:szCs w:val="21"/>
              </w:rPr>
              <w:t>insufficient data collected</w:t>
            </w:r>
          </w:p>
        </w:tc>
        <w:tc>
          <w:tcPr>
            <w:tcW w:w="2266" w:type="dxa"/>
          </w:tcPr>
          <w:p w14:paraId="5A850562" w14:textId="49797413" w:rsidR="00492570" w:rsidRPr="00C80F34" w:rsidRDefault="00492570" w:rsidP="00492570">
            <w:pPr>
              <w:rPr>
                <w:sz w:val="21"/>
                <w:szCs w:val="21"/>
              </w:rPr>
            </w:pPr>
            <w:r w:rsidRPr="00C80F34">
              <w:rPr>
                <w:sz w:val="21"/>
                <w:szCs w:val="21"/>
              </w:rPr>
              <w:t xml:space="preserve">A sufficient data will provide </w:t>
            </w:r>
            <w:r w:rsidR="003753A0" w:rsidRPr="00C80F34">
              <w:rPr>
                <w:sz w:val="21"/>
                <w:szCs w:val="21"/>
              </w:rPr>
              <w:t xml:space="preserve">a </w:t>
            </w:r>
            <w:r w:rsidRPr="00C80F34">
              <w:rPr>
                <w:sz w:val="21"/>
                <w:szCs w:val="21"/>
              </w:rPr>
              <w:t xml:space="preserve">detail and precise recommendation for </w:t>
            </w:r>
            <w:r w:rsidR="003753A0" w:rsidRPr="00C80F34">
              <w:rPr>
                <w:sz w:val="21"/>
                <w:szCs w:val="21"/>
              </w:rPr>
              <w:t xml:space="preserve">SRAP </w:t>
            </w:r>
            <w:r w:rsidRPr="00C80F34">
              <w:rPr>
                <w:sz w:val="21"/>
                <w:szCs w:val="21"/>
              </w:rPr>
              <w:t>REDD+</w:t>
            </w:r>
            <w:r w:rsidR="0095510F" w:rsidRPr="00C80F34">
              <w:rPr>
                <w:sz w:val="21"/>
                <w:szCs w:val="21"/>
              </w:rPr>
              <w:t xml:space="preserve"> and GGP</w:t>
            </w:r>
            <w:r w:rsidRPr="00C80F34">
              <w:rPr>
                <w:sz w:val="21"/>
                <w:szCs w:val="21"/>
              </w:rPr>
              <w:t xml:space="preserve"> </w:t>
            </w:r>
          </w:p>
        </w:tc>
      </w:tr>
      <w:tr w:rsidR="00492570" w:rsidRPr="00C80F34" w14:paraId="7BB67BAE" w14:textId="77777777" w:rsidTr="00492570">
        <w:tc>
          <w:tcPr>
            <w:tcW w:w="2405" w:type="dxa"/>
          </w:tcPr>
          <w:p w14:paraId="0F53D32C" w14:textId="77777777" w:rsidR="00492570" w:rsidRPr="00C80F34" w:rsidRDefault="00492570" w:rsidP="00F64D07">
            <w:pPr>
              <w:rPr>
                <w:sz w:val="21"/>
                <w:szCs w:val="21"/>
              </w:rPr>
            </w:pPr>
            <w:r w:rsidRPr="00C80F34">
              <w:rPr>
                <w:sz w:val="21"/>
                <w:szCs w:val="21"/>
              </w:rPr>
              <w:t xml:space="preserve">A new target on emission reduction </w:t>
            </w:r>
            <w:r w:rsidR="00656300" w:rsidRPr="00C80F34">
              <w:rPr>
                <w:sz w:val="21"/>
                <w:szCs w:val="21"/>
              </w:rPr>
              <w:t xml:space="preserve">in achieving national carbon threshold towards </w:t>
            </w:r>
            <w:r w:rsidRPr="00C80F34">
              <w:rPr>
                <w:sz w:val="21"/>
                <w:szCs w:val="21"/>
              </w:rPr>
              <w:t>National Determined Contribution (NDC)</w:t>
            </w:r>
          </w:p>
        </w:tc>
        <w:tc>
          <w:tcPr>
            <w:tcW w:w="3260" w:type="dxa"/>
          </w:tcPr>
          <w:p w14:paraId="1DD8E9EC" w14:textId="0E711626" w:rsidR="00492570" w:rsidRPr="007117E7" w:rsidRDefault="00492570"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Governor Regulation (PERGUB) on emission reduction target</w:t>
            </w:r>
            <w:r w:rsidR="00D3380C" w:rsidRPr="007117E7">
              <w:rPr>
                <w:rFonts w:ascii="Times New Roman" w:hAnsi="Times New Roman" w:cs="Times New Roman"/>
                <w:sz w:val="21"/>
                <w:szCs w:val="21"/>
              </w:rPr>
              <w:t xml:space="preserve"> produced</w:t>
            </w:r>
          </w:p>
          <w:p w14:paraId="2592B949" w14:textId="236B56FF" w:rsidR="00611388" w:rsidRPr="007117E7" w:rsidRDefault="00611388"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A detail roadmap and milestones in achieving national carbon threshold</w:t>
            </w:r>
            <w:r w:rsidR="00D3380C" w:rsidRPr="007117E7">
              <w:rPr>
                <w:rFonts w:ascii="Times New Roman" w:hAnsi="Times New Roman" w:cs="Times New Roman"/>
                <w:sz w:val="21"/>
                <w:szCs w:val="21"/>
              </w:rPr>
              <w:t xml:space="preserve"> developed</w:t>
            </w:r>
          </w:p>
        </w:tc>
        <w:tc>
          <w:tcPr>
            <w:tcW w:w="1723" w:type="dxa"/>
          </w:tcPr>
          <w:p w14:paraId="08DAE1FE" w14:textId="77777777" w:rsidR="00492570" w:rsidRPr="00411B28" w:rsidRDefault="00492570" w:rsidP="00A57DC2">
            <w:pPr>
              <w:ind w:left="34"/>
              <w:rPr>
                <w:sz w:val="21"/>
                <w:szCs w:val="21"/>
              </w:rPr>
            </w:pPr>
            <w:r w:rsidRPr="00C80F34">
              <w:rPr>
                <w:sz w:val="21"/>
                <w:szCs w:val="21"/>
              </w:rPr>
              <w:t>FREL, national carbon threshold for West Kalimantan</w:t>
            </w:r>
          </w:p>
        </w:tc>
        <w:tc>
          <w:tcPr>
            <w:tcW w:w="829" w:type="dxa"/>
          </w:tcPr>
          <w:p w14:paraId="501C70CA" w14:textId="77777777" w:rsidR="00492570" w:rsidRPr="0090463C" w:rsidRDefault="000173EE" w:rsidP="00A57DC2">
            <w:pPr>
              <w:jc w:val="center"/>
              <w:rPr>
                <w:sz w:val="21"/>
                <w:szCs w:val="21"/>
              </w:rPr>
            </w:pPr>
            <w:r w:rsidRPr="00411B28">
              <w:rPr>
                <w:sz w:val="21"/>
                <w:szCs w:val="21"/>
              </w:rPr>
              <w:t>1</w:t>
            </w:r>
          </w:p>
        </w:tc>
        <w:tc>
          <w:tcPr>
            <w:tcW w:w="688" w:type="dxa"/>
          </w:tcPr>
          <w:p w14:paraId="6E1FD2F7" w14:textId="77777777" w:rsidR="00492570" w:rsidRPr="00C80F34" w:rsidRDefault="000173EE" w:rsidP="00A57DC2">
            <w:pPr>
              <w:jc w:val="center"/>
              <w:rPr>
                <w:sz w:val="21"/>
                <w:szCs w:val="21"/>
              </w:rPr>
            </w:pPr>
            <w:r w:rsidRPr="00C80F34">
              <w:rPr>
                <w:sz w:val="21"/>
                <w:szCs w:val="21"/>
              </w:rPr>
              <w:t>2016</w:t>
            </w:r>
          </w:p>
        </w:tc>
        <w:tc>
          <w:tcPr>
            <w:tcW w:w="852" w:type="dxa"/>
          </w:tcPr>
          <w:p w14:paraId="55ED48E9" w14:textId="77777777" w:rsidR="00492570" w:rsidRPr="00C80F34" w:rsidRDefault="00FC1AF0" w:rsidP="00A57DC2">
            <w:pPr>
              <w:jc w:val="center"/>
              <w:rPr>
                <w:sz w:val="21"/>
                <w:szCs w:val="21"/>
              </w:rPr>
            </w:pPr>
            <w:r w:rsidRPr="00C80F34">
              <w:rPr>
                <w:sz w:val="21"/>
                <w:szCs w:val="21"/>
              </w:rPr>
              <w:t>2019</w:t>
            </w:r>
          </w:p>
        </w:tc>
        <w:tc>
          <w:tcPr>
            <w:tcW w:w="3421" w:type="dxa"/>
          </w:tcPr>
          <w:p w14:paraId="0B13042A" w14:textId="77777777" w:rsidR="00492570" w:rsidRPr="00C80F34" w:rsidRDefault="00492570" w:rsidP="00492570">
            <w:pPr>
              <w:ind w:left="34"/>
              <w:rPr>
                <w:i/>
                <w:sz w:val="21"/>
                <w:szCs w:val="21"/>
              </w:rPr>
            </w:pPr>
            <w:r w:rsidRPr="00C80F34">
              <w:rPr>
                <w:b/>
                <w:i/>
                <w:sz w:val="21"/>
                <w:szCs w:val="21"/>
              </w:rPr>
              <w:t xml:space="preserve">Data Collection Method: </w:t>
            </w:r>
            <w:r w:rsidRPr="00C80F34">
              <w:rPr>
                <w:sz w:val="21"/>
                <w:szCs w:val="21"/>
              </w:rPr>
              <w:t xml:space="preserve">Desk study. </w:t>
            </w:r>
            <w:r w:rsidRPr="00C80F34">
              <w:rPr>
                <w:b/>
                <w:i/>
                <w:sz w:val="21"/>
                <w:szCs w:val="21"/>
              </w:rPr>
              <w:t xml:space="preserve">Risk: </w:t>
            </w:r>
            <w:r w:rsidRPr="00C80F34">
              <w:rPr>
                <w:sz w:val="21"/>
                <w:szCs w:val="21"/>
              </w:rPr>
              <w:t>the change of</w:t>
            </w:r>
            <w:r w:rsidR="000173EE" w:rsidRPr="00C80F34">
              <w:rPr>
                <w:sz w:val="21"/>
                <w:szCs w:val="21"/>
              </w:rPr>
              <w:t xml:space="preserve"> carbon</w:t>
            </w:r>
            <w:r w:rsidRPr="00C80F34">
              <w:rPr>
                <w:sz w:val="21"/>
                <w:szCs w:val="21"/>
              </w:rPr>
              <w:t xml:space="preserve"> target from national</w:t>
            </w:r>
          </w:p>
        </w:tc>
        <w:tc>
          <w:tcPr>
            <w:tcW w:w="2266" w:type="dxa"/>
          </w:tcPr>
          <w:p w14:paraId="739379D9" w14:textId="72026C77" w:rsidR="00492570" w:rsidRPr="00C80F34" w:rsidRDefault="00492570" w:rsidP="00A57DC2">
            <w:pPr>
              <w:rPr>
                <w:sz w:val="21"/>
                <w:szCs w:val="21"/>
              </w:rPr>
            </w:pPr>
            <w:r w:rsidRPr="00C80F34">
              <w:rPr>
                <w:sz w:val="21"/>
                <w:szCs w:val="21"/>
              </w:rPr>
              <w:t xml:space="preserve">The target will give clear path for REDD+ </w:t>
            </w:r>
            <w:r w:rsidR="0095510F" w:rsidRPr="00C80F34">
              <w:rPr>
                <w:sz w:val="21"/>
                <w:szCs w:val="21"/>
              </w:rPr>
              <w:t xml:space="preserve">and GGP </w:t>
            </w:r>
            <w:r w:rsidRPr="00C80F34">
              <w:rPr>
                <w:sz w:val="21"/>
                <w:szCs w:val="21"/>
              </w:rPr>
              <w:t>implementation</w:t>
            </w:r>
          </w:p>
        </w:tc>
      </w:tr>
    </w:tbl>
    <w:p w14:paraId="22B3BA2C" w14:textId="336CFA86" w:rsidR="00CB28C8" w:rsidRPr="0061488A" w:rsidRDefault="00CB28C8" w:rsidP="00424784">
      <w:pPr>
        <w:spacing w:before="120" w:after="120"/>
        <w:rPr>
          <w:b/>
          <w:sz w:val="22"/>
          <w:szCs w:val="22"/>
        </w:rPr>
      </w:pPr>
      <w:r w:rsidRPr="0061488A">
        <w:rPr>
          <w:b/>
          <w:sz w:val="22"/>
          <w:szCs w:val="22"/>
        </w:rPr>
        <w:t>Objective #</w:t>
      </w:r>
      <w:r w:rsidR="00492570" w:rsidRPr="0061488A">
        <w:rPr>
          <w:b/>
          <w:sz w:val="22"/>
          <w:szCs w:val="22"/>
        </w:rPr>
        <w:t>2</w:t>
      </w:r>
      <w:r w:rsidRPr="0061488A">
        <w:rPr>
          <w:b/>
          <w:sz w:val="22"/>
          <w:szCs w:val="22"/>
        </w:rPr>
        <w:t xml:space="preserve">: Strengthen the SRAP REDD+ task force </w:t>
      </w:r>
      <w:r w:rsidR="0095510F" w:rsidRPr="0061488A">
        <w:rPr>
          <w:b/>
          <w:sz w:val="22"/>
          <w:szCs w:val="22"/>
        </w:rPr>
        <w:t xml:space="preserve">and relevant platforms </w:t>
      </w:r>
      <w:r w:rsidRPr="0061488A">
        <w:rPr>
          <w:b/>
          <w:sz w:val="22"/>
          <w:szCs w:val="22"/>
        </w:rPr>
        <w:t>at sub-national level</w:t>
      </w:r>
    </w:p>
    <w:tbl>
      <w:tblPr>
        <w:tblStyle w:val="TableGrid"/>
        <w:tblW w:w="15444" w:type="dxa"/>
        <w:tblLayout w:type="fixed"/>
        <w:tblLook w:val="04A0" w:firstRow="1" w:lastRow="0" w:firstColumn="1" w:lastColumn="0" w:noHBand="0" w:noVBand="1"/>
      </w:tblPr>
      <w:tblGrid>
        <w:gridCol w:w="2972"/>
        <w:gridCol w:w="2410"/>
        <w:gridCol w:w="2006"/>
        <w:gridCol w:w="829"/>
        <w:gridCol w:w="688"/>
        <w:gridCol w:w="852"/>
        <w:gridCol w:w="2571"/>
        <w:gridCol w:w="3116"/>
      </w:tblGrid>
      <w:tr w:rsidR="007B6BD0" w:rsidRPr="00C80F34" w14:paraId="2D206854" w14:textId="77777777" w:rsidTr="005E7EB8">
        <w:tc>
          <w:tcPr>
            <w:tcW w:w="2972" w:type="dxa"/>
            <w:vMerge w:val="restart"/>
            <w:vAlign w:val="center"/>
          </w:tcPr>
          <w:p w14:paraId="63F9FC7B" w14:textId="77777777" w:rsidR="007B6BD0" w:rsidRPr="00C80F34" w:rsidRDefault="007B6BD0" w:rsidP="007471D8">
            <w:pPr>
              <w:jc w:val="center"/>
              <w:rPr>
                <w:b/>
                <w:sz w:val="21"/>
                <w:szCs w:val="21"/>
              </w:rPr>
            </w:pPr>
            <w:r w:rsidRPr="00C80F34">
              <w:rPr>
                <w:b/>
                <w:sz w:val="21"/>
                <w:szCs w:val="21"/>
              </w:rPr>
              <w:t>Expected Outputs</w:t>
            </w:r>
          </w:p>
        </w:tc>
        <w:tc>
          <w:tcPr>
            <w:tcW w:w="2410" w:type="dxa"/>
            <w:vMerge w:val="restart"/>
            <w:vAlign w:val="center"/>
          </w:tcPr>
          <w:p w14:paraId="0857D400" w14:textId="77777777" w:rsidR="007B6BD0" w:rsidRPr="00C80F34" w:rsidRDefault="007B6BD0" w:rsidP="007471D8">
            <w:pPr>
              <w:jc w:val="center"/>
              <w:rPr>
                <w:b/>
                <w:sz w:val="21"/>
                <w:szCs w:val="21"/>
              </w:rPr>
            </w:pPr>
            <w:r w:rsidRPr="00C80F34">
              <w:rPr>
                <w:b/>
                <w:sz w:val="21"/>
                <w:szCs w:val="21"/>
              </w:rPr>
              <w:t>Output Indicators</w:t>
            </w:r>
          </w:p>
        </w:tc>
        <w:tc>
          <w:tcPr>
            <w:tcW w:w="2006" w:type="dxa"/>
            <w:vMerge w:val="restart"/>
            <w:vAlign w:val="center"/>
          </w:tcPr>
          <w:p w14:paraId="2C6CCB42" w14:textId="77777777" w:rsidR="007B6BD0" w:rsidRPr="00C80F34" w:rsidRDefault="007B6BD0" w:rsidP="007471D8">
            <w:pPr>
              <w:jc w:val="center"/>
              <w:rPr>
                <w:b/>
                <w:sz w:val="21"/>
                <w:szCs w:val="21"/>
              </w:rPr>
            </w:pPr>
            <w:r w:rsidRPr="00C80F34">
              <w:rPr>
                <w:b/>
                <w:sz w:val="21"/>
                <w:szCs w:val="21"/>
              </w:rPr>
              <w:t>Data Source</w:t>
            </w:r>
          </w:p>
        </w:tc>
        <w:tc>
          <w:tcPr>
            <w:tcW w:w="1517" w:type="dxa"/>
            <w:gridSpan w:val="2"/>
            <w:vAlign w:val="center"/>
          </w:tcPr>
          <w:p w14:paraId="64BE72D9" w14:textId="77777777" w:rsidR="007B6BD0" w:rsidRPr="00C80F34" w:rsidRDefault="007B6BD0" w:rsidP="007471D8">
            <w:pPr>
              <w:jc w:val="center"/>
              <w:rPr>
                <w:b/>
                <w:sz w:val="21"/>
                <w:szCs w:val="21"/>
              </w:rPr>
            </w:pPr>
            <w:r w:rsidRPr="00C80F34">
              <w:rPr>
                <w:b/>
                <w:sz w:val="21"/>
                <w:szCs w:val="21"/>
              </w:rPr>
              <w:t>Baseline</w:t>
            </w:r>
          </w:p>
        </w:tc>
        <w:tc>
          <w:tcPr>
            <w:tcW w:w="852" w:type="dxa"/>
            <w:vMerge w:val="restart"/>
            <w:vAlign w:val="center"/>
          </w:tcPr>
          <w:p w14:paraId="7948E0CB" w14:textId="77777777" w:rsidR="007B6BD0" w:rsidRPr="00C80F34" w:rsidRDefault="007B6BD0" w:rsidP="007471D8">
            <w:pPr>
              <w:jc w:val="center"/>
              <w:rPr>
                <w:b/>
                <w:sz w:val="21"/>
                <w:szCs w:val="21"/>
              </w:rPr>
            </w:pPr>
            <w:r w:rsidRPr="00C80F34">
              <w:rPr>
                <w:b/>
                <w:sz w:val="21"/>
                <w:szCs w:val="21"/>
              </w:rPr>
              <w:t>Target</w:t>
            </w:r>
          </w:p>
        </w:tc>
        <w:tc>
          <w:tcPr>
            <w:tcW w:w="2571" w:type="dxa"/>
            <w:vMerge w:val="restart"/>
            <w:vAlign w:val="center"/>
          </w:tcPr>
          <w:p w14:paraId="7BE4D683" w14:textId="77777777" w:rsidR="007B6BD0" w:rsidRPr="00C80F34" w:rsidRDefault="007B6BD0" w:rsidP="007471D8">
            <w:pPr>
              <w:jc w:val="center"/>
              <w:rPr>
                <w:b/>
                <w:sz w:val="21"/>
                <w:szCs w:val="21"/>
              </w:rPr>
            </w:pPr>
            <w:r w:rsidRPr="00C80F34">
              <w:rPr>
                <w:b/>
                <w:sz w:val="21"/>
                <w:szCs w:val="21"/>
              </w:rPr>
              <w:t>Data Collection Method &amp; Risk</w:t>
            </w:r>
          </w:p>
        </w:tc>
        <w:tc>
          <w:tcPr>
            <w:tcW w:w="3116" w:type="dxa"/>
            <w:vMerge w:val="restart"/>
            <w:vAlign w:val="center"/>
          </w:tcPr>
          <w:p w14:paraId="150648B8" w14:textId="77777777" w:rsidR="007B6BD0" w:rsidRPr="00C80F34" w:rsidRDefault="007B6BD0" w:rsidP="007471D8">
            <w:pPr>
              <w:jc w:val="center"/>
              <w:rPr>
                <w:b/>
                <w:sz w:val="21"/>
                <w:szCs w:val="21"/>
              </w:rPr>
            </w:pPr>
            <w:r w:rsidRPr="00C80F34">
              <w:rPr>
                <w:b/>
                <w:sz w:val="21"/>
                <w:szCs w:val="21"/>
              </w:rPr>
              <w:t>Key Assumption</w:t>
            </w:r>
          </w:p>
        </w:tc>
      </w:tr>
      <w:tr w:rsidR="007B6BD0" w:rsidRPr="00C80F34" w14:paraId="00CAFCB0" w14:textId="77777777" w:rsidTr="005E7EB8">
        <w:tc>
          <w:tcPr>
            <w:tcW w:w="2972" w:type="dxa"/>
            <w:vMerge/>
          </w:tcPr>
          <w:p w14:paraId="4F4F1BCE" w14:textId="77777777" w:rsidR="007B6BD0" w:rsidRPr="00C80F34" w:rsidRDefault="007B6BD0" w:rsidP="00774634">
            <w:pPr>
              <w:rPr>
                <w:b/>
                <w:sz w:val="21"/>
                <w:szCs w:val="21"/>
              </w:rPr>
            </w:pPr>
          </w:p>
        </w:tc>
        <w:tc>
          <w:tcPr>
            <w:tcW w:w="2410" w:type="dxa"/>
            <w:vMerge/>
          </w:tcPr>
          <w:p w14:paraId="28EA9E01" w14:textId="77777777" w:rsidR="007B6BD0" w:rsidRPr="00C80F34" w:rsidRDefault="007B6BD0" w:rsidP="00774634">
            <w:pPr>
              <w:rPr>
                <w:b/>
                <w:sz w:val="21"/>
                <w:szCs w:val="21"/>
              </w:rPr>
            </w:pPr>
          </w:p>
        </w:tc>
        <w:tc>
          <w:tcPr>
            <w:tcW w:w="2006" w:type="dxa"/>
            <w:vMerge/>
          </w:tcPr>
          <w:p w14:paraId="4BBC62FB" w14:textId="77777777" w:rsidR="007B6BD0" w:rsidRPr="00C80F34" w:rsidRDefault="007B6BD0" w:rsidP="00774634">
            <w:pPr>
              <w:rPr>
                <w:b/>
                <w:sz w:val="21"/>
                <w:szCs w:val="21"/>
              </w:rPr>
            </w:pPr>
          </w:p>
        </w:tc>
        <w:tc>
          <w:tcPr>
            <w:tcW w:w="829" w:type="dxa"/>
          </w:tcPr>
          <w:p w14:paraId="152E1020" w14:textId="77777777" w:rsidR="007B6BD0" w:rsidRPr="00C80F34" w:rsidRDefault="007B6BD0" w:rsidP="00C02D95">
            <w:pPr>
              <w:jc w:val="center"/>
              <w:rPr>
                <w:b/>
                <w:sz w:val="21"/>
                <w:szCs w:val="21"/>
              </w:rPr>
            </w:pPr>
            <w:r w:rsidRPr="00C80F34">
              <w:rPr>
                <w:b/>
                <w:sz w:val="21"/>
                <w:szCs w:val="21"/>
              </w:rPr>
              <w:t>Value</w:t>
            </w:r>
          </w:p>
        </w:tc>
        <w:tc>
          <w:tcPr>
            <w:tcW w:w="688" w:type="dxa"/>
          </w:tcPr>
          <w:p w14:paraId="232D6668" w14:textId="77777777" w:rsidR="007B6BD0" w:rsidRPr="00C80F34" w:rsidRDefault="007B6BD0" w:rsidP="00C02D95">
            <w:pPr>
              <w:jc w:val="center"/>
              <w:rPr>
                <w:b/>
                <w:sz w:val="21"/>
                <w:szCs w:val="21"/>
              </w:rPr>
            </w:pPr>
            <w:r w:rsidRPr="00C80F34">
              <w:rPr>
                <w:b/>
                <w:sz w:val="21"/>
                <w:szCs w:val="21"/>
              </w:rPr>
              <w:t>Year</w:t>
            </w:r>
          </w:p>
        </w:tc>
        <w:tc>
          <w:tcPr>
            <w:tcW w:w="852" w:type="dxa"/>
            <w:vMerge/>
          </w:tcPr>
          <w:p w14:paraId="1FBE61E6" w14:textId="77777777" w:rsidR="007B6BD0" w:rsidRPr="00C80F34" w:rsidRDefault="007B6BD0" w:rsidP="00774634">
            <w:pPr>
              <w:rPr>
                <w:b/>
                <w:sz w:val="21"/>
                <w:szCs w:val="21"/>
              </w:rPr>
            </w:pPr>
          </w:p>
        </w:tc>
        <w:tc>
          <w:tcPr>
            <w:tcW w:w="2571" w:type="dxa"/>
            <w:vMerge/>
          </w:tcPr>
          <w:p w14:paraId="65BE7E48" w14:textId="77777777" w:rsidR="007B6BD0" w:rsidRPr="00C80F34" w:rsidRDefault="007B6BD0" w:rsidP="00774634">
            <w:pPr>
              <w:rPr>
                <w:b/>
                <w:sz w:val="21"/>
                <w:szCs w:val="21"/>
              </w:rPr>
            </w:pPr>
          </w:p>
        </w:tc>
        <w:tc>
          <w:tcPr>
            <w:tcW w:w="3116" w:type="dxa"/>
            <w:vMerge/>
          </w:tcPr>
          <w:p w14:paraId="57FF862B" w14:textId="77777777" w:rsidR="007B6BD0" w:rsidRPr="00C80F34" w:rsidRDefault="007B6BD0" w:rsidP="00774634">
            <w:pPr>
              <w:rPr>
                <w:b/>
                <w:sz w:val="21"/>
                <w:szCs w:val="21"/>
              </w:rPr>
            </w:pPr>
          </w:p>
        </w:tc>
      </w:tr>
      <w:tr w:rsidR="00956D31" w:rsidRPr="00C80F34" w14:paraId="1CECEF81" w14:textId="77777777" w:rsidTr="005E7EB8">
        <w:trPr>
          <w:trHeight w:val="566"/>
        </w:trPr>
        <w:tc>
          <w:tcPr>
            <w:tcW w:w="2972" w:type="dxa"/>
          </w:tcPr>
          <w:p w14:paraId="064C8FFB" w14:textId="77777777" w:rsidR="00956D31" w:rsidRPr="00C80F34" w:rsidRDefault="00956D31" w:rsidP="00956D31">
            <w:pPr>
              <w:rPr>
                <w:sz w:val="21"/>
                <w:szCs w:val="21"/>
              </w:rPr>
            </w:pPr>
            <w:r w:rsidRPr="00C80F34">
              <w:rPr>
                <w:sz w:val="21"/>
                <w:szCs w:val="21"/>
              </w:rPr>
              <w:t>Sub-national REDD+ forum developed in accelerating REDD+ implementation</w:t>
            </w:r>
          </w:p>
        </w:tc>
        <w:tc>
          <w:tcPr>
            <w:tcW w:w="2410" w:type="dxa"/>
          </w:tcPr>
          <w:p w14:paraId="423C51D2" w14:textId="430DD256" w:rsidR="00956D31" w:rsidRPr="007117E7" w:rsidRDefault="00956D31"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Governor Regulation (PERGUB) or Chief of REDD+ task force decree on REDD+ forum</w:t>
            </w:r>
            <w:r w:rsidR="00D3380C" w:rsidRPr="007117E7">
              <w:rPr>
                <w:rFonts w:ascii="Times New Roman" w:hAnsi="Times New Roman" w:cs="Times New Roman"/>
                <w:sz w:val="21"/>
                <w:szCs w:val="21"/>
              </w:rPr>
              <w:t xml:space="preserve"> produced</w:t>
            </w:r>
          </w:p>
          <w:p w14:paraId="1F1BCF1F" w14:textId="044B0AC2" w:rsidR="00956D31" w:rsidRPr="007117E7" w:rsidRDefault="00956D31"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PERGUB on SRAP REDD+ task force</w:t>
            </w:r>
            <w:r w:rsidR="00D3380C" w:rsidRPr="007117E7">
              <w:rPr>
                <w:rFonts w:ascii="Times New Roman" w:hAnsi="Times New Roman" w:cs="Times New Roman"/>
                <w:sz w:val="21"/>
                <w:szCs w:val="21"/>
              </w:rPr>
              <w:t xml:space="preserve"> produced</w:t>
            </w:r>
          </w:p>
        </w:tc>
        <w:tc>
          <w:tcPr>
            <w:tcW w:w="2006" w:type="dxa"/>
          </w:tcPr>
          <w:p w14:paraId="08E5AD16" w14:textId="77777777" w:rsidR="00956D31" w:rsidRPr="00411B28" w:rsidRDefault="00956D31" w:rsidP="00956D31">
            <w:pPr>
              <w:ind w:left="34"/>
              <w:rPr>
                <w:b/>
                <w:sz w:val="21"/>
                <w:szCs w:val="21"/>
              </w:rPr>
            </w:pPr>
            <w:r w:rsidRPr="00C80F34">
              <w:rPr>
                <w:sz w:val="21"/>
                <w:szCs w:val="21"/>
              </w:rPr>
              <w:t>Governor Regulation on REDD+ task force, SRAP REDD+ and FREL</w:t>
            </w:r>
          </w:p>
          <w:p w14:paraId="6E2DC9C8" w14:textId="77777777" w:rsidR="00956D31" w:rsidRPr="00411B28" w:rsidRDefault="00956D31" w:rsidP="00956D31">
            <w:pPr>
              <w:ind w:left="34"/>
              <w:rPr>
                <w:b/>
                <w:sz w:val="21"/>
                <w:szCs w:val="21"/>
              </w:rPr>
            </w:pPr>
          </w:p>
          <w:p w14:paraId="6DA2DE9C" w14:textId="77777777" w:rsidR="00956D31" w:rsidRPr="00C80F34" w:rsidRDefault="00956D31" w:rsidP="00956D31">
            <w:pPr>
              <w:rPr>
                <w:sz w:val="21"/>
                <w:szCs w:val="21"/>
              </w:rPr>
            </w:pPr>
          </w:p>
        </w:tc>
        <w:tc>
          <w:tcPr>
            <w:tcW w:w="829" w:type="dxa"/>
          </w:tcPr>
          <w:p w14:paraId="1C4308AD" w14:textId="77777777" w:rsidR="00956D31" w:rsidRPr="00C80F34" w:rsidRDefault="00956D31" w:rsidP="00956D31">
            <w:pPr>
              <w:jc w:val="center"/>
              <w:rPr>
                <w:sz w:val="21"/>
                <w:szCs w:val="21"/>
              </w:rPr>
            </w:pPr>
            <w:r w:rsidRPr="00C80F34">
              <w:rPr>
                <w:sz w:val="21"/>
                <w:szCs w:val="21"/>
              </w:rPr>
              <w:t>-</w:t>
            </w:r>
          </w:p>
        </w:tc>
        <w:tc>
          <w:tcPr>
            <w:tcW w:w="688" w:type="dxa"/>
          </w:tcPr>
          <w:p w14:paraId="52B08E04" w14:textId="77777777" w:rsidR="00956D31" w:rsidRPr="00C80F34" w:rsidRDefault="00956D31" w:rsidP="00956D31">
            <w:pPr>
              <w:jc w:val="center"/>
              <w:rPr>
                <w:sz w:val="21"/>
                <w:szCs w:val="21"/>
              </w:rPr>
            </w:pPr>
            <w:r w:rsidRPr="00C80F34">
              <w:rPr>
                <w:sz w:val="21"/>
                <w:szCs w:val="21"/>
              </w:rPr>
              <w:t>-</w:t>
            </w:r>
          </w:p>
        </w:tc>
        <w:tc>
          <w:tcPr>
            <w:tcW w:w="852" w:type="dxa"/>
          </w:tcPr>
          <w:p w14:paraId="5A451FFE" w14:textId="77777777" w:rsidR="00956D31" w:rsidRPr="00C80F34" w:rsidRDefault="00956D31" w:rsidP="00956D31">
            <w:pPr>
              <w:jc w:val="center"/>
              <w:rPr>
                <w:sz w:val="21"/>
                <w:szCs w:val="21"/>
              </w:rPr>
            </w:pPr>
            <w:r w:rsidRPr="00C80F34">
              <w:rPr>
                <w:sz w:val="21"/>
                <w:szCs w:val="21"/>
              </w:rPr>
              <w:t>2020</w:t>
            </w:r>
          </w:p>
        </w:tc>
        <w:tc>
          <w:tcPr>
            <w:tcW w:w="2571" w:type="dxa"/>
          </w:tcPr>
          <w:p w14:paraId="28E94CBC" w14:textId="77777777" w:rsidR="00956D31" w:rsidRPr="00C80F34" w:rsidRDefault="00956D31" w:rsidP="00956D31">
            <w:pPr>
              <w:rPr>
                <w:b/>
                <w:i/>
                <w:sz w:val="21"/>
                <w:szCs w:val="21"/>
              </w:rPr>
            </w:pPr>
            <w:r w:rsidRPr="00C80F34">
              <w:rPr>
                <w:b/>
                <w:i/>
                <w:sz w:val="21"/>
                <w:szCs w:val="21"/>
              </w:rPr>
              <w:t xml:space="preserve">Data Collection Method: </w:t>
            </w:r>
            <w:r w:rsidRPr="00C80F34">
              <w:rPr>
                <w:sz w:val="21"/>
                <w:szCs w:val="21"/>
              </w:rPr>
              <w:t xml:space="preserve">Desk study, FGD </w:t>
            </w:r>
            <w:r w:rsidRPr="00C80F34">
              <w:rPr>
                <w:sz w:val="21"/>
                <w:szCs w:val="21"/>
                <w:lang w:val="id-ID"/>
              </w:rPr>
              <w:t>and</w:t>
            </w:r>
            <w:r w:rsidRPr="00C80F34">
              <w:rPr>
                <w:sz w:val="21"/>
                <w:szCs w:val="21"/>
              </w:rPr>
              <w:t xml:space="preserve"> interview. </w:t>
            </w:r>
            <w:r w:rsidRPr="00C80F34">
              <w:rPr>
                <w:b/>
                <w:i/>
                <w:sz w:val="21"/>
                <w:szCs w:val="21"/>
              </w:rPr>
              <w:t xml:space="preserve">Risk: </w:t>
            </w:r>
            <w:r w:rsidRPr="00C80F34">
              <w:rPr>
                <w:sz w:val="21"/>
                <w:szCs w:val="21"/>
              </w:rPr>
              <w:t>insufficient data during FGD</w:t>
            </w:r>
          </w:p>
        </w:tc>
        <w:tc>
          <w:tcPr>
            <w:tcW w:w="3116" w:type="dxa"/>
          </w:tcPr>
          <w:p w14:paraId="19318CA2" w14:textId="77777777" w:rsidR="00956D31" w:rsidRPr="00C80F34" w:rsidRDefault="00956D31" w:rsidP="00956D31">
            <w:pPr>
              <w:rPr>
                <w:sz w:val="21"/>
                <w:szCs w:val="21"/>
              </w:rPr>
            </w:pPr>
            <w:r w:rsidRPr="00C80F34">
              <w:rPr>
                <w:sz w:val="21"/>
                <w:szCs w:val="21"/>
              </w:rPr>
              <w:t>A new structure will improve REDD+ implementation</w:t>
            </w:r>
          </w:p>
        </w:tc>
      </w:tr>
      <w:tr w:rsidR="00956D31" w:rsidRPr="00C80F34" w14:paraId="261D3B82" w14:textId="77777777" w:rsidTr="005E7EB8">
        <w:tc>
          <w:tcPr>
            <w:tcW w:w="2972" w:type="dxa"/>
          </w:tcPr>
          <w:p w14:paraId="48ACFABC" w14:textId="77777777" w:rsidR="00956D31" w:rsidRPr="00C80F34" w:rsidRDefault="00956D31" w:rsidP="00956D31">
            <w:pPr>
              <w:rPr>
                <w:sz w:val="21"/>
                <w:szCs w:val="21"/>
              </w:rPr>
            </w:pPr>
            <w:r w:rsidRPr="00C80F34">
              <w:rPr>
                <w:sz w:val="21"/>
                <w:szCs w:val="21"/>
              </w:rPr>
              <w:t>REDD+ task force ability to accelerate REDD+ implementation and developing green investment scheme</w:t>
            </w:r>
          </w:p>
        </w:tc>
        <w:tc>
          <w:tcPr>
            <w:tcW w:w="2410" w:type="dxa"/>
          </w:tcPr>
          <w:p w14:paraId="2F1BD417" w14:textId="0A401E43" w:rsidR="00956D31" w:rsidRPr="00C80F34" w:rsidRDefault="00956D31" w:rsidP="00956D31">
            <w:pPr>
              <w:rPr>
                <w:sz w:val="21"/>
                <w:szCs w:val="21"/>
              </w:rPr>
            </w:pPr>
            <w:r w:rsidRPr="00C80F34">
              <w:rPr>
                <w:sz w:val="21"/>
                <w:szCs w:val="21"/>
              </w:rPr>
              <w:t xml:space="preserve">50 person </w:t>
            </w:r>
            <w:r w:rsidR="00441E5D" w:rsidRPr="00C80F34">
              <w:rPr>
                <w:sz w:val="21"/>
                <w:szCs w:val="21"/>
              </w:rPr>
              <w:t xml:space="preserve">with at least 30% </w:t>
            </w:r>
            <w:r w:rsidR="000A4D19" w:rsidRPr="00C80F34">
              <w:rPr>
                <w:sz w:val="21"/>
                <w:szCs w:val="21"/>
              </w:rPr>
              <w:t xml:space="preserve">female participation </w:t>
            </w:r>
            <w:r w:rsidRPr="00C80F34">
              <w:rPr>
                <w:sz w:val="21"/>
                <w:szCs w:val="21"/>
              </w:rPr>
              <w:t>are trained on REDD+ and green investment scheme</w:t>
            </w:r>
          </w:p>
        </w:tc>
        <w:tc>
          <w:tcPr>
            <w:tcW w:w="2006" w:type="dxa"/>
          </w:tcPr>
          <w:p w14:paraId="59A44F5E" w14:textId="77777777" w:rsidR="00956D31" w:rsidRPr="00C80F34" w:rsidRDefault="00956D31" w:rsidP="00956D31">
            <w:pPr>
              <w:ind w:left="34"/>
              <w:rPr>
                <w:sz w:val="21"/>
                <w:szCs w:val="21"/>
              </w:rPr>
            </w:pPr>
            <w:r w:rsidRPr="00C80F34">
              <w:rPr>
                <w:sz w:val="21"/>
                <w:szCs w:val="21"/>
              </w:rPr>
              <w:t>National REDD+ task force and green investment scheme and requirements</w:t>
            </w:r>
          </w:p>
        </w:tc>
        <w:tc>
          <w:tcPr>
            <w:tcW w:w="829" w:type="dxa"/>
          </w:tcPr>
          <w:p w14:paraId="0F85C143" w14:textId="77777777" w:rsidR="00956D31" w:rsidRPr="00C80F34" w:rsidRDefault="00956D31" w:rsidP="00956D31">
            <w:pPr>
              <w:jc w:val="center"/>
              <w:rPr>
                <w:sz w:val="21"/>
                <w:szCs w:val="21"/>
              </w:rPr>
            </w:pPr>
            <w:r w:rsidRPr="00C80F34">
              <w:rPr>
                <w:sz w:val="21"/>
                <w:szCs w:val="21"/>
              </w:rPr>
              <w:t>2</w:t>
            </w:r>
          </w:p>
        </w:tc>
        <w:tc>
          <w:tcPr>
            <w:tcW w:w="688" w:type="dxa"/>
          </w:tcPr>
          <w:p w14:paraId="1953E156" w14:textId="77777777" w:rsidR="00956D31" w:rsidRPr="00C80F34" w:rsidRDefault="00956D31" w:rsidP="00956D31">
            <w:pPr>
              <w:jc w:val="center"/>
              <w:rPr>
                <w:sz w:val="21"/>
                <w:szCs w:val="21"/>
              </w:rPr>
            </w:pPr>
            <w:r w:rsidRPr="00C80F34">
              <w:rPr>
                <w:sz w:val="21"/>
                <w:szCs w:val="21"/>
              </w:rPr>
              <w:t>2017</w:t>
            </w:r>
          </w:p>
        </w:tc>
        <w:tc>
          <w:tcPr>
            <w:tcW w:w="852" w:type="dxa"/>
          </w:tcPr>
          <w:p w14:paraId="41F86A59" w14:textId="77777777" w:rsidR="00956D31" w:rsidRPr="00C80F34" w:rsidRDefault="00956D31" w:rsidP="00956D31">
            <w:pPr>
              <w:jc w:val="center"/>
              <w:rPr>
                <w:sz w:val="21"/>
                <w:szCs w:val="21"/>
              </w:rPr>
            </w:pPr>
            <w:r w:rsidRPr="00C80F34">
              <w:rPr>
                <w:sz w:val="21"/>
                <w:szCs w:val="21"/>
              </w:rPr>
              <w:t>2020</w:t>
            </w:r>
          </w:p>
        </w:tc>
        <w:tc>
          <w:tcPr>
            <w:tcW w:w="2571" w:type="dxa"/>
          </w:tcPr>
          <w:p w14:paraId="7214A475" w14:textId="77777777" w:rsidR="00956D31" w:rsidRPr="00C80F34" w:rsidRDefault="00956D31" w:rsidP="00956D31">
            <w:pPr>
              <w:rPr>
                <w:sz w:val="21"/>
                <w:szCs w:val="21"/>
              </w:rPr>
            </w:pPr>
            <w:r w:rsidRPr="00C80F34">
              <w:rPr>
                <w:b/>
                <w:i/>
                <w:sz w:val="21"/>
                <w:szCs w:val="21"/>
              </w:rPr>
              <w:t xml:space="preserve">Data Collection Method: </w:t>
            </w:r>
            <w:r w:rsidRPr="00C80F34">
              <w:rPr>
                <w:sz w:val="21"/>
                <w:szCs w:val="21"/>
              </w:rPr>
              <w:t xml:space="preserve">Desk study and training, </w:t>
            </w:r>
            <w:r w:rsidRPr="00C80F34">
              <w:rPr>
                <w:b/>
                <w:i/>
                <w:sz w:val="21"/>
                <w:szCs w:val="21"/>
              </w:rPr>
              <w:t xml:space="preserve">Risk: </w:t>
            </w:r>
            <w:r w:rsidRPr="00C80F34">
              <w:rPr>
                <w:sz w:val="21"/>
                <w:szCs w:val="21"/>
              </w:rPr>
              <w:t>timeframe for investment is approaching</w:t>
            </w:r>
          </w:p>
        </w:tc>
        <w:tc>
          <w:tcPr>
            <w:tcW w:w="3116" w:type="dxa"/>
          </w:tcPr>
          <w:p w14:paraId="1CF60B53" w14:textId="77777777" w:rsidR="00956D31" w:rsidRPr="00C80F34" w:rsidRDefault="00956D31" w:rsidP="00956D31">
            <w:pPr>
              <w:rPr>
                <w:sz w:val="21"/>
                <w:szCs w:val="21"/>
              </w:rPr>
            </w:pPr>
            <w:r w:rsidRPr="00C80F34">
              <w:rPr>
                <w:sz w:val="21"/>
                <w:szCs w:val="21"/>
              </w:rPr>
              <w:t>REDD+ members are have less capacity on REDD+ implementation and green business/investment development</w:t>
            </w:r>
          </w:p>
        </w:tc>
      </w:tr>
      <w:tr w:rsidR="008A6B03" w:rsidRPr="00C80F34" w14:paraId="66A00320" w14:textId="77777777" w:rsidTr="005E7EB8">
        <w:tc>
          <w:tcPr>
            <w:tcW w:w="2972" w:type="dxa"/>
          </w:tcPr>
          <w:p w14:paraId="4A80A139" w14:textId="77777777" w:rsidR="008A6B03" w:rsidRPr="00C80F34" w:rsidRDefault="008A6B03" w:rsidP="00956D31">
            <w:pPr>
              <w:rPr>
                <w:sz w:val="21"/>
                <w:szCs w:val="21"/>
              </w:rPr>
            </w:pPr>
            <w:r w:rsidRPr="00C80F34">
              <w:rPr>
                <w:sz w:val="21"/>
                <w:szCs w:val="21"/>
              </w:rPr>
              <w:t>Sub-national SIS REDD+ developed that link</w:t>
            </w:r>
            <w:r w:rsidR="00914A9A" w:rsidRPr="00C80F34">
              <w:rPr>
                <w:sz w:val="21"/>
                <w:szCs w:val="21"/>
              </w:rPr>
              <w:t>ed</w:t>
            </w:r>
            <w:r w:rsidRPr="00C80F34">
              <w:rPr>
                <w:sz w:val="21"/>
                <w:szCs w:val="21"/>
              </w:rPr>
              <w:t xml:space="preserve"> with national SIS REDD+</w:t>
            </w:r>
          </w:p>
        </w:tc>
        <w:tc>
          <w:tcPr>
            <w:tcW w:w="2410" w:type="dxa"/>
          </w:tcPr>
          <w:p w14:paraId="43B5EDFC" w14:textId="77777777" w:rsidR="008A6B03" w:rsidRPr="00C80F34" w:rsidRDefault="008A6B03" w:rsidP="00956D31">
            <w:pPr>
              <w:rPr>
                <w:sz w:val="21"/>
                <w:szCs w:val="21"/>
              </w:rPr>
            </w:pPr>
            <w:r w:rsidRPr="00C80F34">
              <w:rPr>
                <w:sz w:val="21"/>
                <w:szCs w:val="21"/>
              </w:rPr>
              <w:t>Online SIS REDD+ for sub-national as portal information on REDD+</w:t>
            </w:r>
          </w:p>
        </w:tc>
        <w:tc>
          <w:tcPr>
            <w:tcW w:w="2006" w:type="dxa"/>
          </w:tcPr>
          <w:p w14:paraId="3577B410" w14:textId="77777777" w:rsidR="008A6B03" w:rsidRPr="00C80F34" w:rsidRDefault="008A6B03" w:rsidP="00956D31">
            <w:pPr>
              <w:ind w:left="34"/>
              <w:rPr>
                <w:sz w:val="21"/>
                <w:szCs w:val="21"/>
              </w:rPr>
            </w:pPr>
            <w:r w:rsidRPr="00C80F34">
              <w:rPr>
                <w:sz w:val="21"/>
                <w:szCs w:val="21"/>
              </w:rPr>
              <w:t>National SIS REDD+</w:t>
            </w:r>
          </w:p>
        </w:tc>
        <w:tc>
          <w:tcPr>
            <w:tcW w:w="829" w:type="dxa"/>
          </w:tcPr>
          <w:p w14:paraId="4C43A9A5" w14:textId="77777777" w:rsidR="008A6B03" w:rsidRPr="00C80F34" w:rsidRDefault="008A6B03" w:rsidP="00956D31">
            <w:pPr>
              <w:jc w:val="center"/>
              <w:rPr>
                <w:sz w:val="21"/>
                <w:szCs w:val="21"/>
              </w:rPr>
            </w:pPr>
            <w:r w:rsidRPr="00C80F34">
              <w:rPr>
                <w:sz w:val="21"/>
                <w:szCs w:val="21"/>
              </w:rPr>
              <w:t>-</w:t>
            </w:r>
          </w:p>
        </w:tc>
        <w:tc>
          <w:tcPr>
            <w:tcW w:w="688" w:type="dxa"/>
          </w:tcPr>
          <w:p w14:paraId="5AD004FE" w14:textId="77777777" w:rsidR="008A6B03" w:rsidRPr="00C80F34" w:rsidRDefault="008A6B03" w:rsidP="00956D31">
            <w:pPr>
              <w:jc w:val="center"/>
              <w:rPr>
                <w:sz w:val="21"/>
                <w:szCs w:val="21"/>
              </w:rPr>
            </w:pPr>
            <w:r w:rsidRPr="00C80F34">
              <w:rPr>
                <w:sz w:val="21"/>
                <w:szCs w:val="21"/>
              </w:rPr>
              <w:t>-</w:t>
            </w:r>
          </w:p>
        </w:tc>
        <w:tc>
          <w:tcPr>
            <w:tcW w:w="852" w:type="dxa"/>
          </w:tcPr>
          <w:p w14:paraId="795C6D3F" w14:textId="77777777" w:rsidR="008A6B03" w:rsidRPr="00C80F34" w:rsidRDefault="008A6B03" w:rsidP="00956D31">
            <w:pPr>
              <w:jc w:val="center"/>
              <w:rPr>
                <w:sz w:val="21"/>
                <w:szCs w:val="21"/>
              </w:rPr>
            </w:pPr>
            <w:r w:rsidRPr="00C80F34">
              <w:rPr>
                <w:sz w:val="21"/>
                <w:szCs w:val="21"/>
              </w:rPr>
              <w:t>2019</w:t>
            </w:r>
          </w:p>
        </w:tc>
        <w:tc>
          <w:tcPr>
            <w:tcW w:w="2571" w:type="dxa"/>
          </w:tcPr>
          <w:p w14:paraId="69D7F615" w14:textId="77777777" w:rsidR="008A6B03" w:rsidRPr="00C80F34" w:rsidRDefault="008A6B03" w:rsidP="008A6B03">
            <w:pPr>
              <w:rPr>
                <w:sz w:val="21"/>
                <w:szCs w:val="21"/>
              </w:rPr>
            </w:pPr>
            <w:r w:rsidRPr="00C80F34">
              <w:rPr>
                <w:b/>
                <w:i/>
                <w:sz w:val="21"/>
                <w:szCs w:val="21"/>
              </w:rPr>
              <w:t xml:space="preserve">Data Collection Method: </w:t>
            </w:r>
            <w:r w:rsidRPr="00C80F34">
              <w:rPr>
                <w:sz w:val="21"/>
                <w:szCs w:val="21"/>
              </w:rPr>
              <w:t xml:space="preserve">Desk study and training, </w:t>
            </w:r>
            <w:r w:rsidRPr="00C80F34">
              <w:rPr>
                <w:b/>
                <w:i/>
                <w:sz w:val="21"/>
                <w:szCs w:val="21"/>
              </w:rPr>
              <w:t xml:space="preserve">Risk: </w:t>
            </w:r>
            <w:r w:rsidRPr="00C80F34">
              <w:rPr>
                <w:sz w:val="21"/>
                <w:szCs w:val="21"/>
              </w:rPr>
              <w:t>lack of operationalize after the online developed</w:t>
            </w:r>
          </w:p>
        </w:tc>
        <w:tc>
          <w:tcPr>
            <w:tcW w:w="3116" w:type="dxa"/>
          </w:tcPr>
          <w:p w14:paraId="1D08688F" w14:textId="77777777" w:rsidR="008A6B03" w:rsidRPr="00C80F34" w:rsidRDefault="008A6B03" w:rsidP="0021423E">
            <w:pPr>
              <w:rPr>
                <w:sz w:val="21"/>
                <w:szCs w:val="21"/>
              </w:rPr>
            </w:pPr>
            <w:r w:rsidRPr="00C80F34">
              <w:rPr>
                <w:sz w:val="21"/>
                <w:szCs w:val="21"/>
              </w:rPr>
              <w:t xml:space="preserve">Sub-national SIS REDD+ will improve </w:t>
            </w:r>
            <w:r w:rsidR="0021423E" w:rsidRPr="00C80F34">
              <w:rPr>
                <w:sz w:val="21"/>
                <w:szCs w:val="21"/>
              </w:rPr>
              <w:t>REDD+ knowledge management and community to stakeholders.</w:t>
            </w:r>
          </w:p>
        </w:tc>
      </w:tr>
    </w:tbl>
    <w:p w14:paraId="23A4BFEA" w14:textId="77777777" w:rsidR="00774634" w:rsidRPr="00C80F34" w:rsidRDefault="00774634" w:rsidP="00774634">
      <w:pPr>
        <w:rPr>
          <w:b/>
        </w:rPr>
      </w:pPr>
    </w:p>
    <w:p w14:paraId="02632CF5" w14:textId="00C494F7" w:rsidR="007B6BD0" w:rsidRPr="0061488A" w:rsidRDefault="007B6BD0" w:rsidP="007B6BD0">
      <w:pPr>
        <w:spacing w:after="120"/>
        <w:rPr>
          <w:b/>
          <w:sz w:val="22"/>
          <w:szCs w:val="22"/>
        </w:rPr>
      </w:pPr>
      <w:r w:rsidRPr="0061488A">
        <w:rPr>
          <w:b/>
          <w:sz w:val="22"/>
          <w:szCs w:val="22"/>
        </w:rPr>
        <w:lastRenderedPageBreak/>
        <w:t xml:space="preserve">Objective #3: Initial phase of governance structure in financing mechanism scheme for REDD+ </w:t>
      </w:r>
      <w:r w:rsidR="00E942E9" w:rsidRPr="0061488A">
        <w:rPr>
          <w:b/>
          <w:sz w:val="22"/>
          <w:szCs w:val="22"/>
        </w:rPr>
        <w:t>and green investment</w:t>
      </w:r>
    </w:p>
    <w:tbl>
      <w:tblPr>
        <w:tblStyle w:val="TableGrid"/>
        <w:tblW w:w="15444" w:type="dxa"/>
        <w:tblLayout w:type="fixed"/>
        <w:tblLook w:val="04A0" w:firstRow="1" w:lastRow="0" w:firstColumn="1" w:lastColumn="0" w:noHBand="0" w:noVBand="1"/>
      </w:tblPr>
      <w:tblGrid>
        <w:gridCol w:w="2122"/>
        <w:gridCol w:w="3402"/>
        <w:gridCol w:w="1864"/>
        <w:gridCol w:w="829"/>
        <w:gridCol w:w="688"/>
        <w:gridCol w:w="852"/>
        <w:gridCol w:w="3138"/>
        <w:gridCol w:w="2549"/>
      </w:tblGrid>
      <w:tr w:rsidR="00424784" w:rsidRPr="00C80F34" w14:paraId="1AF2FCEE" w14:textId="77777777" w:rsidTr="00332910">
        <w:tc>
          <w:tcPr>
            <w:tcW w:w="2122" w:type="dxa"/>
            <w:vMerge w:val="restart"/>
            <w:vAlign w:val="center"/>
          </w:tcPr>
          <w:p w14:paraId="31C06847" w14:textId="77777777" w:rsidR="00424784" w:rsidRPr="00C80F34" w:rsidRDefault="00424784" w:rsidP="00A57DC2">
            <w:pPr>
              <w:jc w:val="center"/>
              <w:rPr>
                <w:b/>
                <w:sz w:val="21"/>
                <w:szCs w:val="21"/>
              </w:rPr>
            </w:pPr>
            <w:r w:rsidRPr="00C80F34">
              <w:rPr>
                <w:b/>
                <w:sz w:val="21"/>
                <w:szCs w:val="21"/>
              </w:rPr>
              <w:t>Expected Outputs</w:t>
            </w:r>
          </w:p>
        </w:tc>
        <w:tc>
          <w:tcPr>
            <w:tcW w:w="3402" w:type="dxa"/>
            <w:vMerge w:val="restart"/>
            <w:vAlign w:val="center"/>
          </w:tcPr>
          <w:p w14:paraId="3D6D4B41" w14:textId="77777777" w:rsidR="00424784" w:rsidRPr="00C80F34" w:rsidRDefault="00424784" w:rsidP="00A57DC2">
            <w:pPr>
              <w:jc w:val="center"/>
              <w:rPr>
                <w:b/>
                <w:sz w:val="21"/>
                <w:szCs w:val="21"/>
              </w:rPr>
            </w:pPr>
            <w:r w:rsidRPr="00C80F34">
              <w:rPr>
                <w:b/>
                <w:sz w:val="21"/>
                <w:szCs w:val="21"/>
              </w:rPr>
              <w:t>Output Indicators</w:t>
            </w:r>
          </w:p>
        </w:tc>
        <w:tc>
          <w:tcPr>
            <w:tcW w:w="1864" w:type="dxa"/>
            <w:vMerge w:val="restart"/>
            <w:vAlign w:val="center"/>
          </w:tcPr>
          <w:p w14:paraId="24ECD6D4" w14:textId="77777777" w:rsidR="00424784" w:rsidRPr="00C80F34" w:rsidRDefault="00424784" w:rsidP="00A57DC2">
            <w:pPr>
              <w:jc w:val="center"/>
              <w:rPr>
                <w:b/>
                <w:sz w:val="21"/>
                <w:szCs w:val="21"/>
              </w:rPr>
            </w:pPr>
            <w:r w:rsidRPr="00C80F34">
              <w:rPr>
                <w:b/>
                <w:sz w:val="21"/>
                <w:szCs w:val="21"/>
              </w:rPr>
              <w:t>Data Source</w:t>
            </w:r>
          </w:p>
        </w:tc>
        <w:tc>
          <w:tcPr>
            <w:tcW w:w="1517" w:type="dxa"/>
            <w:gridSpan w:val="2"/>
            <w:vAlign w:val="center"/>
          </w:tcPr>
          <w:p w14:paraId="2CFA512B" w14:textId="77777777" w:rsidR="00424784" w:rsidRPr="00C80F34" w:rsidRDefault="00424784" w:rsidP="00A57DC2">
            <w:pPr>
              <w:jc w:val="center"/>
              <w:rPr>
                <w:b/>
                <w:sz w:val="21"/>
                <w:szCs w:val="21"/>
              </w:rPr>
            </w:pPr>
            <w:r w:rsidRPr="00C80F34">
              <w:rPr>
                <w:b/>
                <w:sz w:val="21"/>
                <w:szCs w:val="21"/>
              </w:rPr>
              <w:t>Baseline</w:t>
            </w:r>
          </w:p>
        </w:tc>
        <w:tc>
          <w:tcPr>
            <w:tcW w:w="852" w:type="dxa"/>
            <w:vMerge w:val="restart"/>
            <w:vAlign w:val="center"/>
          </w:tcPr>
          <w:p w14:paraId="1A08A368" w14:textId="77777777" w:rsidR="00424784" w:rsidRPr="00C80F34" w:rsidRDefault="00424784" w:rsidP="00A57DC2">
            <w:pPr>
              <w:jc w:val="center"/>
              <w:rPr>
                <w:b/>
                <w:sz w:val="21"/>
                <w:szCs w:val="21"/>
              </w:rPr>
            </w:pPr>
            <w:r w:rsidRPr="00C80F34">
              <w:rPr>
                <w:b/>
                <w:sz w:val="21"/>
                <w:szCs w:val="21"/>
              </w:rPr>
              <w:t>Target</w:t>
            </w:r>
          </w:p>
        </w:tc>
        <w:tc>
          <w:tcPr>
            <w:tcW w:w="3138" w:type="dxa"/>
            <w:vMerge w:val="restart"/>
            <w:vAlign w:val="center"/>
          </w:tcPr>
          <w:p w14:paraId="58719CE1" w14:textId="77777777" w:rsidR="00424784" w:rsidRPr="00C80F34" w:rsidRDefault="00424784" w:rsidP="00A57DC2">
            <w:pPr>
              <w:jc w:val="center"/>
              <w:rPr>
                <w:b/>
                <w:sz w:val="21"/>
                <w:szCs w:val="21"/>
              </w:rPr>
            </w:pPr>
            <w:r w:rsidRPr="00C80F34">
              <w:rPr>
                <w:b/>
                <w:sz w:val="21"/>
                <w:szCs w:val="21"/>
              </w:rPr>
              <w:t>Data Collection Method &amp; Risk</w:t>
            </w:r>
          </w:p>
        </w:tc>
        <w:tc>
          <w:tcPr>
            <w:tcW w:w="2549" w:type="dxa"/>
            <w:vMerge w:val="restart"/>
            <w:vAlign w:val="center"/>
          </w:tcPr>
          <w:p w14:paraId="199C4440" w14:textId="77777777" w:rsidR="00424784" w:rsidRPr="00C80F34" w:rsidRDefault="00424784" w:rsidP="00A57DC2">
            <w:pPr>
              <w:jc w:val="center"/>
              <w:rPr>
                <w:b/>
                <w:sz w:val="21"/>
                <w:szCs w:val="21"/>
              </w:rPr>
            </w:pPr>
            <w:r w:rsidRPr="00C80F34">
              <w:rPr>
                <w:b/>
                <w:sz w:val="21"/>
                <w:szCs w:val="21"/>
              </w:rPr>
              <w:t>Key Assumption</w:t>
            </w:r>
          </w:p>
        </w:tc>
      </w:tr>
      <w:tr w:rsidR="00424784" w:rsidRPr="00C80F34" w14:paraId="23FABA3E" w14:textId="77777777" w:rsidTr="00332910">
        <w:tc>
          <w:tcPr>
            <w:tcW w:w="2122" w:type="dxa"/>
            <w:vMerge/>
          </w:tcPr>
          <w:p w14:paraId="76DDFA58" w14:textId="77777777" w:rsidR="00424784" w:rsidRPr="00C80F34" w:rsidRDefault="00424784" w:rsidP="00A57DC2">
            <w:pPr>
              <w:rPr>
                <w:sz w:val="21"/>
                <w:szCs w:val="21"/>
              </w:rPr>
            </w:pPr>
          </w:p>
        </w:tc>
        <w:tc>
          <w:tcPr>
            <w:tcW w:w="3402" w:type="dxa"/>
            <w:vMerge/>
          </w:tcPr>
          <w:p w14:paraId="3CD9F18A" w14:textId="77777777" w:rsidR="00424784" w:rsidRPr="00C80F34" w:rsidRDefault="00424784" w:rsidP="00A57DC2">
            <w:pPr>
              <w:rPr>
                <w:b/>
                <w:sz w:val="21"/>
                <w:szCs w:val="21"/>
              </w:rPr>
            </w:pPr>
          </w:p>
        </w:tc>
        <w:tc>
          <w:tcPr>
            <w:tcW w:w="1864" w:type="dxa"/>
            <w:vMerge/>
          </w:tcPr>
          <w:p w14:paraId="10140072" w14:textId="77777777" w:rsidR="00424784" w:rsidRPr="00C80F34" w:rsidRDefault="00424784" w:rsidP="00A57DC2">
            <w:pPr>
              <w:rPr>
                <w:b/>
                <w:sz w:val="21"/>
                <w:szCs w:val="21"/>
              </w:rPr>
            </w:pPr>
          </w:p>
        </w:tc>
        <w:tc>
          <w:tcPr>
            <w:tcW w:w="829" w:type="dxa"/>
          </w:tcPr>
          <w:p w14:paraId="6A61C990" w14:textId="77777777" w:rsidR="00424784" w:rsidRPr="00C80F34" w:rsidRDefault="00424784" w:rsidP="00A57DC2">
            <w:pPr>
              <w:jc w:val="center"/>
              <w:rPr>
                <w:b/>
                <w:sz w:val="21"/>
                <w:szCs w:val="21"/>
              </w:rPr>
            </w:pPr>
            <w:r w:rsidRPr="00C80F34">
              <w:rPr>
                <w:b/>
                <w:sz w:val="21"/>
                <w:szCs w:val="21"/>
              </w:rPr>
              <w:t>Value</w:t>
            </w:r>
          </w:p>
        </w:tc>
        <w:tc>
          <w:tcPr>
            <w:tcW w:w="688" w:type="dxa"/>
          </w:tcPr>
          <w:p w14:paraId="447E8356" w14:textId="77777777" w:rsidR="00424784" w:rsidRPr="00C80F34" w:rsidRDefault="00424784" w:rsidP="00A57DC2">
            <w:pPr>
              <w:jc w:val="center"/>
              <w:rPr>
                <w:b/>
                <w:sz w:val="21"/>
                <w:szCs w:val="21"/>
              </w:rPr>
            </w:pPr>
            <w:r w:rsidRPr="00C80F34">
              <w:rPr>
                <w:b/>
                <w:sz w:val="21"/>
                <w:szCs w:val="21"/>
              </w:rPr>
              <w:t>Year</w:t>
            </w:r>
          </w:p>
        </w:tc>
        <w:tc>
          <w:tcPr>
            <w:tcW w:w="852" w:type="dxa"/>
            <w:vMerge/>
          </w:tcPr>
          <w:p w14:paraId="448154E8" w14:textId="77777777" w:rsidR="00424784" w:rsidRPr="00C80F34" w:rsidRDefault="00424784" w:rsidP="00A57DC2">
            <w:pPr>
              <w:rPr>
                <w:b/>
                <w:sz w:val="21"/>
                <w:szCs w:val="21"/>
              </w:rPr>
            </w:pPr>
          </w:p>
        </w:tc>
        <w:tc>
          <w:tcPr>
            <w:tcW w:w="3138" w:type="dxa"/>
            <w:vMerge/>
          </w:tcPr>
          <w:p w14:paraId="30A319E1" w14:textId="77777777" w:rsidR="00424784" w:rsidRPr="00C80F34" w:rsidRDefault="00424784" w:rsidP="00A57DC2">
            <w:pPr>
              <w:rPr>
                <w:b/>
                <w:sz w:val="21"/>
                <w:szCs w:val="21"/>
              </w:rPr>
            </w:pPr>
          </w:p>
        </w:tc>
        <w:tc>
          <w:tcPr>
            <w:tcW w:w="2549" w:type="dxa"/>
            <w:vMerge/>
          </w:tcPr>
          <w:p w14:paraId="7C249F28" w14:textId="77777777" w:rsidR="00424784" w:rsidRPr="00C80F34" w:rsidRDefault="00424784" w:rsidP="00A57DC2">
            <w:pPr>
              <w:rPr>
                <w:b/>
                <w:sz w:val="21"/>
                <w:szCs w:val="21"/>
              </w:rPr>
            </w:pPr>
          </w:p>
        </w:tc>
      </w:tr>
      <w:tr w:rsidR="007B6BD0" w:rsidRPr="00C80F34" w14:paraId="2D9E4B8B" w14:textId="77777777" w:rsidTr="00332910">
        <w:tc>
          <w:tcPr>
            <w:tcW w:w="2122" w:type="dxa"/>
          </w:tcPr>
          <w:p w14:paraId="64C7A7F9" w14:textId="3115989E" w:rsidR="00FC1AF0" w:rsidRPr="00C80F34" w:rsidRDefault="007B6BD0" w:rsidP="00FC1AF0">
            <w:pPr>
              <w:rPr>
                <w:sz w:val="21"/>
                <w:szCs w:val="21"/>
              </w:rPr>
            </w:pPr>
            <w:r w:rsidRPr="00C80F34">
              <w:rPr>
                <w:sz w:val="21"/>
                <w:szCs w:val="21"/>
              </w:rPr>
              <w:t xml:space="preserve">Developed </w:t>
            </w:r>
            <w:r w:rsidR="00FC1AF0" w:rsidRPr="00C80F34">
              <w:rPr>
                <w:sz w:val="21"/>
                <w:szCs w:val="21"/>
              </w:rPr>
              <w:t>a proper financial governance institution</w:t>
            </w:r>
            <w:r w:rsidR="0095510F" w:rsidRPr="00C80F34">
              <w:rPr>
                <w:sz w:val="21"/>
                <w:szCs w:val="21"/>
              </w:rPr>
              <w:t>/structure/ arrangement</w:t>
            </w:r>
            <w:r w:rsidR="00FC1AF0" w:rsidRPr="00C80F34">
              <w:rPr>
                <w:sz w:val="21"/>
                <w:szCs w:val="21"/>
              </w:rPr>
              <w:t xml:space="preserve"> and </w:t>
            </w:r>
            <w:r w:rsidR="00E942E9" w:rsidRPr="00C80F34">
              <w:rPr>
                <w:sz w:val="21"/>
                <w:szCs w:val="21"/>
              </w:rPr>
              <w:t>pipeline</w:t>
            </w:r>
            <w:r w:rsidR="00FC1AF0" w:rsidRPr="00C80F34">
              <w:rPr>
                <w:sz w:val="21"/>
                <w:szCs w:val="21"/>
              </w:rPr>
              <w:t xml:space="preserve"> for financial/investment partnership</w:t>
            </w:r>
          </w:p>
        </w:tc>
        <w:tc>
          <w:tcPr>
            <w:tcW w:w="3402" w:type="dxa"/>
          </w:tcPr>
          <w:p w14:paraId="5A83F849" w14:textId="77777777" w:rsidR="007B6BD0" w:rsidRPr="007117E7" w:rsidRDefault="00F96536"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Governor Regulation (PERGUB) on financial institution for REDD+ and GGP</w:t>
            </w:r>
          </w:p>
          <w:p w14:paraId="13D8F9E4" w14:textId="0C6BE2FB" w:rsidR="00FC1AF0" w:rsidRPr="007117E7" w:rsidRDefault="00D3380C"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 xml:space="preserve">3 </w:t>
            </w:r>
            <w:r w:rsidR="00E942E9" w:rsidRPr="007117E7">
              <w:rPr>
                <w:rFonts w:ascii="Times New Roman" w:hAnsi="Times New Roman" w:cs="Times New Roman"/>
                <w:sz w:val="21"/>
                <w:szCs w:val="21"/>
              </w:rPr>
              <w:t>potential pipeline</w:t>
            </w:r>
            <w:r w:rsidR="00373D0E" w:rsidRPr="007117E7">
              <w:rPr>
                <w:rFonts w:ascii="Times New Roman" w:hAnsi="Times New Roman" w:cs="Times New Roman"/>
                <w:sz w:val="21"/>
                <w:szCs w:val="21"/>
              </w:rPr>
              <w:t>s</w:t>
            </w:r>
            <w:r w:rsidR="00E942E9" w:rsidRPr="007117E7">
              <w:rPr>
                <w:rFonts w:ascii="Times New Roman" w:hAnsi="Times New Roman" w:cs="Times New Roman"/>
                <w:sz w:val="21"/>
                <w:szCs w:val="21"/>
              </w:rPr>
              <w:t xml:space="preserve"> </w:t>
            </w:r>
            <w:r w:rsidR="00FC1AF0" w:rsidRPr="007117E7">
              <w:rPr>
                <w:rFonts w:ascii="Times New Roman" w:hAnsi="Times New Roman" w:cs="Times New Roman"/>
                <w:sz w:val="21"/>
                <w:szCs w:val="21"/>
              </w:rPr>
              <w:t>for green</w:t>
            </w:r>
            <w:r w:rsidR="0095510F" w:rsidRPr="007117E7">
              <w:rPr>
                <w:rFonts w:ascii="Times New Roman" w:hAnsi="Times New Roman" w:cs="Times New Roman"/>
                <w:sz w:val="21"/>
                <w:szCs w:val="21"/>
              </w:rPr>
              <w:t xml:space="preserve"> investment</w:t>
            </w:r>
          </w:p>
          <w:p w14:paraId="208255DF" w14:textId="166D172E" w:rsidR="00B97BEE" w:rsidRPr="007117E7" w:rsidRDefault="00D3380C"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At least 1 business proposal from the pipeline submitted to Green Investment</w:t>
            </w:r>
          </w:p>
          <w:p w14:paraId="05F74C7D" w14:textId="77777777" w:rsidR="00FC1AF0" w:rsidRPr="00C80F34" w:rsidRDefault="00FC1AF0" w:rsidP="007B6BD0">
            <w:pPr>
              <w:rPr>
                <w:sz w:val="21"/>
                <w:szCs w:val="21"/>
              </w:rPr>
            </w:pPr>
          </w:p>
        </w:tc>
        <w:tc>
          <w:tcPr>
            <w:tcW w:w="1864" w:type="dxa"/>
          </w:tcPr>
          <w:p w14:paraId="7B3E14C6" w14:textId="2DF8C3AE" w:rsidR="007B6BD0" w:rsidRPr="00C80F34" w:rsidRDefault="00F96536" w:rsidP="00F96536">
            <w:pPr>
              <w:ind w:left="34"/>
              <w:rPr>
                <w:sz w:val="21"/>
                <w:szCs w:val="21"/>
              </w:rPr>
            </w:pPr>
            <w:r w:rsidRPr="00411B28">
              <w:rPr>
                <w:sz w:val="21"/>
                <w:szCs w:val="21"/>
              </w:rPr>
              <w:t>National REDD+, Indonesia Climate Change Trust Fund</w:t>
            </w:r>
            <w:r w:rsidR="00E942E9" w:rsidRPr="00411B28">
              <w:rPr>
                <w:sz w:val="21"/>
                <w:szCs w:val="21"/>
              </w:rPr>
              <w:t>, Andg</w:t>
            </w:r>
            <w:r w:rsidR="00FC1AF0" w:rsidRPr="00411B28">
              <w:rPr>
                <w:sz w:val="21"/>
                <w:szCs w:val="21"/>
              </w:rPr>
              <w:t>reen. Fund</w:t>
            </w:r>
            <w:r w:rsidR="0095510F" w:rsidRPr="00C80F34">
              <w:rPr>
                <w:sz w:val="21"/>
                <w:szCs w:val="21"/>
              </w:rPr>
              <w:t>, others (TLFF</w:t>
            </w:r>
            <w:r w:rsidR="00D3380C" w:rsidRPr="00C80F34">
              <w:rPr>
                <w:sz w:val="21"/>
                <w:szCs w:val="21"/>
              </w:rPr>
              <w:t>, Green Climate Fund</w:t>
            </w:r>
            <w:r w:rsidR="0095510F" w:rsidRPr="00C80F34">
              <w:rPr>
                <w:sz w:val="21"/>
                <w:szCs w:val="21"/>
              </w:rPr>
              <w:t>)</w:t>
            </w:r>
          </w:p>
        </w:tc>
        <w:tc>
          <w:tcPr>
            <w:tcW w:w="829" w:type="dxa"/>
          </w:tcPr>
          <w:p w14:paraId="17AFE712" w14:textId="77777777" w:rsidR="007B6BD0" w:rsidRPr="00C80F34" w:rsidRDefault="00FC1AF0" w:rsidP="007B6BD0">
            <w:pPr>
              <w:jc w:val="center"/>
              <w:rPr>
                <w:sz w:val="21"/>
                <w:szCs w:val="21"/>
              </w:rPr>
            </w:pPr>
            <w:r w:rsidRPr="00C80F34">
              <w:rPr>
                <w:sz w:val="21"/>
                <w:szCs w:val="21"/>
              </w:rPr>
              <w:t>0</w:t>
            </w:r>
          </w:p>
        </w:tc>
        <w:tc>
          <w:tcPr>
            <w:tcW w:w="688" w:type="dxa"/>
          </w:tcPr>
          <w:p w14:paraId="524049D2" w14:textId="77777777" w:rsidR="007B6BD0" w:rsidRPr="00C80F34" w:rsidRDefault="00FC1AF0" w:rsidP="007B6BD0">
            <w:pPr>
              <w:jc w:val="center"/>
              <w:rPr>
                <w:sz w:val="21"/>
                <w:szCs w:val="21"/>
              </w:rPr>
            </w:pPr>
            <w:r w:rsidRPr="00C80F34">
              <w:rPr>
                <w:sz w:val="21"/>
                <w:szCs w:val="21"/>
              </w:rPr>
              <w:t>-</w:t>
            </w:r>
          </w:p>
        </w:tc>
        <w:tc>
          <w:tcPr>
            <w:tcW w:w="852" w:type="dxa"/>
          </w:tcPr>
          <w:p w14:paraId="075CE48B" w14:textId="77777777" w:rsidR="007B6BD0" w:rsidRPr="00C80F34" w:rsidRDefault="00FC1AF0" w:rsidP="007B6BD0">
            <w:pPr>
              <w:jc w:val="center"/>
              <w:rPr>
                <w:sz w:val="21"/>
                <w:szCs w:val="21"/>
              </w:rPr>
            </w:pPr>
            <w:r w:rsidRPr="00C80F34">
              <w:rPr>
                <w:sz w:val="21"/>
                <w:szCs w:val="21"/>
              </w:rPr>
              <w:t>2020</w:t>
            </w:r>
          </w:p>
        </w:tc>
        <w:tc>
          <w:tcPr>
            <w:tcW w:w="3138" w:type="dxa"/>
          </w:tcPr>
          <w:p w14:paraId="11B86784" w14:textId="77777777" w:rsidR="007B6BD0" w:rsidRPr="00C80F34" w:rsidRDefault="00F96536" w:rsidP="003C4C97">
            <w:pPr>
              <w:ind w:left="34"/>
              <w:rPr>
                <w:sz w:val="21"/>
                <w:szCs w:val="21"/>
              </w:rPr>
            </w:pPr>
            <w:r w:rsidRPr="00C80F34">
              <w:rPr>
                <w:b/>
                <w:i/>
                <w:sz w:val="21"/>
                <w:szCs w:val="21"/>
              </w:rPr>
              <w:t xml:space="preserve">Data Collection Method: </w:t>
            </w:r>
            <w:r w:rsidRPr="00C80F34">
              <w:rPr>
                <w:sz w:val="21"/>
                <w:szCs w:val="21"/>
              </w:rPr>
              <w:t xml:space="preserve">Desk study, FGD, </w:t>
            </w:r>
            <w:r w:rsidR="003C4C97" w:rsidRPr="00C80F34">
              <w:rPr>
                <w:sz w:val="21"/>
                <w:szCs w:val="21"/>
              </w:rPr>
              <w:t>workshop</w:t>
            </w:r>
            <w:r w:rsidRPr="00C80F34">
              <w:rPr>
                <w:sz w:val="21"/>
                <w:szCs w:val="21"/>
              </w:rPr>
              <w:t xml:space="preserve">, expert meeting. </w:t>
            </w:r>
            <w:r w:rsidRPr="00C80F34">
              <w:rPr>
                <w:b/>
                <w:i/>
                <w:sz w:val="21"/>
                <w:szCs w:val="21"/>
              </w:rPr>
              <w:t xml:space="preserve">Risk: </w:t>
            </w:r>
            <w:r w:rsidR="003C4C97" w:rsidRPr="00C80F34">
              <w:rPr>
                <w:sz w:val="21"/>
                <w:szCs w:val="21"/>
              </w:rPr>
              <w:t>bureaucracy</w:t>
            </w:r>
            <w:r w:rsidRPr="00C80F34">
              <w:rPr>
                <w:sz w:val="21"/>
                <w:szCs w:val="21"/>
              </w:rPr>
              <w:t xml:space="preserve"> change during development process</w:t>
            </w:r>
          </w:p>
        </w:tc>
        <w:tc>
          <w:tcPr>
            <w:tcW w:w="2549" w:type="dxa"/>
          </w:tcPr>
          <w:p w14:paraId="6A67DD36" w14:textId="5E9D0F09" w:rsidR="007B6BD0" w:rsidRPr="00C80F34" w:rsidRDefault="00F96536" w:rsidP="007B6BD0">
            <w:pPr>
              <w:rPr>
                <w:sz w:val="21"/>
                <w:szCs w:val="21"/>
              </w:rPr>
            </w:pPr>
            <w:r w:rsidRPr="00C80F34">
              <w:rPr>
                <w:sz w:val="21"/>
                <w:szCs w:val="21"/>
              </w:rPr>
              <w:t>Financial institution</w:t>
            </w:r>
            <w:r w:rsidR="0095510F" w:rsidRPr="00C80F34">
              <w:rPr>
                <w:sz w:val="21"/>
                <w:szCs w:val="21"/>
              </w:rPr>
              <w:t>/ structure</w:t>
            </w:r>
            <w:r w:rsidRPr="00C80F34">
              <w:rPr>
                <w:sz w:val="21"/>
                <w:szCs w:val="21"/>
              </w:rPr>
              <w:t xml:space="preserve"> will accelerate grant funding for REDD+</w:t>
            </w:r>
          </w:p>
        </w:tc>
      </w:tr>
      <w:tr w:rsidR="007B6BD0" w:rsidRPr="00C80F34" w14:paraId="2E3314A9" w14:textId="77777777" w:rsidTr="00332910">
        <w:tc>
          <w:tcPr>
            <w:tcW w:w="2122" w:type="dxa"/>
          </w:tcPr>
          <w:p w14:paraId="2CC4CEB1" w14:textId="77777777" w:rsidR="007B6BD0" w:rsidRPr="00C80F34" w:rsidRDefault="00956D31" w:rsidP="00F64D07">
            <w:pPr>
              <w:rPr>
                <w:sz w:val="21"/>
                <w:szCs w:val="21"/>
              </w:rPr>
            </w:pPr>
            <w:r w:rsidRPr="00C80F34">
              <w:rPr>
                <w:sz w:val="21"/>
                <w:szCs w:val="21"/>
              </w:rPr>
              <w:t>Financial structure and scheme developed for Result Based Payment</w:t>
            </w:r>
          </w:p>
        </w:tc>
        <w:tc>
          <w:tcPr>
            <w:tcW w:w="3402" w:type="dxa"/>
          </w:tcPr>
          <w:p w14:paraId="153A22D0" w14:textId="6C1EF0BE" w:rsidR="003C4C97" w:rsidRPr="007117E7" w:rsidRDefault="003C4C97"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 xml:space="preserve">Final document </w:t>
            </w:r>
            <w:r w:rsidR="00D3380C" w:rsidRPr="007117E7">
              <w:rPr>
                <w:rFonts w:ascii="Times New Roman" w:hAnsi="Times New Roman" w:cs="Times New Roman"/>
                <w:sz w:val="21"/>
                <w:szCs w:val="21"/>
              </w:rPr>
              <w:t xml:space="preserve">from the Sub national </w:t>
            </w:r>
            <w:r w:rsidRPr="007117E7">
              <w:rPr>
                <w:rFonts w:ascii="Times New Roman" w:hAnsi="Times New Roman" w:cs="Times New Roman"/>
                <w:sz w:val="21"/>
                <w:szCs w:val="21"/>
              </w:rPr>
              <w:t>to claim carbon incentive under Result Based Payment</w:t>
            </w:r>
            <w:r w:rsidR="00D3380C" w:rsidRPr="007117E7">
              <w:rPr>
                <w:rFonts w:ascii="Times New Roman" w:hAnsi="Times New Roman" w:cs="Times New Roman"/>
                <w:sz w:val="21"/>
                <w:szCs w:val="21"/>
              </w:rPr>
              <w:t xml:space="preserve"> developed</w:t>
            </w:r>
          </w:p>
          <w:p w14:paraId="7256361D" w14:textId="21EF6AE3" w:rsidR="007B6BD0" w:rsidRPr="007117E7" w:rsidRDefault="003C4C97"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Governor Regulation (PERGUB) on Result Based Payment</w:t>
            </w:r>
            <w:r w:rsidR="00D3380C" w:rsidRPr="007117E7">
              <w:rPr>
                <w:rFonts w:ascii="Times New Roman" w:hAnsi="Times New Roman" w:cs="Times New Roman"/>
                <w:sz w:val="21"/>
                <w:szCs w:val="21"/>
              </w:rPr>
              <w:t xml:space="preserve"> produced</w:t>
            </w:r>
          </w:p>
          <w:p w14:paraId="7066EB59" w14:textId="0F031E60" w:rsidR="003C4C97" w:rsidRPr="007117E7" w:rsidRDefault="00FC1AF0"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Revised FREL that link with National FREL for the RBP</w:t>
            </w:r>
            <w:r w:rsidR="00D3380C" w:rsidRPr="007117E7">
              <w:rPr>
                <w:rFonts w:ascii="Times New Roman" w:hAnsi="Times New Roman" w:cs="Times New Roman"/>
                <w:sz w:val="21"/>
                <w:szCs w:val="21"/>
              </w:rPr>
              <w:t xml:space="preserve"> </w:t>
            </w:r>
          </w:p>
        </w:tc>
        <w:tc>
          <w:tcPr>
            <w:tcW w:w="1864" w:type="dxa"/>
          </w:tcPr>
          <w:p w14:paraId="375F9611" w14:textId="68784E3C" w:rsidR="007B6BD0" w:rsidRPr="00C80F34" w:rsidRDefault="003C4C97" w:rsidP="003C4C97">
            <w:pPr>
              <w:ind w:left="34"/>
              <w:rPr>
                <w:sz w:val="21"/>
                <w:szCs w:val="21"/>
              </w:rPr>
            </w:pPr>
            <w:r w:rsidRPr="00C80F34">
              <w:rPr>
                <w:sz w:val="21"/>
                <w:szCs w:val="21"/>
              </w:rPr>
              <w:t>Eco</w:t>
            </w:r>
            <w:r w:rsidR="00846321" w:rsidRPr="00C80F34">
              <w:rPr>
                <w:sz w:val="21"/>
                <w:szCs w:val="21"/>
              </w:rPr>
              <w:t xml:space="preserve">logical </w:t>
            </w:r>
            <w:r w:rsidRPr="00411B28">
              <w:rPr>
                <w:sz w:val="21"/>
                <w:szCs w:val="21"/>
              </w:rPr>
              <w:t>Fi</w:t>
            </w:r>
            <w:r w:rsidR="00846321" w:rsidRPr="00411B28">
              <w:rPr>
                <w:sz w:val="21"/>
                <w:szCs w:val="21"/>
              </w:rPr>
              <w:t>scal</w:t>
            </w:r>
            <w:r w:rsidRPr="00411B28">
              <w:rPr>
                <w:sz w:val="21"/>
                <w:szCs w:val="21"/>
              </w:rPr>
              <w:t xml:space="preserve"> Transfer (EFT) </w:t>
            </w:r>
            <w:r w:rsidR="000E6CE3" w:rsidRPr="00411B28">
              <w:rPr>
                <w:sz w:val="21"/>
                <w:szCs w:val="21"/>
              </w:rPr>
              <w:t xml:space="preserve">guideline </w:t>
            </w:r>
            <w:r w:rsidRPr="00411B28">
              <w:rPr>
                <w:sz w:val="21"/>
                <w:szCs w:val="21"/>
              </w:rPr>
              <w:t>from Min</w:t>
            </w:r>
            <w:r w:rsidR="00FC1AF0" w:rsidRPr="00C80F34">
              <w:rPr>
                <w:sz w:val="21"/>
                <w:szCs w:val="21"/>
              </w:rPr>
              <w:t xml:space="preserve">istry of Finance, </w:t>
            </w:r>
            <w:r w:rsidR="00D3380C" w:rsidRPr="00C80F34">
              <w:rPr>
                <w:sz w:val="21"/>
                <w:szCs w:val="21"/>
              </w:rPr>
              <w:t xml:space="preserve">Sub- </w:t>
            </w:r>
            <w:r w:rsidR="00FC1AF0" w:rsidRPr="00C80F34">
              <w:rPr>
                <w:sz w:val="21"/>
                <w:szCs w:val="21"/>
              </w:rPr>
              <w:t>national FREL document</w:t>
            </w:r>
            <w:r w:rsidR="00D3380C" w:rsidRPr="00C80F34">
              <w:rPr>
                <w:sz w:val="21"/>
                <w:szCs w:val="21"/>
              </w:rPr>
              <w:t>, national FREL document</w:t>
            </w:r>
          </w:p>
        </w:tc>
        <w:tc>
          <w:tcPr>
            <w:tcW w:w="829" w:type="dxa"/>
          </w:tcPr>
          <w:p w14:paraId="690CD0D5" w14:textId="77777777" w:rsidR="007B6BD0" w:rsidRPr="00C80F34" w:rsidRDefault="00FC1AF0" w:rsidP="007B6BD0">
            <w:pPr>
              <w:jc w:val="center"/>
              <w:rPr>
                <w:sz w:val="21"/>
                <w:szCs w:val="21"/>
              </w:rPr>
            </w:pPr>
            <w:r w:rsidRPr="00C80F34">
              <w:rPr>
                <w:sz w:val="21"/>
                <w:szCs w:val="21"/>
              </w:rPr>
              <w:t>1</w:t>
            </w:r>
          </w:p>
        </w:tc>
        <w:tc>
          <w:tcPr>
            <w:tcW w:w="688" w:type="dxa"/>
          </w:tcPr>
          <w:p w14:paraId="2BB4603C" w14:textId="77777777" w:rsidR="007B6BD0" w:rsidRPr="00C80F34" w:rsidRDefault="00FC1AF0" w:rsidP="007B6BD0">
            <w:pPr>
              <w:jc w:val="center"/>
              <w:rPr>
                <w:sz w:val="21"/>
                <w:szCs w:val="21"/>
              </w:rPr>
            </w:pPr>
            <w:r w:rsidRPr="00C80F34">
              <w:rPr>
                <w:sz w:val="21"/>
                <w:szCs w:val="21"/>
              </w:rPr>
              <w:t>2016</w:t>
            </w:r>
          </w:p>
        </w:tc>
        <w:tc>
          <w:tcPr>
            <w:tcW w:w="852" w:type="dxa"/>
          </w:tcPr>
          <w:p w14:paraId="41DCA401" w14:textId="77777777" w:rsidR="007B6BD0" w:rsidRPr="00C80F34" w:rsidRDefault="00FC1AF0" w:rsidP="007B6BD0">
            <w:pPr>
              <w:jc w:val="center"/>
              <w:rPr>
                <w:sz w:val="21"/>
                <w:szCs w:val="21"/>
              </w:rPr>
            </w:pPr>
            <w:r w:rsidRPr="00C80F34">
              <w:rPr>
                <w:sz w:val="21"/>
                <w:szCs w:val="21"/>
              </w:rPr>
              <w:t>2020</w:t>
            </w:r>
          </w:p>
        </w:tc>
        <w:tc>
          <w:tcPr>
            <w:tcW w:w="3138" w:type="dxa"/>
          </w:tcPr>
          <w:p w14:paraId="488C9BC5" w14:textId="77777777" w:rsidR="007B6BD0" w:rsidRPr="00C80F34" w:rsidRDefault="003C4C97" w:rsidP="00910F77">
            <w:pPr>
              <w:ind w:left="34"/>
              <w:rPr>
                <w:sz w:val="21"/>
                <w:szCs w:val="21"/>
              </w:rPr>
            </w:pPr>
            <w:r w:rsidRPr="00C80F34">
              <w:rPr>
                <w:b/>
                <w:i/>
                <w:sz w:val="21"/>
                <w:szCs w:val="21"/>
              </w:rPr>
              <w:t xml:space="preserve">Data Collection Method: </w:t>
            </w:r>
            <w:r w:rsidRPr="00C80F34">
              <w:rPr>
                <w:sz w:val="21"/>
                <w:szCs w:val="21"/>
              </w:rPr>
              <w:t xml:space="preserve">Desk study, FGD, workshop, expert meeting. </w:t>
            </w:r>
            <w:r w:rsidRPr="00C80F34">
              <w:rPr>
                <w:b/>
                <w:i/>
                <w:sz w:val="21"/>
                <w:szCs w:val="21"/>
              </w:rPr>
              <w:t xml:space="preserve">Risk: </w:t>
            </w:r>
            <w:r w:rsidR="000E6CE3" w:rsidRPr="00C80F34">
              <w:rPr>
                <w:sz w:val="21"/>
                <w:szCs w:val="21"/>
              </w:rPr>
              <w:t xml:space="preserve">RBP scheme will not be </w:t>
            </w:r>
            <w:r w:rsidR="00910F77" w:rsidRPr="00C80F34">
              <w:rPr>
                <w:sz w:val="21"/>
                <w:szCs w:val="21"/>
                <w:lang w:val="id-ID"/>
              </w:rPr>
              <w:t>ready</w:t>
            </w:r>
            <w:r w:rsidR="00FC1AF0" w:rsidRPr="00C80F34">
              <w:rPr>
                <w:sz w:val="21"/>
                <w:szCs w:val="21"/>
              </w:rPr>
              <w:t xml:space="preserve"> until 2020 and there is change to current national FREL (carbon threshold)</w:t>
            </w:r>
          </w:p>
        </w:tc>
        <w:tc>
          <w:tcPr>
            <w:tcW w:w="2549" w:type="dxa"/>
          </w:tcPr>
          <w:p w14:paraId="5540B380" w14:textId="77777777" w:rsidR="007B6BD0" w:rsidRPr="00C80F34" w:rsidRDefault="00910F77" w:rsidP="00910F77">
            <w:pPr>
              <w:rPr>
                <w:sz w:val="21"/>
                <w:szCs w:val="21"/>
                <w:lang w:val="id-ID"/>
              </w:rPr>
            </w:pPr>
            <w:r w:rsidRPr="00C80F34">
              <w:rPr>
                <w:sz w:val="21"/>
                <w:szCs w:val="21"/>
                <w:lang w:val="id-ID"/>
              </w:rPr>
              <w:t xml:space="preserve">The developed of sub-national RBP will ensure RBP incentive in 2020 or later. </w:t>
            </w:r>
          </w:p>
        </w:tc>
      </w:tr>
    </w:tbl>
    <w:p w14:paraId="78AC6518" w14:textId="77777777" w:rsidR="007B6BD0" w:rsidRPr="00C80F34" w:rsidRDefault="007B6BD0" w:rsidP="00774634">
      <w:pPr>
        <w:rPr>
          <w:b/>
        </w:rPr>
      </w:pPr>
    </w:p>
    <w:p w14:paraId="08AF316C" w14:textId="0ACED39E" w:rsidR="007B6BD0" w:rsidRPr="0061488A" w:rsidRDefault="007B6BD0" w:rsidP="007B6BD0">
      <w:pPr>
        <w:spacing w:after="120"/>
        <w:rPr>
          <w:b/>
          <w:sz w:val="22"/>
          <w:szCs w:val="22"/>
        </w:rPr>
      </w:pPr>
      <w:r w:rsidRPr="0061488A">
        <w:rPr>
          <w:b/>
          <w:sz w:val="22"/>
          <w:szCs w:val="22"/>
        </w:rPr>
        <w:t>Objective #4: Sectoral regulatory framework in supporting SRAP REDD+</w:t>
      </w:r>
      <w:r w:rsidR="0095510F" w:rsidRPr="0061488A">
        <w:rPr>
          <w:b/>
          <w:sz w:val="22"/>
          <w:szCs w:val="22"/>
        </w:rPr>
        <w:t xml:space="preserve"> and GGP</w:t>
      </w:r>
      <w:r w:rsidRPr="0061488A">
        <w:rPr>
          <w:b/>
          <w:sz w:val="22"/>
          <w:szCs w:val="22"/>
        </w:rPr>
        <w:t xml:space="preserve"> implementation developed</w:t>
      </w:r>
    </w:p>
    <w:tbl>
      <w:tblPr>
        <w:tblStyle w:val="TableGrid"/>
        <w:tblW w:w="15444" w:type="dxa"/>
        <w:tblLayout w:type="fixed"/>
        <w:tblLook w:val="04A0" w:firstRow="1" w:lastRow="0" w:firstColumn="1" w:lastColumn="0" w:noHBand="0" w:noVBand="1"/>
      </w:tblPr>
      <w:tblGrid>
        <w:gridCol w:w="1555"/>
        <w:gridCol w:w="3402"/>
        <w:gridCol w:w="2431"/>
        <w:gridCol w:w="829"/>
        <w:gridCol w:w="688"/>
        <w:gridCol w:w="852"/>
        <w:gridCol w:w="2996"/>
        <w:gridCol w:w="2691"/>
      </w:tblGrid>
      <w:tr w:rsidR="005A24AB" w:rsidRPr="00C80F34" w14:paraId="79AAB152" w14:textId="77777777" w:rsidTr="00956D31">
        <w:tc>
          <w:tcPr>
            <w:tcW w:w="1555" w:type="dxa"/>
            <w:vMerge w:val="restart"/>
            <w:vAlign w:val="center"/>
          </w:tcPr>
          <w:p w14:paraId="4407BEB2" w14:textId="77777777" w:rsidR="005A24AB" w:rsidRPr="00C80F34" w:rsidRDefault="005A24AB" w:rsidP="00A57DC2">
            <w:pPr>
              <w:jc w:val="center"/>
              <w:rPr>
                <w:b/>
                <w:sz w:val="21"/>
                <w:szCs w:val="21"/>
              </w:rPr>
            </w:pPr>
            <w:r w:rsidRPr="00C80F34">
              <w:rPr>
                <w:b/>
                <w:sz w:val="21"/>
                <w:szCs w:val="21"/>
              </w:rPr>
              <w:t>Expected Outputs</w:t>
            </w:r>
          </w:p>
        </w:tc>
        <w:tc>
          <w:tcPr>
            <w:tcW w:w="3402" w:type="dxa"/>
            <w:vMerge w:val="restart"/>
            <w:vAlign w:val="center"/>
          </w:tcPr>
          <w:p w14:paraId="782B90EC" w14:textId="77777777" w:rsidR="005A24AB" w:rsidRPr="00C80F34" w:rsidRDefault="005A24AB" w:rsidP="00A57DC2">
            <w:pPr>
              <w:jc w:val="center"/>
              <w:rPr>
                <w:b/>
                <w:sz w:val="21"/>
                <w:szCs w:val="21"/>
              </w:rPr>
            </w:pPr>
            <w:r w:rsidRPr="00C80F34">
              <w:rPr>
                <w:b/>
                <w:sz w:val="21"/>
                <w:szCs w:val="21"/>
              </w:rPr>
              <w:t>Output Indicators</w:t>
            </w:r>
          </w:p>
        </w:tc>
        <w:tc>
          <w:tcPr>
            <w:tcW w:w="2431" w:type="dxa"/>
            <w:vMerge w:val="restart"/>
            <w:vAlign w:val="center"/>
          </w:tcPr>
          <w:p w14:paraId="3A639AE8" w14:textId="77777777" w:rsidR="005A24AB" w:rsidRPr="00C80F34" w:rsidRDefault="005A24AB" w:rsidP="00A57DC2">
            <w:pPr>
              <w:jc w:val="center"/>
              <w:rPr>
                <w:b/>
                <w:sz w:val="21"/>
                <w:szCs w:val="21"/>
              </w:rPr>
            </w:pPr>
            <w:r w:rsidRPr="00C80F34">
              <w:rPr>
                <w:b/>
                <w:sz w:val="21"/>
                <w:szCs w:val="21"/>
              </w:rPr>
              <w:t>Data Source</w:t>
            </w:r>
          </w:p>
        </w:tc>
        <w:tc>
          <w:tcPr>
            <w:tcW w:w="1517" w:type="dxa"/>
            <w:gridSpan w:val="2"/>
            <w:vAlign w:val="center"/>
          </w:tcPr>
          <w:p w14:paraId="1A3A82C9" w14:textId="77777777" w:rsidR="005A24AB" w:rsidRPr="00C80F34" w:rsidRDefault="005A24AB" w:rsidP="00A57DC2">
            <w:pPr>
              <w:jc w:val="center"/>
              <w:rPr>
                <w:b/>
                <w:sz w:val="21"/>
                <w:szCs w:val="21"/>
              </w:rPr>
            </w:pPr>
            <w:r w:rsidRPr="00C80F34">
              <w:rPr>
                <w:b/>
                <w:sz w:val="21"/>
                <w:szCs w:val="21"/>
              </w:rPr>
              <w:t>Baseline</w:t>
            </w:r>
          </w:p>
        </w:tc>
        <w:tc>
          <w:tcPr>
            <w:tcW w:w="852" w:type="dxa"/>
            <w:vMerge w:val="restart"/>
            <w:vAlign w:val="center"/>
          </w:tcPr>
          <w:p w14:paraId="51B81DF4" w14:textId="77777777" w:rsidR="005A24AB" w:rsidRPr="00C80F34" w:rsidRDefault="005A24AB" w:rsidP="00A57DC2">
            <w:pPr>
              <w:jc w:val="center"/>
              <w:rPr>
                <w:b/>
                <w:sz w:val="21"/>
                <w:szCs w:val="21"/>
              </w:rPr>
            </w:pPr>
            <w:r w:rsidRPr="00C80F34">
              <w:rPr>
                <w:b/>
                <w:sz w:val="21"/>
                <w:szCs w:val="21"/>
              </w:rPr>
              <w:t>Target</w:t>
            </w:r>
          </w:p>
        </w:tc>
        <w:tc>
          <w:tcPr>
            <w:tcW w:w="2996" w:type="dxa"/>
            <w:vMerge w:val="restart"/>
            <w:vAlign w:val="center"/>
          </w:tcPr>
          <w:p w14:paraId="1F61F7AE" w14:textId="77777777" w:rsidR="005A24AB" w:rsidRPr="00C80F34" w:rsidRDefault="005A24AB" w:rsidP="00A57DC2">
            <w:pPr>
              <w:jc w:val="center"/>
              <w:rPr>
                <w:b/>
                <w:sz w:val="21"/>
                <w:szCs w:val="21"/>
              </w:rPr>
            </w:pPr>
            <w:r w:rsidRPr="00C80F34">
              <w:rPr>
                <w:b/>
                <w:sz w:val="21"/>
                <w:szCs w:val="21"/>
              </w:rPr>
              <w:t>Data Collection Method &amp; Risk</w:t>
            </w:r>
          </w:p>
        </w:tc>
        <w:tc>
          <w:tcPr>
            <w:tcW w:w="2691" w:type="dxa"/>
            <w:vMerge w:val="restart"/>
            <w:vAlign w:val="center"/>
          </w:tcPr>
          <w:p w14:paraId="0C67801E" w14:textId="77777777" w:rsidR="005A24AB" w:rsidRPr="00C80F34" w:rsidRDefault="005A24AB" w:rsidP="00A57DC2">
            <w:pPr>
              <w:jc w:val="center"/>
              <w:rPr>
                <w:b/>
                <w:sz w:val="21"/>
                <w:szCs w:val="21"/>
              </w:rPr>
            </w:pPr>
            <w:r w:rsidRPr="00C80F34">
              <w:rPr>
                <w:b/>
                <w:sz w:val="21"/>
                <w:szCs w:val="21"/>
              </w:rPr>
              <w:t>Key Assumption</w:t>
            </w:r>
          </w:p>
        </w:tc>
      </w:tr>
      <w:tr w:rsidR="005A24AB" w:rsidRPr="00C80F34" w14:paraId="4FEDB731" w14:textId="77777777" w:rsidTr="00956D31">
        <w:tc>
          <w:tcPr>
            <w:tcW w:w="1555" w:type="dxa"/>
            <w:vMerge/>
          </w:tcPr>
          <w:p w14:paraId="2461A05C" w14:textId="77777777" w:rsidR="005A24AB" w:rsidRPr="00C80F34" w:rsidRDefault="005A24AB" w:rsidP="00A57DC2">
            <w:pPr>
              <w:rPr>
                <w:sz w:val="21"/>
                <w:szCs w:val="21"/>
              </w:rPr>
            </w:pPr>
          </w:p>
        </w:tc>
        <w:tc>
          <w:tcPr>
            <w:tcW w:w="3402" w:type="dxa"/>
            <w:vMerge/>
          </w:tcPr>
          <w:p w14:paraId="5051AFC7" w14:textId="77777777" w:rsidR="005A24AB" w:rsidRPr="00C80F34" w:rsidRDefault="005A24AB" w:rsidP="00A57DC2">
            <w:pPr>
              <w:rPr>
                <w:b/>
                <w:sz w:val="21"/>
                <w:szCs w:val="21"/>
              </w:rPr>
            </w:pPr>
          </w:p>
        </w:tc>
        <w:tc>
          <w:tcPr>
            <w:tcW w:w="2431" w:type="dxa"/>
            <w:vMerge/>
          </w:tcPr>
          <w:p w14:paraId="68D154A2" w14:textId="77777777" w:rsidR="005A24AB" w:rsidRPr="00C80F34" w:rsidRDefault="005A24AB" w:rsidP="00A57DC2">
            <w:pPr>
              <w:rPr>
                <w:b/>
                <w:sz w:val="21"/>
                <w:szCs w:val="21"/>
              </w:rPr>
            </w:pPr>
          </w:p>
        </w:tc>
        <w:tc>
          <w:tcPr>
            <w:tcW w:w="829" w:type="dxa"/>
          </w:tcPr>
          <w:p w14:paraId="41A8C7E8" w14:textId="77777777" w:rsidR="005A24AB" w:rsidRPr="00C80F34" w:rsidRDefault="005A24AB" w:rsidP="00A57DC2">
            <w:pPr>
              <w:jc w:val="center"/>
              <w:rPr>
                <w:b/>
                <w:sz w:val="21"/>
                <w:szCs w:val="21"/>
              </w:rPr>
            </w:pPr>
            <w:r w:rsidRPr="00C80F34">
              <w:rPr>
                <w:b/>
                <w:sz w:val="21"/>
                <w:szCs w:val="21"/>
              </w:rPr>
              <w:t>Value</w:t>
            </w:r>
          </w:p>
        </w:tc>
        <w:tc>
          <w:tcPr>
            <w:tcW w:w="688" w:type="dxa"/>
          </w:tcPr>
          <w:p w14:paraId="0309EF32" w14:textId="77777777" w:rsidR="005A24AB" w:rsidRPr="00C80F34" w:rsidRDefault="005A24AB" w:rsidP="00A57DC2">
            <w:pPr>
              <w:jc w:val="center"/>
              <w:rPr>
                <w:b/>
                <w:sz w:val="21"/>
                <w:szCs w:val="21"/>
              </w:rPr>
            </w:pPr>
            <w:r w:rsidRPr="00C80F34">
              <w:rPr>
                <w:b/>
                <w:sz w:val="21"/>
                <w:szCs w:val="21"/>
              </w:rPr>
              <w:t>Year</w:t>
            </w:r>
          </w:p>
        </w:tc>
        <w:tc>
          <w:tcPr>
            <w:tcW w:w="852" w:type="dxa"/>
            <w:vMerge/>
          </w:tcPr>
          <w:p w14:paraId="2F29F176" w14:textId="77777777" w:rsidR="005A24AB" w:rsidRPr="00C80F34" w:rsidRDefault="005A24AB" w:rsidP="00A57DC2">
            <w:pPr>
              <w:rPr>
                <w:b/>
                <w:sz w:val="21"/>
                <w:szCs w:val="21"/>
              </w:rPr>
            </w:pPr>
          </w:p>
        </w:tc>
        <w:tc>
          <w:tcPr>
            <w:tcW w:w="2996" w:type="dxa"/>
            <w:vMerge/>
          </w:tcPr>
          <w:p w14:paraId="7720FA5B" w14:textId="77777777" w:rsidR="005A24AB" w:rsidRPr="00C80F34" w:rsidRDefault="005A24AB" w:rsidP="00A57DC2">
            <w:pPr>
              <w:rPr>
                <w:b/>
                <w:sz w:val="21"/>
                <w:szCs w:val="21"/>
              </w:rPr>
            </w:pPr>
          </w:p>
        </w:tc>
        <w:tc>
          <w:tcPr>
            <w:tcW w:w="2691" w:type="dxa"/>
            <w:vMerge/>
          </w:tcPr>
          <w:p w14:paraId="473178A2" w14:textId="77777777" w:rsidR="005A24AB" w:rsidRPr="00C80F34" w:rsidRDefault="005A24AB" w:rsidP="00A57DC2">
            <w:pPr>
              <w:rPr>
                <w:b/>
                <w:sz w:val="21"/>
                <w:szCs w:val="21"/>
              </w:rPr>
            </w:pPr>
          </w:p>
        </w:tc>
      </w:tr>
      <w:tr w:rsidR="005A24AB" w:rsidRPr="00C80F34" w14:paraId="1E202363" w14:textId="77777777" w:rsidTr="00956D31">
        <w:tc>
          <w:tcPr>
            <w:tcW w:w="1555" w:type="dxa"/>
          </w:tcPr>
          <w:p w14:paraId="6D99B28F" w14:textId="77777777" w:rsidR="005A24AB" w:rsidRPr="00C80F34" w:rsidRDefault="00956D31" w:rsidP="00F64D07">
            <w:pPr>
              <w:rPr>
                <w:sz w:val="21"/>
                <w:szCs w:val="21"/>
              </w:rPr>
            </w:pPr>
            <w:r w:rsidRPr="00C80F34">
              <w:rPr>
                <w:sz w:val="21"/>
                <w:szCs w:val="21"/>
              </w:rPr>
              <w:t>Sectoral policy framework enhanced to strengthen REDD+ and GGP</w:t>
            </w:r>
          </w:p>
        </w:tc>
        <w:tc>
          <w:tcPr>
            <w:tcW w:w="3402" w:type="dxa"/>
          </w:tcPr>
          <w:p w14:paraId="3C63F709" w14:textId="5F720335" w:rsidR="005A24AB" w:rsidRPr="007117E7" w:rsidRDefault="005A24AB"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Regional Regulation (PERDA) Peat-land protection and restoration management</w:t>
            </w:r>
            <w:r w:rsidR="00D3380C" w:rsidRPr="007117E7">
              <w:rPr>
                <w:rFonts w:ascii="Times New Roman" w:hAnsi="Times New Roman" w:cs="Times New Roman"/>
                <w:sz w:val="21"/>
                <w:szCs w:val="21"/>
              </w:rPr>
              <w:t xml:space="preserve"> produced and legalized by Parliament Members</w:t>
            </w:r>
          </w:p>
          <w:p w14:paraId="6208DB13" w14:textId="77777777" w:rsidR="00956D31" w:rsidRPr="007117E7" w:rsidRDefault="00E942E9"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SRAP REDD+ target mainstreamed</w:t>
            </w:r>
            <w:r w:rsidR="00956D31" w:rsidRPr="007117E7">
              <w:rPr>
                <w:rFonts w:ascii="Times New Roman" w:hAnsi="Times New Roman" w:cs="Times New Roman"/>
                <w:sz w:val="21"/>
                <w:szCs w:val="21"/>
              </w:rPr>
              <w:t xml:space="preserve"> in Mid-Term Forest Management Plan of FMU Kubu Raya (FMP)</w:t>
            </w:r>
          </w:p>
        </w:tc>
        <w:tc>
          <w:tcPr>
            <w:tcW w:w="2431" w:type="dxa"/>
          </w:tcPr>
          <w:p w14:paraId="08C95AB2" w14:textId="2D60408D" w:rsidR="005A24AB" w:rsidRPr="00C80F34" w:rsidRDefault="00FC1AF0" w:rsidP="00FC1AF0">
            <w:pPr>
              <w:rPr>
                <w:sz w:val="21"/>
                <w:szCs w:val="21"/>
              </w:rPr>
            </w:pPr>
            <w:r w:rsidRPr="00C80F34">
              <w:rPr>
                <w:sz w:val="21"/>
                <w:szCs w:val="21"/>
              </w:rPr>
              <w:t>National regulation</w:t>
            </w:r>
            <w:r w:rsidR="00D3380C" w:rsidRPr="00C80F34">
              <w:rPr>
                <w:sz w:val="21"/>
                <w:szCs w:val="21"/>
              </w:rPr>
              <w:t xml:space="preserve"> </w:t>
            </w:r>
            <w:r w:rsidRPr="00411B28">
              <w:rPr>
                <w:sz w:val="21"/>
                <w:szCs w:val="21"/>
              </w:rPr>
              <w:t xml:space="preserve"> (PP) </w:t>
            </w:r>
            <w:r w:rsidR="00D3380C" w:rsidRPr="00411B28">
              <w:rPr>
                <w:sz w:val="21"/>
                <w:szCs w:val="21"/>
              </w:rPr>
              <w:t xml:space="preserve">and PERDA </w:t>
            </w:r>
            <w:r w:rsidRPr="00411B28">
              <w:rPr>
                <w:sz w:val="21"/>
                <w:szCs w:val="21"/>
              </w:rPr>
              <w:t>on Peat protection and restoration</w:t>
            </w:r>
            <w:r w:rsidR="00956D31" w:rsidRPr="00C80F34">
              <w:rPr>
                <w:sz w:val="21"/>
                <w:szCs w:val="21"/>
              </w:rPr>
              <w:t>,</w:t>
            </w:r>
            <w:r w:rsidR="00D3380C" w:rsidRPr="00C80F34">
              <w:rPr>
                <w:sz w:val="21"/>
                <w:szCs w:val="21"/>
              </w:rPr>
              <w:t xml:space="preserve"> Peatland Restoration Agency (BRG),</w:t>
            </w:r>
            <w:r w:rsidR="00956D31" w:rsidRPr="00C80F34">
              <w:rPr>
                <w:sz w:val="21"/>
                <w:szCs w:val="21"/>
              </w:rPr>
              <w:t xml:space="preserve"> SRAP REDD+, FREL, Mid-Term Forest Management Plan of FMU Kubu Raya (FMP)</w:t>
            </w:r>
          </w:p>
        </w:tc>
        <w:tc>
          <w:tcPr>
            <w:tcW w:w="829" w:type="dxa"/>
          </w:tcPr>
          <w:p w14:paraId="2FA91CA2" w14:textId="77777777" w:rsidR="005A24AB" w:rsidRPr="00C80F34" w:rsidRDefault="00FC1AF0" w:rsidP="005A24AB">
            <w:pPr>
              <w:jc w:val="center"/>
              <w:rPr>
                <w:b/>
                <w:sz w:val="21"/>
                <w:szCs w:val="21"/>
              </w:rPr>
            </w:pPr>
            <w:r w:rsidRPr="00C80F34">
              <w:rPr>
                <w:b/>
                <w:sz w:val="21"/>
                <w:szCs w:val="21"/>
              </w:rPr>
              <w:t>-</w:t>
            </w:r>
          </w:p>
        </w:tc>
        <w:tc>
          <w:tcPr>
            <w:tcW w:w="688" w:type="dxa"/>
          </w:tcPr>
          <w:p w14:paraId="05BC2EA6" w14:textId="77777777" w:rsidR="005A24AB" w:rsidRPr="00C80F34" w:rsidRDefault="00FC1AF0" w:rsidP="005A24AB">
            <w:pPr>
              <w:jc w:val="center"/>
              <w:rPr>
                <w:sz w:val="21"/>
                <w:szCs w:val="21"/>
              </w:rPr>
            </w:pPr>
            <w:r w:rsidRPr="00C80F34">
              <w:rPr>
                <w:sz w:val="21"/>
                <w:szCs w:val="21"/>
              </w:rPr>
              <w:t>-</w:t>
            </w:r>
          </w:p>
        </w:tc>
        <w:tc>
          <w:tcPr>
            <w:tcW w:w="852" w:type="dxa"/>
          </w:tcPr>
          <w:p w14:paraId="1F5647D6" w14:textId="77777777" w:rsidR="005A24AB" w:rsidRPr="00C80F34" w:rsidRDefault="00FC1AF0" w:rsidP="005A24AB">
            <w:pPr>
              <w:jc w:val="center"/>
              <w:rPr>
                <w:sz w:val="21"/>
                <w:szCs w:val="21"/>
              </w:rPr>
            </w:pPr>
            <w:r w:rsidRPr="00C80F34">
              <w:rPr>
                <w:sz w:val="21"/>
                <w:szCs w:val="21"/>
              </w:rPr>
              <w:t>2020</w:t>
            </w:r>
          </w:p>
        </w:tc>
        <w:tc>
          <w:tcPr>
            <w:tcW w:w="2996" w:type="dxa"/>
          </w:tcPr>
          <w:p w14:paraId="4C0E92B1" w14:textId="77777777" w:rsidR="005A24AB" w:rsidRPr="00C80F34" w:rsidRDefault="0041479E" w:rsidP="006B238F">
            <w:pPr>
              <w:ind w:left="34"/>
              <w:rPr>
                <w:sz w:val="21"/>
                <w:szCs w:val="21"/>
              </w:rPr>
            </w:pPr>
            <w:r w:rsidRPr="00C80F34">
              <w:rPr>
                <w:b/>
                <w:i/>
                <w:sz w:val="21"/>
                <w:szCs w:val="21"/>
              </w:rPr>
              <w:t xml:space="preserve">Data Collection Method: </w:t>
            </w:r>
            <w:r w:rsidRPr="00C80F34">
              <w:rPr>
                <w:sz w:val="21"/>
                <w:szCs w:val="21"/>
              </w:rPr>
              <w:t xml:space="preserve">Desk study, FGD, workshop, expert meeting. </w:t>
            </w:r>
            <w:r w:rsidRPr="00C80F34">
              <w:rPr>
                <w:b/>
                <w:i/>
                <w:sz w:val="21"/>
                <w:szCs w:val="21"/>
              </w:rPr>
              <w:t xml:space="preserve">Risk: </w:t>
            </w:r>
            <w:r w:rsidR="006B238F" w:rsidRPr="00C80F34">
              <w:rPr>
                <w:sz w:val="21"/>
                <w:szCs w:val="21"/>
              </w:rPr>
              <w:t>time consume for negotiation to encourage the regulation</w:t>
            </w:r>
            <w:r w:rsidR="00956D31" w:rsidRPr="00C80F34">
              <w:rPr>
                <w:sz w:val="21"/>
                <w:szCs w:val="21"/>
              </w:rPr>
              <w:t xml:space="preserve"> and FMP is signed by the Ministry so it needs time to revise</w:t>
            </w:r>
          </w:p>
        </w:tc>
        <w:tc>
          <w:tcPr>
            <w:tcW w:w="2691" w:type="dxa"/>
          </w:tcPr>
          <w:p w14:paraId="661E61BF" w14:textId="5BC4FBEC" w:rsidR="005A24AB" w:rsidRPr="007117E7" w:rsidRDefault="006B238F"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 xml:space="preserve">Peat regulation will strengthen the REDD+ </w:t>
            </w:r>
            <w:r w:rsidR="0095510F" w:rsidRPr="007117E7">
              <w:rPr>
                <w:rFonts w:ascii="Times New Roman" w:hAnsi="Times New Roman" w:cs="Times New Roman"/>
                <w:sz w:val="21"/>
                <w:szCs w:val="21"/>
              </w:rPr>
              <w:t xml:space="preserve">and GGP </w:t>
            </w:r>
            <w:r w:rsidRPr="007117E7">
              <w:rPr>
                <w:rFonts w:ascii="Times New Roman" w:hAnsi="Times New Roman" w:cs="Times New Roman"/>
                <w:sz w:val="21"/>
                <w:szCs w:val="21"/>
              </w:rPr>
              <w:t>implementation</w:t>
            </w:r>
          </w:p>
          <w:p w14:paraId="3698C73C" w14:textId="5D4E48EC" w:rsidR="00956D31" w:rsidRPr="007117E7" w:rsidRDefault="00956D31" w:rsidP="00776872">
            <w:pPr>
              <w:pStyle w:val="ListParagraph"/>
              <w:numPr>
                <w:ilvl w:val="0"/>
                <w:numId w:val="5"/>
              </w:numPr>
              <w:ind w:left="360"/>
              <w:rPr>
                <w:rFonts w:ascii="Times New Roman" w:hAnsi="Times New Roman" w:cs="Times New Roman"/>
                <w:sz w:val="21"/>
                <w:szCs w:val="21"/>
              </w:rPr>
            </w:pPr>
            <w:r w:rsidRPr="007117E7">
              <w:rPr>
                <w:rFonts w:ascii="Times New Roman" w:hAnsi="Times New Roman" w:cs="Times New Roman"/>
                <w:sz w:val="21"/>
                <w:szCs w:val="21"/>
              </w:rPr>
              <w:t xml:space="preserve">FMU of Kubu Raya will be a pilot project for REDD+ </w:t>
            </w:r>
            <w:r w:rsidR="0095510F" w:rsidRPr="007117E7">
              <w:rPr>
                <w:rFonts w:ascii="Times New Roman" w:hAnsi="Times New Roman" w:cs="Times New Roman"/>
                <w:sz w:val="21"/>
                <w:szCs w:val="21"/>
              </w:rPr>
              <w:t xml:space="preserve">and GGP </w:t>
            </w:r>
            <w:r w:rsidRPr="007117E7">
              <w:rPr>
                <w:rFonts w:ascii="Times New Roman" w:hAnsi="Times New Roman" w:cs="Times New Roman"/>
                <w:sz w:val="21"/>
                <w:szCs w:val="21"/>
              </w:rPr>
              <w:t>integration.</w:t>
            </w:r>
          </w:p>
        </w:tc>
      </w:tr>
    </w:tbl>
    <w:p w14:paraId="51FA5798" w14:textId="77777777" w:rsidR="007B6BD0" w:rsidRDefault="007B6BD0" w:rsidP="007B6BD0">
      <w:pPr>
        <w:spacing w:after="120"/>
        <w:rPr>
          <w:sz w:val="21"/>
          <w:szCs w:val="21"/>
        </w:rPr>
      </w:pPr>
    </w:p>
    <w:p w14:paraId="0A12D49D" w14:textId="77777777" w:rsidR="0061488A" w:rsidRPr="00C80F34" w:rsidRDefault="0061488A" w:rsidP="007B6BD0">
      <w:pPr>
        <w:spacing w:after="120"/>
        <w:rPr>
          <w:sz w:val="21"/>
          <w:szCs w:val="21"/>
        </w:rPr>
      </w:pPr>
    </w:p>
    <w:p w14:paraId="0BFF38C4" w14:textId="77777777" w:rsidR="00600F9C" w:rsidRPr="00C80F34" w:rsidRDefault="00600F9C" w:rsidP="00600F9C">
      <w:pPr>
        <w:pStyle w:val="ListParagraph"/>
        <w:numPr>
          <w:ilvl w:val="1"/>
          <w:numId w:val="1"/>
        </w:numPr>
        <w:spacing w:after="0" w:line="240" w:lineRule="auto"/>
        <w:ind w:left="567" w:hanging="567"/>
        <w:contextualSpacing w:val="0"/>
        <w:rPr>
          <w:rFonts w:ascii="Times New Roman" w:hAnsi="Times New Roman" w:cs="Times New Roman"/>
          <w:b/>
        </w:rPr>
      </w:pPr>
      <w:r w:rsidRPr="00C80F34">
        <w:rPr>
          <w:rFonts w:ascii="Times New Roman" w:hAnsi="Times New Roman" w:cs="Times New Roman"/>
          <w:b/>
        </w:rPr>
        <w:lastRenderedPageBreak/>
        <w:t>Description of Activities (1 page)</w:t>
      </w:r>
    </w:p>
    <w:tbl>
      <w:tblPr>
        <w:tblStyle w:val="TableGrid"/>
        <w:tblW w:w="15451" w:type="dxa"/>
        <w:tblInd w:w="-5" w:type="dxa"/>
        <w:tblLayout w:type="fixed"/>
        <w:tblLook w:val="04A0" w:firstRow="1" w:lastRow="0" w:firstColumn="1" w:lastColumn="0" w:noHBand="0" w:noVBand="1"/>
      </w:tblPr>
      <w:tblGrid>
        <w:gridCol w:w="2268"/>
        <w:gridCol w:w="2977"/>
        <w:gridCol w:w="10206"/>
      </w:tblGrid>
      <w:tr w:rsidR="00401A77" w:rsidRPr="00C80F34" w14:paraId="6A995BB5" w14:textId="77777777" w:rsidTr="005E7EB8">
        <w:tc>
          <w:tcPr>
            <w:tcW w:w="2268" w:type="dxa"/>
          </w:tcPr>
          <w:p w14:paraId="593162CF" w14:textId="77777777" w:rsidR="00401A77" w:rsidRPr="007117E7" w:rsidRDefault="005A1717" w:rsidP="00EE1A6D">
            <w:pPr>
              <w:pStyle w:val="ListParagraph"/>
              <w:ind w:left="0"/>
              <w:contextualSpacing w:val="0"/>
              <w:jc w:val="center"/>
              <w:rPr>
                <w:rFonts w:ascii="Times New Roman" w:hAnsi="Times New Roman" w:cs="Times New Roman"/>
                <w:b/>
                <w:sz w:val="21"/>
                <w:szCs w:val="21"/>
              </w:rPr>
            </w:pPr>
            <w:r w:rsidRPr="007117E7">
              <w:rPr>
                <w:rFonts w:ascii="Times New Roman" w:hAnsi="Times New Roman" w:cs="Times New Roman"/>
                <w:b/>
                <w:sz w:val="21"/>
                <w:szCs w:val="21"/>
              </w:rPr>
              <w:t xml:space="preserve">Expected </w:t>
            </w:r>
            <w:r w:rsidR="00401A77" w:rsidRPr="007117E7">
              <w:rPr>
                <w:rFonts w:ascii="Times New Roman" w:hAnsi="Times New Roman" w:cs="Times New Roman"/>
                <w:b/>
                <w:sz w:val="21"/>
                <w:szCs w:val="21"/>
              </w:rPr>
              <w:t>Output</w:t>
            </w:r>
          </w:p>
        </w:tc>
        <w:tc>
          <w:tcPr>
            <w:tcW w:w="2977" w:type="dxa"/>
            <w:shd w:val="clear" w:color="auto" w:fill="FFFFFF" w:themeFill="background1"/>
          </w:tcPr>
          <w:p w14:paraId="56A89476" w14:textId="77777777" w:rsidR="00401A77" w:rsidRPr="007117E7" w:rsidRDefault="00026371" w:rsidP="00EE1A6D">
            <w:pPr>
              <w:pStyle w:val="ListParagraph"/>
              <w:ind w:left="0"/>
              <w:contextualSpacing w:val="0"/>
              <w:jc w:val="center"/>
              <w:rPr>
                <w:rFonts w:ascii="Times New Roman" w:hAnsi="Times New Roman" w:cs="Times New Roman"/>
                <w:b/>
                <w:sz w:val="21"/>
                <w:szCs w:val="21"/>
              </w:rPr>
            </w:pPr>
            <w:r w:rsidRPr="007117E7">
              <w:rPr>
                <w:rFonts w:ascii="Times New Roman" w:hAnsi="Times New Roman" w:cs="Times New Roman"/>
                <w:b/>
                <w:sz w:val="21"/>
                <w:szCs w:val="21"/>
              </w:rPr>
              <w:t xml:space="preserve">Main </w:t>
            </w:r>
            <w:r w:rsidR="00401A77" w:rsidRPr="007117E7">
              <w:rPr>
                <w:rFonts w:ascii="Times New Roman" w:hAnsi="Times New Roman" w:cs="Times New Roman"/>
                <w:b/>
                <w:sz w:val="21"/>
                <w:szCs w:val="21"/>
              </w:rPr>
              <w:t>Activity</w:t>
            </w:r>
          </w:p>
        </w:tc>
        <w:tc>
          <w:tcPr>
            <w:tcW w:w="10206" w:type="dxa"/>
          </w:tcPr>
          <w:p w14:paraId="1C5456F9" w14:textId="77777777" w:rsidR="00401A77" w:rsidRPr="007117E7" w:rsidRDefault="000D0B4D" w:rsidP="00C07F7F">
            <w:pPr>
              <w:pStyle w:val="ListParagraph"/>
              <w:ind w:left="0"/>
              <w:contextualSpacing w:val="0"/>
              <w:jc w:val="center"/>
              <w:rPr>
                <w:rFonts w:ascii="Times New Roman" w:hAnsi="Times New Roman" w:cs="Times New Roman"/>
                <w:b/>
                <w:sz w:val="21"/>
                <w:szCs w:val="21"/>
              </w:rPr>
            </w:pPr>
            <w:r w:rsidRPr="007117E7">
              <w:rPr>
                <w:rFonts w:ascii="Times New Roman" w:hAnsi="Times New Roman" w:cs="Times New Roman"/>
                <w:b/>
                <w:sz w:val="21"/>
                <w:szCs w:val="21"/>
              </w:rPr>
              <w:t>Description</w:t>
            </w:r>
          </w:p>
        </w:tc>
      </w:tr>
      <w:tr w:rsidR="00F64D07" w:rsidRPr="00C80F34" w14:paraId="62856B15" w14:textId="77777777" w:rsidTr="005E7EB8">
        <w:tc>
          <w:tcPr>
            <w:tcW w:w="2268" w:type="dxa"/>
          </w:tcPr>
          <w:p w14:paraId="18601303" w14:textId="77777777" w:rsidR="00F64D07" w:rsidRPr="00C80F34" w:rsidRDefault="00F64D07" w:rsidP="00F64D07">
            <w:pPr>
              <w:rPr>
                <w:sz w:val="21"/>
                <w:szCs w:val="21"/>
              </w:rPr>
            </w:pPr>
            <w:r w:rsidRPr="00C80F34">
              <w:rPr>
                <w:sz w:val="21"/>
                <w:szCs w:val="21"/>
              </w:rPr>
              <w:t>REDD+ performance in emission reduction evaluated</w:t>
            </w:r>
          </w:p>
          <w:p w14:paraId="38C60EEA" w14:textId="77777777" w:rsidR="00F64D07" w:rsidRPr="00C80F34" w:rsidRDefault="00F64D07" w:rsidP="00F64D07">
            <w:pPr>
              <w:rPr>
                <w:sz w:val="21"/>
                <w:szCs w:val="21"/>
              </w:rPr>
            </w:pPr>
          </w:p>
        </w:tc>
        <w:tc>
          <w:tcPr>
            <w:tcW w:w="2977" w:type="dxa"/>
            <w:shd w:val="clear" w:color="auto" w:fill="FFFFFF" w:themeFill="background1"/>
          </w:tcPr>
          <w:p w14:paraId="21370306" w14:textId="1BB64687" w:rsidR="00F64D07" w:rsidRPr="007117E7" w:rsidRDefault="00524BD1" w:rsidP="00776872">
            <w:pPr>
              <w:pStyle w:val="ListParagraph"/>
              <w:numPr>
                <w:ilvl w:val="0"/>
                <w:numId w:val="7"/>
              </w:numPr>
              <w:ind w:left="360"/>
              <w:rPr>
                <w:rFonts w:ascii="Times New Roman" w:hAnsi="Times New Roman" w:cs="Times New Roman"/>
                <w:sz w:val="21"/>
                <w:szCs w:val="21"/>
              </w:rPr>
            </w:pPr>
            <w:r w:rsidRPr="007117E7">
              <w:rPr>
                <w:rFonts w:ascii="Times New Roman" w:hAnsi="Times New Roman" w:cs="Times New Roman"/>
                <w:sz w:val="21"/>
                <w:szCs w:val="21"/>
              </w:rPr>
              <w:t>Conducting an analysis on REDD+ performance 2012-2018</w:t>
            </w:r>
            <w:r w:rsidR="0095510F" w:rsidRPr="007117E7">
              <w:rPr>
                <w:rFonts w:ascii="Times New Roman" w:hAnsi="Times New Roman" w:cs="Times New Roman"/>
                <w:sz w:val="21"/>
                <w:szCs w:val="21"/>
              </w:rPr>
              <w:t xml:space="preserve"> and GGP</w:t>
            </w:r>
          </w:p>
        </w:tc>
        <w:tc>
          <w:tcPr>
            <w:tcW w:w="10206" w:type="dxa"/>
          </w:tcPr>
          <w:p w14:paraId="567BB2C1" w14:textId="44FB1E21" w:rsidR="00F64D07" w:rsidRPr="00C80F34" w:rsidRDefault="00A715F6" w:rsidP="00C07F7F">
            <w:pPr>
              <w:jc w:val="both"/>
              <w:rPr>
                <w:sz w:val="21"/>
                <w:szCs w:val="21"/>
              </w:rPr>
            </w:pPr>
            <w:r w:rsidRPr="00C80F34">
              <w:rPr>
                <w:sz w:val="21"/>
                <w:szCs w:val="21"/>
              </w:rPr>
              <w:t xml:space="preserve">This activity </w:t>
            </w:r>
            <w:r w:rsidR="000D0B4D" w:rsidRPr="00C80F34">
              <w:rPr>
                <w:sz w:val="21"/>
                <w:szCs w:val="21"/>
              </w:rPr>
              <w:t>aim</w:t>
            </w:r>
            <w:r w:rsidRPr="00411B28">
              <w:rPr>
                <w:sz w:val="21"/>
                <w:szCs w:val="21"/>
              </w:rPr>
              <w:t>s</w:t>
            </w:r>
            <w:r w:rsidR="000D0B4D" w:rsidRPr="00411B28">
              <w:rPr>
                <w:sz w:val="21"/>
                <w:szCs w:val="21"/>
              </w:rPr>
              <w:t xml:space="preserve"> to </w:t>
            </w:r>
            <w:r w:rsidRPr="00411B28">
              <w:rPr>
                <w:sz w:val="21"/>
                <w:szCs w:val="21"/>
              </w:rPr>
              <w:t xml:space="preserve">get a detail </w:t>
            </w:r>
            <w:r w:rsidR="00C07F7F" w:rsidRPr="00411B28">
              <w:rPr>
                <w:sz w:val="21"/>
                <w:szCs w:val="21"/>
              </w:rPr>
              <w:t xml:space="preserve">SRAP </w:t>
            </w:r>
            <w:r w:rsidR="000D0B4D" w:rsidRPr="00411B28">
              <w:rPr>
                <w:sz w:val="21"/>
                <w:szCs w:val="21"/>
              </w:rPr>
              <w:t xml:space="preserve">REDD+ performance </w:t>
            </w:r>
            <w:r w:rsidRPr="00411B28">
              <w:rPr>
                <w:sz w:val="21"/>
                <w:szCs w:val="21"/>
              </w:rPr>
              <w:t xml:space="preserve">analysis (gaps, opportunity, barriers) </w:t>
            </w:r>
            <w:r w:rsidR="000D0B4D" w:rsidRPr="00411B28">
              <w:rPr>
                <w:sz w:val="21"/>
                <w:szCs w:val="21"/>
              </w:rPr>
              <w:t xml:space="preserve">in </w:t>
            </w:r>
            <w:r w:rsidRPr="00411B28">
              <w:rPr>
                <w:sz w:val="21"/>
                <w:szCs w:val="21"/>
              </w:rPr>
              <w:t xml:space="preserve">in the past 7 years (2012-2018) </w:t>
            </w:r>
            <w:r w:rsidR="0095510F" w:rsidRPr="00C80F34">
              <w:rPr>
                <w:sz w:val="21"/>
                <w:szCs w:val="21"/>
              </w:rPr>
              <w:t xml:space="preserve">and GGP </w:t>
            </w:r>
            <w:r w:rsidRPr="00C80F34">
              <w:rPr>
                <w:sz w:val="21"/>
                <w:szCs w:val="21"/>
              </w:rPr>
              <w:t xml:space="preserve">as a baseline to improve </w:t>
            </w:r>
            <w:r w:rsidR="00C07F7F" w:rsidRPr="00C80F34">
              <w:rPr>
                <w:sz w:val="21"/>
                <w:szCs w:val="21"/>
              </w:rPr>
              <w:t xml:space="preserve">SRAP </w:t>
            </w:r>
            <w:r w:rsidRPr="00C80F34">
              <w:rPr>
                <w:sz w:val="21"/>
                <w:szCs w:val="21"/>
              </w:rPr>
              <w:t>REDD+ implementation framework</w:t>
            </w:r>
            <w:r w:rsidR="000D0B4D" w:rsidRPr="00C80F34">
              <w:rPr>
                <w:sz w:val="21"/>
                <w:szCs w:val="21"/>
              </w:rPr>
              <w:t>.</w:t>
            </w:r>
            <w:r w:rsidRPr="00C80F34">
              <w:rPr>
                <w:sz w:val="21"/>
                <w:szCs w:val="21"/>
              </w:rPr>
              <w:t xml:space="preserve"> </w:t>
            </w:r>
            <w:r w:rsidR="000D0B4D" w:rsidRPr="00C80F34">
              <w:rPr>
                <w:sz w:val="21"/>
                <w:szCs w:val="21"/>
              </w:rPr>
              <w:t>Independent evaluator will be invited from Ministry of Environment and Forestry</w:t>
            </w:r>
            <w:r w:rsidR="00C07F7F" w:rsidRPr="00C80F34">
              <w:rPr>
                <w:sz w:val="21"/>
                <w:szCs w:val="21"/>
              </w:rPr>
              <w:t xml:space="preserve"> or experts</w:t>
            </w:r>
            <w:r w:rsidR="000D0B4D" w:rsidRPr="00C80F34">
              <w:rPr>
                <w:sz w:val="21"/>
                <w:szCs w:val="21"/>
              </w:rPr>
              <w:t>. SRAP REDD+ task force</w:t>
            </w:r>
            <w:r w:rsidR="00605CD5" w:rsidRPr="00C80F34">
              <w:rPr>
                <w:sz w:val="21"/>
                <w:szCs w:val="21"/>
              </w:rPr>
              <w:t>, YIDH and Project Management Unit</w:t>
            </w:r>
            <w:r w:rsidR="000D0B4D" w:rsidRPr="00C80F34">
              <w:rPr>
                <w:sz w:val="21"/>
                <w:szCs w:val="21"/>
              </w:rPr>
              <w:t xml:space="preserve"> will lead the activity alongside with sectoral agencies (Forestry, Environment and Plantation)</w:t>
            </w:r>
            <w:r w:rsidR="006446E3" w:rsidRPr="00C80F34">
              <w:rPr>
                <w:sz w:val="21"/>
                <w:szCs w:val="21"/>
              </w:rPr>
              <w:t xml:space="preserve"> and other stakeholders</w:t>
            </w:r>
            <w:r w:rsidR="000D0B4D" w:rsidRPr="00C80F34">
              <w:rPr>
                <w:sz w:val="21"/>
                <w:szCs w:val="21"/>
              </w:rPr>
              <w:t>. This activity will be conducted in 6 months.</w:t>
            </w:r>
          </w:p>
        </w:tc>
      </w:tr>
      <w:tr w:rsidR="006446E3" w:rsidRPr="00C80F34" w14:paraId="68F931FD" w14:textId="77777777" w:rsidTr="005E7EB8">
        <w:tc>
          <w:tcPr>
            <w:tcW w:w="2268" w:type="dxa"/>
            <w:vMerge w:val="restart"/>
          </w:tcPr>
          <w:p w14:paraId="3369DDB8" w14:textId="77777777" w:rsidR="006446E3" w:rsidRPr="00C80F34" w:rsidRDefault="006446E3" w:rsidP="00524BD1">
            <w:pPr>
              <w:rPr>
                <w:sz w:val="21"/>
                <w:szCs w:val="21"/>
              </w:rPr>
            </w:pPr>
            <w:r w:rsidRPr="00C80F34">
              <w:rPr>
                <w:sz w:val="21"/>
                <w:szCs w:val="21"/>
              </w:rPr>
              <w:t>A new target on emission reduction in achieving national carbon threshold towards National Determined Contribution (NDC)</w:t>
            </w:r>
          </w:p>
        </w:tc>
        <w:tc>
          <w:tcPr>
            <w:tcW w:w="2977" w:type="dxa"/>
            <w:shd w:val="clear" w:color="auto" w:fill="FFFFFF" w:themeFill="background1"/>
          </w:tcPr>
          <w:p w14:paraId="7F6BB48E" w14:textId="77777777" w:rsidR="006446E3" w:rsidRPr="007117E7" w:rsidRDefault="006446E3" w:rsidP="00776872">
            <w:pPr>
              <w:pStyle w:val="ListParagraph"/>
              <w:numPr>
                <w:ilvl w:val="0"/>
                <w:numId w:val="7"/>
              </w:numPr>
              <w:ind w:left="360"/>
              <w:rPr>
                <w:rFonts w:ascii="Times New Roman" w:hAnsi="Times New Roman" w:cs="Times New Roman"/>
                <w:b/>
                <w:sz w:val="21"/>
                <w:szCs w:val="21"/>
              </w:rPr>
            </w:pPr>
            <w:r w:rsidRPr="007117E7">
              <w:rPr>
                <w:rFonts w:ascii="Times New Roman" w:hAnsi="Times New Roman" w:cs="Times New Roman"/>
                <w:sz w:val="21"/>
                <w:szCs w:val="21"/>
              </w:rPr>
              <w:t xml:space="preserve">Assessing sub-national target on emission reduction </w:t>
            </w:r>
          </w:p>
        </w:tc>
        <w:tc>
          <w:tcPr>
            <w:tcW w:w="10206" w:type="dxa"/>
          </w:tcPr>
          <w:p w14:paraId="61FAAE2F" w14:textId="77777777" w:rsidR="006446E3" w:rsidRPr="00411B28" w:rsidRDefault="006446E3" w:rsidP="00C07F7F">
            <w:pPr>
              <w:jc w:val="both"/>
              <w:rPr>
                <w:sz w:val="21"/>
                <w:szCs w:val="21"/>
              </w:rPr>
            </w:pPr>
            <w:r w:rsidRPr="00C80F34">
              <w:rPr>
                <w:sz w:val="21"/>
                <w:szCs w:val="21"/>
              </w:rPr>
              <w:t>This activity aims to update the emission reduction target based on new national carbon threshold for West Kalimantan. SRAP REDD+ task force</w:t>
            </w:r>
            <w:r w:rsidR="00605CD5" w:rsidRPr="00411B28">
              <w:rPr>
                <w:sz w:val="21"/>
                <w:szCs w:val="21"/>
              </w:rPr>
              <w:t>, YIDH and Project Management Unit</w:t>
            </w:r>
            <w:r w:rsidRPr="00411B28">
              <w:rPr>
                <w:sz w:val="21"/>
                <w:szCs w:val="21"/>
              </w:rPr>
              <w:t xml:space="preserve"> will lead the activity alongside with sectoral agencies and other stakeholders</w:t>
            </w:r>
            <w:r w:rsidR="007F0E68" w:rsidRPr="00411B28">
              <w:rPr>
                <w:sz w:val="21"/>
                <w:szCs w:val="21"/>
              </w:rPr>
              <w:t>.</w:t>
            </w:r>
            <w:r w:rsidRPr="00411B28">
              <w:rPr>
                <w:sz w:val="21"/>
                <w:szCs w:val="21"/>
              </w:rPr>
              <w:t xml:space="preserve"> This activity will be conducted in 1 months.</w:t>
            </w:r>
          </w:p>
        </w:tc>
      </w:tr>
      <w:tr w:rsidR="006446E3" w:rsidRPr="00C80F34" w14:paraId="494A8B63" w14:textId="77777777" w:rsidTr="005E7EB8">
        <w:tc>
          <w:tcPr>
            <w:tcW w:w="2268" w:type="dxa"/>
            <w:vMerge/>
          </w:tcPr>
          <w:p w14:paraId="3AFFACD9" w14:textId="77777777" w:rsidR="006446E3" w:rsidRPr="00C80F34" w:rsidRDefault="006446E3" w:rsidP="00524BD1">
            <w:pPr>
              <w:rPr>
                <w:sz w:val="21"/>
                <w:szCs w:val="21"/>
              </w:rPr>
            </w:pPr>
          </w:p>
        </w:tc>
        <w:tc>
          <w:tcPr>
            <w:tcW w:w="2977" w:type="dxa"/>
            <w:shd w:val="clear" w:color="auto" w:fill="FFFFFF" w:themeFill="background1"/>
          </w:tcPr>
          <w:p w14:paraId="7D96D6EC" w14:textId="77777777" w:rsidR="006446E3" w:rsidRPr="007117E7" w:rsidRDefault="006446E3" w:rsidP="00776872">
            <w:pPr>
              <w:pStyle w:val="ListParagraph"/>
              <w:numPr>
                <w:ilvl w:val="0"/>
                <w:numId w:val="7"/>
              </w:numPr>
              <w:ind w:left="360"/>
              <w:rPr>
                <w:rFonts w:ascii="Times New Roman" w:hAnsi="Times New Roman" w:cs="Times New Roman"/>
                <w:b/>
                <w:sz w:val="21"/>
                <w:szCs w:val="21"/>
              </w:rPr>
            </w:pPr>
            <w:r w:rsidRPr="007117E7">
              <w:rPr>
                <w:rFonts w:ascii="Times New Roman" w:hAnsi="Times New Roman" w:cs="Times New Roman"/>
                <w:sz w:val="21"/>
                <w:szCs w:val="21"/>
              </w:rPr>
              <w:t>Developing a detail roadmap and milestones for sub-national in reducing the emission</w:t>
            </w:r>
          </w:p>
        </w:tc>
        <w:tc>
          <w:tcPr>
            <w:tcW w:w="10206" w:type="dxa"/>
          </w:tcPr>
          <w:p w14:paraId="1EC010A0" w14:textId="76EB5AB4" w:rsidR="006446E3" w:rsidRPr="00C80F34" w:rsidRDefault="006446E3" w:rsidP="00C07F7F">
            <w:pPr>
              <w:jc w:val="both"/>
              <w:rPr>
                <w:sz w:val="21"/>
                <w:szCs w:val="21"/>
              </w:rPr>
            </w:pPr>
            <w:r w:rsidRPr="00C80F34">
              <w:rPr>
                <w:sz w:val="21"/>
                <w:szCs w:val="21"/>
              </w:rPr>
              <w:t xml:space="preserve">This activity aims to develop a comprehensive roadmap and milestones to accelerate REDD+ </w:t>
            </w:r>
            <w:r w:rsidR="0095510F" w:rsidRPr="00C80F34">
              <w:rPr>
                <w:sz w:val="21"/>
                <w:szCs w:val="21"/>
              </w:rPr>
              <w:t xml:space="preserve">and GGP </w:t>
            </w:r>
            <w:r w:rsidRPr="00411B28">
              <w:rPr>
                <w:sz w:val="21"/>
                <w:szCs w:val="21"/>
              </w:rPr>
              <w:t xml:space="preserve">implementation based on performance evaluation. In particular, the roadmap will show detail strategy and action </w:t>
            </w:r>
            <w:r w:rsidR="00C6059C" w:rsidRPr="00411B28">
              <w:rPr>
                <w:sz w:val="21"/>
                <w:szCs w:val="21"/>
              </w:rPr>
              <w:t xml:space="preserve">plan </w:t>
            </w:r>
            <w:r w:rsidRPr="00411B28">
              <w:rPr>
                <w:sz w:val="21"/>
                <w:szCs w:val="21"/>
              </w:rPr>
              <w:t>for sub-national government in reaching the national carbon threshold</w:t>
            </w:r>
            <w:r w:rsidR="005649DB" w:rsidRPr="00C80F34">
              <w:rPr>
                <w:sz w:val="21"/>
                <w:szCs w:val="21"/>
              </w:rPr>
              <w:t xml:space="preserve"> for West Kalimantan</w:t>
            </w:r>
            <w:r w:rsidRPr="00C80F34">
              <w:rPr>
                <w:sz w:val="21"/>
                <w:szCs w:val="21"/>
              </w:rPr>
              <w:t xml:space="preserve">. </w:t>
            </w:r>
            <w:r w:rsidR="007F0E68" w:rsidRPr="00C80F34">
              <w:rPr>
                <w:sz w:val="21"/>
                <w:szCs w:val="21"/>
              </w:rPr>
              <w:t>SRAP REDD+ task force</w:t>
            </w:r>
            <w:r w:rsidR="00605CD5" w:rsidRPr="00C80F34">
              <w:rPr>
                <w:sz w:val="21"/>
                <w:szCs w:val="21"/>
              </w:rPr>
              <w:t>, YIDH and Project Management Unit</w:t>
            </w:r>
            <w:r w:rsidR="007F0E68" w:rsidRPr="00C80F34">
              <w:rPr>
                <w:sz w:val="21"/>
                <w:szCs w:val="21"/>
              </w:rPr>
              <w:t xml:space="preserve"> will lead the activity alongside with sectoral agencies and other stakeholders</w:t>
            </w:r>
            <w:r w:rsidRPr="00C80F34">
              <w:rPr>
                <w:sz w:val="21"/>
                <w:szCs w:val="21"/>
              </w:rPr>
              <w:t>. This activity will be conducted in 5 months.</w:t>
            </w:r>
          </w:p>
        </w:tc>
      </w:tr>
      <w:tr w:rsidR="00524BD1" w:rsidRPr="00C80F34" w14:paraId="22889B52" w14:textId="77777777" w:rsidTr="005E7EB8">
        <w:tc>
          <w:tcPr>
            <w:tcW w:w="2268" w:type="dxa"/>
          </w:tcPr>
          <w:p w14:paraId="4BD236D2" w14:textId="77777777" w:rsidR="00524BD1" w:rsidRPr="007117E7" w:rsidRDefault="00AE0E18" w:rsidP="00AE0E18">
            <w:pPr>
              <w:pStyle w:val="ListParagraph"/>
              <w:ind w:left="0"/>
              <w:contextualSpacing w:val="0"/>
              <w:rPr>
                <w:rFonts w:ascii="Times New Roman" w:hAnsi="Times New Roman" w:cs="Times New Roman"/>
                <w:b/>
                <w:sz w:val="21"/>
                <w:szCs w:val="21"/>
              </w:rPr>
            </w:pPr>
            <w:r w:rsidRPr="007117E7">
              <w:rPr>
                <w:rFonts w:ascii="Times New Roman" w:hAnsi="Times New Roman" w:cs="Times New Roman"/>
                <w:sz w:val="21"/>
                <w:szCs w:val="21"/>
              </w:rPr>
              <w:t xml:space="preserve">Sub-national REDD+ forum developed in accelerating </w:t>
            </w:r>
            <w:r w:rsidR="00524BD1" w:rsidRPr="007117E7">
              <w:rPr>
                <w:rFonts w:ascii="Times New Roman" w:hAnsi="Times New Roman" w:cs="Times New Roman"/>
                <w:sz w:val="21"/>
                <w:szCs w:val="21"/>
              </w:rPr>
              <w:t>REDD+</w:t>
            </w:r>
            <w:r w:rsidRPr="007117E7">
              <w:rPr>
                <w:rFonts w:ascii="Times New Roman" w:hAnsi="Times New Roman" w:cs="Times New Roman"/>
                <w:sz w:val="21"/>
                <w:szCs w:val="21"/>
              </w:rPr>
              <w:t xml:space="preserve"> implementation</w:t>
            </w:r>
          </w:p>
        </w:tc>
        <w:tc>
          <w:tcPr>
            <w:tcW w:w="2977" w:type="dxa"/>
            <w:shd w:val="clear" w:color="auto" w:fill="FFFFFF" w:themeFill="background1"/>
          </w:tcPr>
          <w:p w14:paraId="5A8DF8AB" w14:textId="77777777" w:rsidR="00524BD1" w:rsidRPr="007117E7" w:rsidRDefault="00524BD1" w:rsidP="00776872">
            <w:pPr>
              <w:pStyle w:val="ListParagraph"/>
              <w:numPr>
                <w:ilvl w:val="0"/>
                <w:numId w:val="7"/>
              </w:numPr>
              <w:ind w:left="360"/>
              <w:rPr>
                <w:rFonts w:ascii="Times New Roman" w:hAnsi="Times New Roman" w:cs="Times New Roman"/>
                <w:b/>
                <w:sz w:val="21"/>
                <w:szCs w:val="21"/>
              </w:rPr>
            </w:pPr>
            <w:r w:rsidRPr="007117E7">
              <w:rPr>
                <w:rFonts w:ascii="Times New Roman" w:hAnsi="Times New Roman" w:cs="Times New Roman"/>
                <w:sz w:val="21"/>
                <w:szCs w:val="21"/>
              </w:rPr>
              <w:t xml:space="preserve">Linking </w:t>
            </w:r>
            <w:r w:rsidR="00AE0E18" w:rsidRPr="007117E7">
              <w:rPr>
                <w:rFonts w:ascii="Times New Roman" w:hAnsi="Times New Roman" w:cs="Times New Roman"/>
                <w:sz w:val="21"/>
                <w:szCs w:val="21"/>
              </w:rPr>
              <w:t xml:space="preserve">the sub-national </w:t>
            </w:r>
            <w:r w:rsidRPr="007117E7">
              <w:rPr>
                <w:rFonts w:ascii="Times New Roman" w:hAnsi="Times New Roman" w:cs="Times New Roman"/>
                <w:sz w:val="21"/>
                <w:szCs w:val="21"/>
              </w:rPr>
              <w:t xml:space="preserve">REDD+ task force </w:t>
            </w:r>
            <w:r w:rsidR="00AE0E18" w:rsidRPr="007117E7">
              <w:rPr>
                <w:rFonts w:ascii="Times New Roman" w:hAnsi="Times New Roman" w:cs="Times New Roman"/>
                <w:sz w:val="21"/>
                <w:szCs w:val="21"/>
              </w:rPr>
              <w:t>with district government level</w:t>
            </w:r>
          </w:p>
        </w:tc>
        <w:tc>
          <w:tcPr>
            <w:tcW w:w="10206" w:type="dxa"/>
          </w:tcPr>
          <w:p w14:paraId="1389A4EC" w14:textId="61E4FF5D" w:rsidR="00524BD1" w:rsidRPr="00C80F34" w:rsidRDefault="00AE0E18" w:rsidP="005F4F0C">
            <w:pPr>
              <w:jc w:val="both"/>
              <w:rPr>
                <w:sz w:val="21"/>
                <w:szCs w:val="21"/>
              </w:rPr>
            </w:pPr>
            <w:r w:rsidRPr="00C80F34">
              <w:rPr>
                <w:sz w:val="21"/>
                <w:szCs w:val="21"/>
              </w:rPr>
              <w:t xml:space="preserve">This activity aims to institutionalize the </w:t>
            </w:r>
            <w:r w:rsidR="00A57DC2" w:rsidRPr="00C80F34">
              <w:rPr>
                <w:sz w:val="21"/>
                <w:szCs w:val="21"/>
              </w:rPr>
              <w:t xml:space="preserve">SRAP </w:t>
            </w:r>
            <w:r w:rsidRPr="00411B28">
              <w:rPr>
                <w:sz w:val="21"/>
                <w:szCs w:val="21"/>
              </w:rPr>
              <w:t xml:space="preserve">REDD+ </w:t>
            </w:r>
            <w:r w:rsidR="00A57DC2" w:rsidRPr="00411B28">
              <w:rPr>
                <w:sz w:val="21"/>
                <w:szCs w:val="21"/>
              </w:rPr>
              <w:t xml:space="preserve">task force </w:t>
            </w:r>
            <w:r w:rsidRPr="00411B28">
              <w:rPr>
                <w:sz w:val="21"/>
                <w:szCs w:val="21"/>
              </w:rPr>
              <w:t>at district level</w:t>
            </w:r>
            <w:r w:rsidR="00A57DC2" w:rsidRPr="00411B28">
              <w:rPr>
                <w:sz w:val="21"/>
                <w:szCs w:val="21"/>
              </w:rPr>
              <w:t xml:space="preserve">, including </w:t>
            </w:r>
            <w:r w:rsidR="001001DE" w:rsidRPr="00411B28">
              <w:rPr>
                <w:sz w:val="21"/>
                <w:szCs w:val="21"/>
              </w:rPr>
              <w:t xml:space="preserve">by integrating </w:t>
            </w:r>
            <w:r w:rsidR="007F0E68" w:rsidRPr="00411B28">
              <w:rPr>
                <w:sz w:val="21"/>
                <w:szCs w:val="21"/>
              </w:rPr>
              <w:t xml:space="preserve">the SRAP </w:t>
            </w:r>
            <w:r w:rsidR="00A57DC2" w:rsidRPr="00C80F34">
              <w:rPr>
                <w:sz w:val="21"/>
                <w:szCs w:val="21"/>
              </w:rPr>
              <w:t>REDD+</w:t>
            </w:r>
            <w:r w:rsidR="001001DE" w:rsidRPr="00C80F34">
              <w:rPr>
                <w:sz w:val="21"/>
                <w:szCs w:val="21"/>
              </w:rPr>
              <w:t xml:space="preserve"> and GGP into</w:t>
            </w:r>
            <w:r w:rsidR="007F0E68" w:rsidRPr="00C80F34">
              <w:rPr>
                <w:sz w:val="21"/>
                <w:szCs w:val="21"/>
              </w:rPr>
              <w:t xml:space="preserve"> sectoral plan</w:t>
            </w:r>
            <w:r w:rsidR="001001DE" w:rsidRPr="00C80F34">
              <w:rPr>
                <w:sz w:val="21"/>
                <w:szCs w:val="21"/>
              </w:rPr>
              <w:t>s</w:t>
            </w:r>
            <w:r w:rsidR="00A57DC2" w:rsidRPr="00C80F34">
              <w:rPr>
                <w:sz w:val="21"/>
                <w:szCs w:val="21"/>
              </w:rPr>
              <w:t>. Background</w:t>
            </w:r>
            <w:r w:rsidR="001001DE" w:rsidRPr="00C80F34">
              <w:rPr>
                <w:sz w:val="21"/>
                <w:szCs w:val="21"/>
              </w:rPr>
              <w:t xml:space="preserve">: </w:t>
            </w:r>
            <w:r w:rsidR="00A57DC2" w:rsidRPr="00C80F34">
              <w:rPr>
                <w:sz w:val="21"/>
                <w:szCs w:val="21"/>
              </w:rPr>
              <w:t>district government needs to be more involved in achieving the REDD+ objective</w:t>
            </w:r>
            <w:r w:rsidR="007F0E68" w:rsidRPr="00C80F34">
              <w:rPr>
                <w:sz w:val="21"/>
                <w:szCs w:val="21"/>
              </w:rPr>
              <w:t xml:space="preserve">s and </w:t>
            </w:r>
            <w:r w:rsidR="001001DE" w:rsidRPr="00C80F34">
              <w:rPr>
                <w:sz w:val="21"/>
                <w:szCs w:val="21"/>
              </w:rPr>
              <w:t xml:space="preserve">currently, </w:t>
            </w:r>
            <w:r w:rsidR="007F0E68" w:rsidRPr="00C80F34">
              <w:rPr>
                <w:sz w:val="21"/>
                <w:szCs w:val="21"/>
              </w:rPr>
              <w:t xml:space="preserve">SRAP REDD+ </w:t>
            </w:r>
            <w:r w:rsidR="001001DE" w:rsidRPr="00C80F34">
              <w:rPr>
                <w:sz w:val="21"/>
                <w:szCs w:val="21"/>
              </w:rPr>
              <w:t xml:space="preserve">is yet to be integrated into </w:t>
            </w:r>
            <w:r w:rsidR="007F0E68" w:rsidRPr="00C80F34">
              <w:rPr>
                <w:sz w:val="21"/>
                <w:szCs w:val="21"/>
              </w:rPr>
              <w:t>sectoral plan</w:t>
            </w:r>
            <w:r w:rsidR="001001DE" w:rsidRPr="00C80F34">
              <w:rPr>
                <w:sz w:val="21"/>
                <w:szCs w:val="21"/>
              </w:rPr>
              <w:t>s</w:t>
            </w:r>
            <w:r w:rsidR="00A57DC2" w:rsidRPr="00C80F34">
              <w:rPr>
                <w:sz w:val="21"/>
                <w:szCs w:val="21"/>
              </w:rPr>
              <w:t xml:space="preserve">. It is hoped that the district will institutionalize </w:t>
            </w:r>
            <w:r w:rsidR="00EF0B98" w:rsidRPr="00C80F34">
              <w:rPr>
                <w:sz w:val="21"/>
                <w:szCs w:val="21"/>
              </w:rPr>
              <w:t xml:space="preserve">the REDD+ into their plan. </w:t>
            </w:r>
            <w:r w:rsidR="007F0E68" w:rsidRPr="00C80F34">
              <w:rPr>
                <w:sz w:val="21"/>
                <w:szCs w:val="21"/>
              </w:rPr>
              <w:t>SRAP REDD+ task force</w:t>
            </w:r>
            <w:r w:rsidR="00605CD5" w:rsidRPr="00C80F34">
              <w:rPr>
                <w:sz w:val="21"/>
                <w:szCs w:val="21"/>
              </w:rPr>
              <w:t>, YIDH and Project Management Unit</w:t>
            </w:r>
            <w:r w:rsidR="007F0E68" w:rsidRPr="00C80F34">
              <w:rPr>
                <w:sz w:val="21"/>
                <w:szCs w:val="21"/>
              </w:rPr>
              <w:t xml:space="preserve"> will lead the activity alongside with sectoral agencies and other stakeholders. </w:t>
            </w:r>
            <w:r w:rsidR="00EF0B98" w:rsidRPr="00C80F34">
              <w:rPr>
                <w:sz w:val="21"/>
                <w:szCs w:val="21"/>
              </w:rPr>
              <w:t xml:space="preserve">This activity will be conducted in 4 months. </w:t>
            </w:r>
          </w:p>
        </w:tc>
      </w:tr>
      <w:tr w:rsidR="00524BD1" w:rsidRPr="00C80F34" w14:paraId="332FBCF3" w14:textId="77777777" w:rsidTr="005E7EB8">
        <w:tc>
          <w:tcPr>
            <w:tcW w:w="2268" w:type="dxa"/>
          </w:tcPr>
          <w:p w14:paraId="6DBB6B5C" w14:textId="77777777" w:rsidR="00524BD1" w:rsidRPr="007117E7" w:rsidRDefault="00524BD1" w:rsidP="00524BD1">
            <w:pPr>
              <w:pStyle w:val="ListParagraph"/>
              <w:ind w:left="0"/>
              <w:contextualSpacing w:val="0"/>
              <w:rPr>
                <w:rFonts w:ascii="Times New Roman" w:hAnsi="Times New Roman" w:cs="Times New Roman"/>
                <w:b/>
                <w:sz w:val="21"/>
                <w:szCs w:val="21"/>
              </w:rPr>
            </w:pPr>
            <w:r w:rsidRPr="007117E7">
              <w:rPr>
                <w:rFonts w:ascii="Times New Roman" w:hAnsi="Times New Roman" w:cs="Times New Roman"/>
                <w:sz w:val="21"/>
                <w:szCs w:val="21"/>
              </w:rPr>
              <w:t>REDD+ task force ability to accelerate REDD+ implementation and developing green investment scheme</w:t>
            </w:r>
          </w:p>
        </w:tc>
        <w:tc>
          <w:tcPr>
            <w:tcW w:w="2977" w:type="dxa"/>
            <w:shd w:val="clear" w:color="auto" w:fill="FFFFFF" w:themeFill="background1"/>
          </w:tcPr>
          <w:p w14:paraId="4A1288B4" w14:textId="77777777" w:rsidR="00524BD1" w:rsidRPr="007117E7" w:rsidRDefault="00524BD1" w:rsidP="00776872">
            <w:pPr>
              <w:pStyle w:val="ListParagraph"/>
              <w:numPr>
                <w:ilvl w:val="0"/>
                <w:numId w:val="7"/>
              </w:numPr>
              <w:ind w:left="360"/>
              <w:rPr>
                <w:rFonts w:ascii="Times New Roman" w:hAnsi="Times New Roman" w:cs="Times New Roman"/>
                <w:sz w:val="21"/>
                <w:szCs w:val="21"/>
              </w:rPr>
            </w:pPr>
            <w:r w:rsidRPr="007117E7">
              <w:rPr>
                <w:rFonts w:ascii="Times New Roman" w:hAnsi="Times New Roman" w:cs="Times New Roman"/>
                <w:sz w:val="21"/>
                <w:szCs w:val="21"/>
              </w:rPr>
              <w:t>Capacity building on REDD+ and green investment scheme</w:t>
            </w:r>
          </w:p>
        </w:tc>
        <w:tc>
          <w:tcPr>
            <w:tcW w:w="10206" w:type="dxa"/>
          </w:tcPr>
          <w:p w14:paraId="44134AF7" w14:textId="6A5E4982" w:rsidR="00524BD1" w:rsidRPr="00C80F34" w:rsidRDefault="00EF0B98" w:rsidP="005F4F0C">
            <w:pPr>
              <w:jc w:val="both"/>
              <w:rPr>
                <w:sz w:val="21"/>
                <w:szCs w:val="21"/>
              </w:rPr>
            </w:pPr>
            <w:r w:rsidRPr="00C80F34">
              <w:rPr>
                <w:sz w:val="21"/>
                <w:szCs w:val="21"/>
              </w:rPr>
              <w:t>This activity aims to improve capacity of SRAP REDD+ task force’s team member</w:t>
            </w:r>
            <w:r w:rsidR="00776B99" w:rsidRPr="00411B28">
              <w:rPr>
                <w:sz w:val="21"/>
                <w:szCs w:val="21"/>
              </w:rPr>
              <w:t xml:space="preserve"> and relevant stakeholders with at least 30% female participation. </w:t>
            </w:r>
            <w:r w:rsidR="00DA039A" w:rsidRPr="00411B28">
              <w:rPr>
                <w:sz w:val="21"/>
                <w:szCs w:val="21"/>
              </w:rPr>
              <w:t>Capacity to be improved such as</w:t>
            </w:r>
            <w:r w:rsidRPr="00411B28">
              <w:rPr>
                <w:sz w:val="21"/>
                <w:szCs w:val="21"/>
              </w:rPr>
              <w:t xml:space="preserve"> how they can create an opportunity (activity or fund) to support the REDD+ and </w:t>
            </w:r>
            <w:r w:rsidR="001001DE" w:rsidRPr="00411B28">
              <w:rPr>
                <w:sz w:val="21"/>
                <w:szCs w:val="21"/>
              </w:rPr>
              <w:t>GGP</w:t>
            </w:r>
            <w:r w:rsidRPr="00411B28">
              <w:rPr>
                <w:sz w:val="21"/>
                <w:szCs w:val="21"/>
              </w:rPr>
              <w:t xml:space="preserve">. This activity will </w:t>
            </w:r>
            <w:r w:rsidR="007F0E68" w:rsidRPr="00411B28">
              <w:rPr>
                <w:sz w:val="21"/>
                <w:szCs w:val="21"/>
              </w:rPr>
              <w:t xml:space="preserve">also </w:t>
            </w:r>
            <w:r w:rsidRPr="00411B28">
              <w:rPr>
                <w:sz w:val="21"/>
                <w:szCs w:val="21"/>
              </w:rPr>
              <w:t xml:space="preserve">prepare </w:t>
            </w:r>
            <w:r w:rsidR="007F0E68" w:rsidRPr="00411B28">
              <w:rPr>
                <w:sz w:val="21"/>
                <w:szCs w:val="21"/>
              </w:rPr>
              <w:t xml:space="preserve">a </w:t>
            </w:r>
            <w:r w:rsidRPr="00411B28">
              <w:rPr>
                <w:sz w:val="21"/>
                <w:szCs w:val="21"/>
              </w:rPr>
              <w:t>team that will involve in green investment</w:t>
            </w:r>
            <w:r w:rsidR="007F0E68" w:rsidRPr="00411B28">
              <w:rPr>
                <w:sz w:val="21"/>
                <w:szCs w:val="21"/>
              </w:rPr>
              <w:t xml:space="preserve"> </w:t>
            </w:r>
            <w:r w:rsidR="00BA70EB" w:rsidRPr="00C80F34">
              <w:rPr>
                <w:sz w:val="21"/>
                <w:szCs w:val="21"/>
              </w:rPr>
              <w:t>development</w:t>
            </w:r>
            <w:r w:rsidRPr="00C80F34">
              <w:rPr>
                <w:sz w:val="21"/>
                <w:szCs w:val="21"/>
              </w:rPr>
              <w:t xml:space="preserve">. </w:t>
            </w:r>
            <w:r w:rsidR="001001DE" w:rsidRPr="00C80F34">
              <w:rPr>
                <w:sz w:val="21"/>
                <w:szCs w:val="21"/>
              </w:rPr>
              <w:t xml:space="preserve">Training </w:t>
            </w:r>
            <w:r w:rsidR="00BA70EB" w:rsidRPr="00C80F34">
              <w:rPr>
                <w:sz w:val="21"/>
                <w:szCs w:val="21"/>
              </w:rPr>
              <w:t xml:space="preserve">for </w:t>
            </w:r>
            <w:r w:rsidR="001001DE" w:rsidRPr="00C80F34">
              <w:rPr>
                <w:sz w:val="21"/>
                <w:szCs w:val="21"/>
              </w:rPr>
              <w:t>trainers may be needed</w:t>
            </w:r>
            <w:r w:rsidR="00BA70EB" w:rsidRPr="00C80F34">
              <w:rPr>
                <w:sz w:val="21"/>
                <w:szCs w:val="21"/>
              </w:rPr>
              <w:t xml:space="preserve"> </w:t>
            </w:r>
            <w:r w:rsidR="001001DE" w:rsidRPr="00C80F34">
              <w:rPr>
                <w:sz w:val="21"/>
                <w:szCs w:val="21"/>
              </w:rPr>
              <w:t xml:space="preserve">involving </w:t>
            </w:r>
            <w:r w:rsidRPr="00C80F34">
              <w:rPr>
                <w:sz w:val="21"/>
                <w:szCs w:val="21"/>
              </w:rPr>
              <w:t>expert</w:t>
            </w:r>
            <w:r w:rsidR="001001DE" w:rsidRPr="00C80F34">
              <w:rPr>
                <w:sz w:val="21"/>
                <w:szCs w:val="21"/>
              </w:rPr>
              <w:t>s</w:t>
            </w:r>
            <w:r w:rsidRPr="00C80F34">
              <w:rPr>
                <w:sz w:val="21"/>
                <w:szCs w:val="21"/>
              </w:rPr>
              <w:t xml:space="preserve"> from various </w:t>
            </w:r>
            <w:r w:rsidR="00BA70EB" w:rsidRPr="00C80F34">
              <w:rPr>
                <w:sz w:val="21"/>
                <w:szCs w:val="21"/>
              </w:rPr>
              <w:t xml:space="preserve">national and international </w:t>
            </w:r>
            <w:r w:rsidRPr="00C80F34">
              <w:rPr>
                <w:sz w:val="21"/>
                <w:szCs w:val="21"/>
              </w:rPr>
              <w:t>institutions/organization who</w:t>
            </w:r>
            <w:r w:rsidR="001001DE" w:rsidRPr="00C80F34">
              <w:rPr>
                <w:sz w:val="21"/>
                <w:szCs w:val="21"/>
              </w:rPr>
              <w:t xml:space="preserve"> have</w:t>
            </w:r>
            <w:r w:rsidRPr="00C80F34">
              <w:rPr>
                <w:sz w:val="21"/>
                <w:szCs w:val="21"/>
              </w:rPr>
              <w:t xml:space="preserve"> experience in REDD+ and green investment. </w:t>
            </w:r>
            <w:r w:rsidR="00BA70EB" w:rsidRPr="00C80F34">
              <w:rPr>
                <w:sz w:val="21"/>
                <w:szCs w:val="21"/>
              </w:rPr>
              <w:t>SRAP REDD+ task force</w:t>
            </w:r>
            <w:r w:rsidR="00605CD5" w:rsidRPr="00C80F34">
              <w:rPr>
                <w:sz w:val="21"/>
                <w:szCs w:val="21"/>
              </w:rPr>
              <w:t>, YIDH and Project Management Unit</w:t>
            </w:r>
            <w:r w:rsidR="00BA70EB" w:rsidRPr="00C80F34">
              <w:rPr>
                <w:sz w:val="21"/>
                <w:szCs w:val="21"/>
              </w:rPr>
              <w:t xml:space="preserve"> will lead the activity a</w:t>
            </w:r>
            <w:r w:rsidR="00605CD5" w:rsidRPr="00C80F34">
              <w:rPr>
                <w:sz w:val="21"/>
                <w:szCs w:val="21"/>
              </w:rPr>
              <w:t>longside with sectoral agencies</w:t>
            </w:r>
            <w:r w:rsidR="00BA70EB" w:rsidRPr="00C80F34">
              <w:rPr>
                <w:sz w:val="21"/>
                <w:szCs w:val="21"/>
              </w:rPr>
              <w:t xml:space="preserve"> and other stakeholders</w:t>
            </w:r>
            <w:r w:rsidRPr="00C80F34">
              <w:rPr>
                <w:sz w:val="21"/>
                <w:szCs w:val="21"/>
              </w:rPr>
              <w:t xml:space="preserve">. This activity will be conducted for several times in 6 months. </w:t>
            </w:r>
          </w:p>
        </w:tc>
      </w:tr>
      <w:tr w:rsidR="00914A9A" w:rsidRPr="00C80F34" w14:paraId="23A6010E" w14:textId="77777777" w:rsidTr="005E7EB8">
        <w:tc>
          <w:tcPr>
            <w:tcW w:w="2268" w:type="dxa"/>
          </w:tcPr>
          <w:p w14:paraId="49707A3D" w14:textId="77777777" w:rsidR="00914A9A" w:rsidRPr="007117E7" w:rsidRDefault="00914A9A" w:rsidP="00914A9A">
            <w:pPr>
              <w:pStyle w:val="ListParagraph"/>
              <w:ind w:left="0"/>
              <w:contextualSpacing w:val="0"/>
              <w:rPr>
                <w:rFonts w:ascii="Times New Roman" w:hAnsi="Times New Roman" w:cs="Times New Roman"/>
                <w:sz w:val="21"/>
                <w:szCs w:val="21"/>
              </w:rPr>
            </w:pPr>
            <w:r w:rsidRPr="007117E7">
              <w:rPr>
                <w:rFonts w:ascii="Times New Roman" w:hAnsi="Times New Roman" w:cs="Times New Roman"/>
                <w:sz w:val="21"/>
                <w:szCs w:val="21"/>
              </w:rPr>
              <w:t>Sub-national SIS REDD+ developed that link with national SIS REDD+</w:t>
            </w:r>
          </w:p>
        </w:tc>
        <w:tc>
          <w:tcPr>
            <w:tcW w:w="2977" w:type="dxa"/>
            <w:shd w:val="clear" w:color="auto" w:fill="FFFFFF" w:themeFill="background1"/>
          </w:tcPr>
          <w:p w14:paraId="7B0E4655" w14:textId="77777777" w:rsidR="00914A9A" w:rsidRPr="007117E7" w:rsidRDefault="00914A9A" w:rsidP="00776872">
            <w:pPr>
              <w:pStyle w:val="ListParagraph"/>
              <w:numPr>
                <w:ilvl w:val="0"/>
                <w:numId w:val="7"/>
              </w:numPr>
              <w:ind w:left="360"/>
              <w:rPr>
                <w:rFonts w:ascii="Times New Roman" w:hAnsi="Times New Roman" w:cs="Times New Roman"/>
                <w:sz w:val="21"/>
                <w:szCs w:val="21"/>
              </w:rPr>
            </w:pPr>
            <w:r w:rsidRPr="007117E7">
              <w:rPr>
                <w:rFonts w:ascii="Times New Roman" w:hAnsi="Times New Roman" w:cs="Times New Roman"/>
                <w:sz w:val="21"/>
                <w:szCs w:val="21"/>
              </w:rPr>
              <w:t>Online SIS REDD+ for sub-national as portal information on REDD+</w:t>
            </w:r>
          </w:p>
        </w:tc>
        <w:tc>
          <w:tcPr>
            <w:tcW w:w="10206" w:type="dxa"/>
          </w:tcPr>
          <w:p w14:paraId="6DAD125A" w14:textId="748DB553" w:rsidR="00914A9A" w:rsidRPr="00C80F34" w:rsidRDefault="00914A9A" w:rsidP="00C07F7F">
            <w:pPr>
              <w:jc w:val="both"/>
              <w:rPr>
                <w:sz w:val="21"/>
                <w:szCs w:val="21"/>
              </w:rPr>
            </w:pPr>
            <w:r w:rsidRPr="00C80F34">
              <w:rPr>
                <w:sz w:val="21"/>
                <w:szCs w:val="21"/>
              </w:rPr>
              <w:t xml:space="preserve">This activity aims to develop sub-national SIS REDD+ that </w:t>
            </w:r>
            <w:r w:rsidR="001001DE" w:rsidRPr="00C80F34">
              <w:rPr>
                <w:sz w:val="21"/>
                <w:szCs w:val="21"/>
              </w:rPr>
              <w:t xml:space="preserve">is </w:t>
            </w:r>
            <w:r w:rsidRPr="00411B28">
              <w:rPr>
                <w:sz w:val="21"/>
                <w:szCs w:val="21"/>
              </w:rPr>
              <w:t xml:space="preserve">integrated with national SIS REDD+. It is hoped that through sub-national SIS REDD+, there will be a good knowledge management system and communication at scale. </w:t>
            </w:r>
            <w:r w:rsidR="00C339A6" w:rsidRPr="00C80F34">
              <w:rPr>
                <w:sz w:val="21"/>
                <w:szCs w:val="21"/>
              </w:rPr>
              <w:t xml:space="preserve">This activity will develop and train a team for SIS REDD+. </w:t>
            </w:r>
            <w:r w:rsidR="00605CD5" w:rsidRPr="00C80F34">
              <w:rPr>
                <w:sz w:val="21"/>
                <w:szCs w:val="21"/>
              </w:rPr>
              <w:t xml:space="preserve">SRAP REDD+ task force, YIDH and Project Management Unit will lead the activity alongside with sectoral agencies and other stakeholders. Expert and consultants will be involved. </w:t>
            </w:r>
            <w:r w:rsidR="00C339A6" w:rsidRPr="00C80F34">
              <w:rPr>
                <w:sz w:val="21"/>
                <w:szCs w:val="21"/>
              </w:rPr>
              <w:t>This activity will be conducted for several times in 9 months.</w:t>
            </w:r>
          </w:p>
        </w:tc>
      </w:tr>
      <w:tr w:rsidR="005E7EB8" w:rsidRPr="00C80F34" w14:paraId="65B12BF7" w14:textId="77777777" w:rsidTr="005E7EB8">
        <w:tc>
          <w:tcPr>
            <w:tcW w:w="2268" w:type="dxa"/>
            <w:vMerge w:val="restart"/>
          </w:tcPr>
          <w:p w14:paraId="32834164" w14:textId="039E74CC" w:rsidR="005E7EB8" w:rsidRPr="007117E7" w:rsidRDefault="005E7EB8" w:rsidP="00914A9A">
            <w:pPr>
              <w:pStyle w:val="ListParagraph"/>
              <w:ind w:left="0"/>
              <w:contextualSpacing w:val="0"/>
              <w:rPr>
                <w:rFonts w:ascii="Times New Roman" w:hAnsi="Times New Roman" w:cs="Times New Roman"/>
                <w:b/>
                <w:sz w:val="21"/>
                <w:szCs w:val="21"/>
              </w:rPr>
            </w:pPr>
            <w:r w:rsidRPr="007117E7">
              <w:rPr>
                <w:rFonts w:ascii="Times New Roman" w:hAnsi="Times New Roman" w:cs="Times New Roman"/>
                <w:sz w:val="21"/>
                <w:szCs w:val="21"/>
              </w:rPr>
              <w:t>A proper financial governance institution</w:t>
            </w:r>
            <w:r w:rsidR="001001DE" w:rsidRPr="007117E7">
              <w:rPr>
                <w:rFonts w:ascii="Times New Roman" w:hAnsi="Times New Roman" w:cs="Times New Roman"/>
                <w:sz w:val="21"/>
                <w:szCs w:val="21"/>
              </w:rPr>
              <w:t>/structure/ arrangement</w:t>
            </w:r>
            <w:r w:rsidRPr="007117E7">
              <w:rPr>
                <w:rFonts w:ascii="Times New Roman" w:hAnsi="Times New Roman" w:cs="Times New Roman"/>
                <w:sz w:val="21"/>
                <w:szCs w:val="21"/>
              </w:rPr>
              <w:t xml:space="preserve"> and portfolio for financial/investment partnership</w:t>
            </w:r>
          </w:p>
        </w:tc>
        <w:tc>
          <w:tcPr>
            <w:tcW w:w="2977" w:type="dxa"/>
            <w:shd w:val="clear" w:color="auto" w:fill="FFFFFF" w:themeFill="background1"/>
          </w:tcPr>
          <w:p w14:paraId="707061DB" w14:textId="77777777" w:rsidR="005E7EB8" w:rsidRPr="007117E7" w:rsidRDefault="005E7EB8" w:rsidP="00776872">
            <w:pPr>
              <w:pStyle w:val="ListParagraph"/>
              <w:numPr>
                <w:ilvl w:val="0"/>
                <w:numId w:val="7"/>
              </w:numPr>
              <w:ind w:left="360"/>
              <w:rPr>
                <w:rFonts w:ascii="Times New Roman" w:hAnsi="Times New Roman" w:cs="Times New Roman"/>
                <w:sz w:val="21"/>
                <w:szCs w:val="21"/>
              </w:rPr>
            </w:pPr>
            <w:r w:rsidRPr="007117E7">
              <w:rPr>
                <w:rFonts w:ascii="Times New Roman" w:hAnsi="Times New Roman" w:cs="Times New Roman"/>
                <w:sz w:val="21"/>
                <w:szCs w:val="21"/>
              </w:rPr>
              <w:t>Developing a proper financial governance institution and scheme for financial/investment partnership on REDD+ and Green Growth Plan</w:t>
            </w:r>
          </w:p>
        </w:tc>
        <w:tc>
          <w:tcPr>
            <w:tcW w:w="10206" w:type="dxa"/>
          </w:tcPr>
          <w:p w14:paraId="2267082B" w14:textId="68F0644D" w:rsidR="005E7EB8" w:rsidRPr="00C80F34" w:rsidRDefault="005E7EB8" w:rsidP="005F4F0C">
            <w:pPr>
              <w:jc w:val="both"/>
              <w:rPr>
                <w:sz w:val="21"/>
                <w:szCs w:val="21"/>
              </w:rPr>
            </w:pPr>
            <w:r w:rsidRPr="00C80F34">
              <w:rPr>
                <w:sz w:val="21"/>
                <w:szCs w:val="21"/>
              </w:rPr>
              <w:t>This activity aims to develop a financial governance institution (</w:t>
            </w:r>
            <w:r w:rsidR="001001DE" w:rsidRPr="00C80F34">
              <w:rPr>
                <w:sz w:val="21"/>
                <w:szCs w:val="21"/>
              </w:rPr>
              <w:t>or structure</w:t>
            </w:r>
            <w:r w:rsidRPr="00411B28">
              <w:rPr>
                <w:sz w:val="21"/>
                <w:szCs w:val="21"/>
              </w:rPr>
              <w:t>) under Governor Regulation (PERGUB)</w:t>
            </w:r>
            <w:r w:rsidR="001001DE" w:rsidRPr="00411B28">
              <w:rPr>
                <w:sz w:val="21"/>
                <w:szCs w:val="21"/>
              </w:rPr>
              <w:t xml:space="preserve"> but needs to be linked to the national dynamics</w:t>
            </w:r>
            <w:r w:rsidRPr="00411B28">
              <w:rPr>
                <w:sz w:val="21"/>
                <w:szCs w:val="21"/>
              </w:rPr>
              <w:t xml:space="preserve">. The institution is </w:t>
            </w:r>
            <w:r w:rsidR="001001DE" w:rsidRPr="00411B28">
              <w:rPr>
                <w:sz w:val="21"/>
                <w:szCs w:val="21"/>
              </w:rPr>
              <w:t>expected to test different</w:t>
            </w:r>
            <w:r w:rsidRPr="00411B28">
              <w:rPr>
                <w:sz w:val="21"/>
                <w:szCs w:val="21"/>
              </w:rPr>
              <w:t xml:space="preserve"> </w:t>
            </w:r>
            <w:r w:rsidR="001001DE" w:rsidRPr="00411B28">
              <w:rPr>
                <w:sz w:val="21"/>
                <w:szCs w:val="21"/>
              </w:rPr>
              <w:t xml:space="preserve">mechanisms </w:t>
            </w:r>
            <w:r w:rsidRPr="00411B28">
              <w:rPr>
                <w:sz w:val="21"/>
                <w:szCs w:val="21"/>
              </w:rPr>
              <w:t>(grant and investment) and fund management to support SRAP REDD+. SRAP REDD+ will lead the activity. Expert and consultant will be involved in the development process. This activity will be conducted in 8 months. SRAP REDD+ task force, YIDH</w:t>
            </w:r>
            <w:r w:rsidRPr="00C80F34">
              <w:rPr>
                <w:sz w:val="21"/>
                <w:szCs w:val="21"/>
              </w:rPr>
              <w:t xml:space="preserve"> and Project Management Unit will lead the activity alongside with sectoral agencies and other stakeholders. Expert and consultants will be involved. This activity will be conducted for several times in 9 months.</w:t>
            </w:r>
          </w:p>
        </w:tc>
      </w:tr>
      <w:tr w:rsidR="005E7EB8" w:rsidRPr="00C80F34" w14:paraId="149FAB23" w14:textId="77777777" w:rsidTr="005E7EB8">
        <w:tc>
          <w:tcPr>
            <w:tcW w:w="2268" w:type="dxa"/>
            <w:vMerge/>
          </w:tcPr>
          <w:p w14:paraId="58F09478" w14:textId="77777777" w:rsidR="005E7EB8" w:rsidRPr="007117E7" w:rsidRDefault="005E7EB8" w:rsidP="00914A9A">
            <w:pPr>
              <w:pStyle w:val="ListParagraph"/>
              <w:ind w:left="0"/>
              <w:contextualSpacing w:val="0"/>
              <w:rPr>
                <w:rFonts w:ascii="Times New Roman" w:hAnsi="Times New Roman" w:cs="Times New Roman"/>
                <w:sz w:val="21"/>
                <w:szCs w:val="21"/>
              </w:rPr>
            </w:pPr>
          </w:p>
        </w:tc>
        <w:tc>
          <w:tcPr>
            <w:tcW w:w="2977" w:type="dxa"/>
            <w:shd w:val="clear" w:color="auto" w:fill="FFFFFF" w:themeFill="background1"/>
          </w:tcPr>
          <w:p w14:paraId="207CB575" w14:textId="7CBACDCF" w:rsidR="005E7EB8" w:rsidRPr="007117E7" w:rsidRDefault="00E942E9" w:rsidP="007117E7">
            <w:pPr>
              <w:pStyle w:val="ListParagraph"/>
              <w:numPr>
                <w:ilvl w:val="0"/>
                <w:numId w:val="7"/>
              </w:numPr>
              <w:ind w:left="360"/>
              <w:rPr>
                <w:rFonts w:ascii="Times New Roman" w:hAnsi="Times New Roman" w:cs="Times New Roman"/>
                <w:sz w:val="21"/>
                <w:szCs w:val="21"/>
              </w:rPr>
            </w:pPr>
            <w:r w:rsidRPr="007117E7">
              <w:rPr>
                <w:rFonts w:ascii="Times New Roman" w:hAnsi="Times New Roman" w:cs="Times New Roman"/>
                <w:sz w:val="21"/>
                <w:szCs w:val="21"/>
              </w:rPr>
              <w:t>Developing</w:t>
            </w:r>
            <w:r w:rsidR="005E7EB8" w:rsidRPr="007117E7">
              <w:rPr>
                <w:rFonts w:ascii="Times New Roman" w:hAnsi="Times New Roman" w:cs="Times New Roman"/>
                <w:sz w:val="21"/>
                <w:szCs w:val="21"/>
              </w:rPr>
              <w:t xml:space="preserve"> a green investment pipeline for </w:t>
            </w:r>
            <w:r w:rsidR="005E7EB8" w:rsidRPr="007117E7">
              <w:rPr>
                <w:rFonts w:ascii="Times New Roman" w:hAnsi="Times New Roman" w:cs="Times New Roman"/>
                <w:sz w:val="21"/>
                <w:szCs w:val="21"/>
              </w:rPr>
              <w:lastRenderedPageBreak/>
              <w:t>private sector</w:t>
            </w:r>
            <w:r w:rsidR="00411B28">
              <w:rPr>
                <w:rFonts w:ascii="Times New Roman" w:hAnsi="Times New Roman" w:cs="Times New Roman"/>
                <w:sz w:val="21"/>
                <w:szCs w:val="21"/>
              </w:rPr>
              <w:t xml:space="preserve"> </w:t>
            </w:r>
            <w:r w:rsidR="00340972">
              <w:rPr>
                <w:rFonts w:ascii="Times New Roman" w:hAnsi="Times New Roman" w:cs="Times New Roman"/>
                <w:sz w:val="21"/>
                <w:szCs w:val="21"/>
              </w:rPr>
              <w:t>are</w:t>
            </w:r>
            <w:r w:rsidR="00411B28">
              <w:rPr>
                <w:rFonts w:ascii="Times New Roman" w:hAnsi="Times New Roman" w:cs="Times New Roman"/>
                <w:sz w:val="21"/>
                <w:szCs w:val="21"/>
              </w:rPr>
              <w:t xml:space="preserve"> </w:t>
            </w:r>
            <w:r w:rsidR="00340972">
              <w:rPr>
                <w:rFonts w:ascii="Times New Roman" w:hAnsi="Times New Roman" w:cs="Times New Roman"/>
                <w:sz w:val="21"/>
                <w:szCs w:val="21"/>
              </w:rPr>
              <w:t xml:space="preserve">the </w:t>
            </w:r>
            <w:r w:rsidR="00411B28">
              <w:rPr>
                <w:rFonts w:ascii="Times New Roman" w:hAnsi="Times New Roman" w:cs="Times New Roman"/>
                <w:sz w:val="21"/>
                <w:szCs w:val="21"/>
              </w:rPr>
              <w:t>companies</w:t>
            </w:r>
            <w:r w:rsidR="00340972">
              <w:rPr>
                <w:rFonts w:ascii="Times New Roman" w:hAnsi="Times New Roman" w:cs="Times New Roman"/>
                <w:sz w:val="21"/>
                <w:szCs w:val="21"/>
              </w:rPr>
              <w:t xml:space="preserve"> </w:t>
            </w:r>
            <w:r w:rsidR="00411B28" w:rsidRPr="00411B28">
              <w:rPr>
                <w:rFonts w:ascii="Times New Roman" w:hAnsi="Times New Roman" w:cs="Times New Roman"/>
                <w:sz w:val="21"/>
                <w:szCs w:val="21"/>
              </w:rPr>
              <w:t>which using/occupying natural resources such as natural timber concession (HPH), timber plantation (HTI), rubber plantation, palm oil plantation</w:t>
            </w:r>
            <w:r w:rsidR="005E7EB8" w:rsidRPr="007117E7">
              <w:rPr>
                <w:rFonts w:ascii="Times New Roman" w:hAnsi="Times New Roman" w:cs="Times New Roman"/>
                <w:sz w:val="21"/>
                <w:szCs w:val="21"/>
              </w:rPr>
              <w:t xml:space="preserve"> and community</w:t>
            </w:r>
            <w:r w:rsidR="00700207" w:rsidRPr="007117E7">
              <w:rPr>
                <w:rFonts w:ascii="Times New Roman" w:hAnsi="Times New Roman" w:cs="Times New Roman"/>
                <w:sz w:val="21"/>
                <w:szCs w:val="21"/>
              </w:rPr>
              <w:t xml:space="preserve"> business</w:t>
            </w:r>
          </w:p>
        </w:tc>
        <w:tc>
          <w:tcPr>
            <w:tcW w:w="10206" w:type="dxa"/>
          </w:tcPr>
          <w:p w14:paraId="6B4A18A0" w14:textId="3E36E7C7" w:rsidR="005E7EB8" w:rsidRPr="00C80F34" w:rsidRDefault="005E7EB8" w:rsidP="00C07F7F">
            <w:pPr>
              <w:jc w:val="both"/>
              <w:rPr>
                <w:sz w:val="21"/>
                <w:szCs w:val="21"/>
              </w:rPr>
            </w:pPr>
            <w:r w:rsidRPr="00C80F34">
              <w:rPr>
                <w:sz w:val="21"/>
                <w:szCs w:val="21"/>
              </w:rPr>
              <w:lastRenderedPageBreak/>
              <w:t>This</w:t>
            </w:r>
            <w:r w:rsidR="00E942E9" w:rsidRPr="00C80F34">
              <w:rPr>
                <w:sz w:val="21"/>
                <w:szCs w:val="21"/>
              </w:rPr>
              <w:t xml:space="preserve"> activity aims to develop a potential pipeline</w:t>
            </w:r>
            <w:r w:rsidRPr="00411B28">
              <w:rPr>
                <w:sz w:val="21"/>
                <w:szCs w:val="21"/>
              </w:rPr>
              <w:t xml:space="preserve"> for green investment</w:t>
            </w:r>
            <w:r w:rsidR="00E942E9" w:rsidRPr="00411B28">
              <w:rPr>
                <w:sz w:val="21"/>
                <w:szCs w:val="21"/>
              </w:rPr>
              <w:t xml:space="preserve"> such as And</w:t>
            </w:r>
            <w:r w:rsidR="00440F17" w:rsidRPr="00411B28">
              <w:rPr>
                <w:sz w:val="21"/>
                <w:szCs w:val="21"/>
              </w:rPr>
              <w:t>g</w:t>
            </w:r>
            <w:r w:rsidR="00E942E9" w:rsidRPr="00411B28">
              <w:rPr>
                <w:sz w:val="21"/>
                <w:szCs w:val="21"/>
              </w:rPr>
              <w:t>reen.fund</w:t>
            </w:r>
            <w:r w:rsidRPr="00411B28">
              <w:rPr>
                <w:sz w:val="21"/>
                <w:szCs w:val="21"/>
              </w:rPr>
              <w:t>. Private sector will be invited to access the proposal and involved during proposal d</w:t>
            </w:r>
            <w:r w:rsidRPr="00C80F34">
              <w:rPr>
                <w:sz w:val="21"/>
                <w:szCs w:val="21"/>
              </w:rPr>
              <w:t xml:space="preserve">evelopment. SRAP REDD+ task force, YIDH and Project </w:t>
            </w:r>
            <w:r w:rsidRPr="00C80F34">
              <w:rPr>
                <w:sz w:val="21"/>
                <w:szCs w:val="21"/>
              </w:rPr>
              <w:lastRenderedPageBreak/>
              <w:t>Management Unit will lead the activity alongside with sectoral agencies and other stakeholders. Expert and consultant will be involved in the development process. This activity will be conducted in 12 months.</w:t>
            </w:r>
          </w:p>
        </w:tc>
      </w:tr>
      <w:tr w:rsidR="00914A9A" w:rsidRPr="00C80F34" w14:paraId="12F03E0F" w14:textId="77777777" w:rsidTr="005E7EB8">
        <w:tc>
          <w:tcPr>
            <w:tcW w:w="2268" w:type="dxa"/>
          </w:tcPr>
          <w:p w14:paraId="4C751EAD" w14:textId="77777777" w:rsidR="00914A9A" w:rsidRPr="007117E7" w:rsidRDefault="00914A9A" w:rsidP="00914A9A">
            <w:pPr>
              <w:pStyle w:val="ListParagraph"/>
              <w:ind w:left="0"/>
              <w:contextualSpacing w:val="0"/>
              <w:rPr>
                <w:rFonts w:ascii="Times New Roman" w:hAnsi="Times New Roman" w:cs="Times New Roman"/>
                <w:b/>
                <w:sz w:val="21"/>
                <w:szCs w:val="21"/>
              </w:rPr>
            </w:pPr>
            <w:r w:rsidRPr="007117E7">
              <w:rPr>
                <w:rFonts w:ascii="Times New Roman" w:hAnsi="Times New Roman" w:cs="Times New Roman"/>
                <w:sz w:val="21"/>
                <w:szCs w:val="21"/>
              </w:rPr>
              <w:lastRenderedPageBreak/>
              <w:t>Financial structure and scheme developed for Result Based Payment</w:t>
            </w:r>
          </w:p>
        </w:tc>
        <w:tc>
          <w:tcPr>
            <w:tcW w:w="2977" w:type="dxa"/>
            <w:shd w:val="clear" w:color="auto" w:fill="FFFFFF" w:themeFill="background1"/>
          </w:tcPr>
          <w:p w14:paraId="4426BF32" w14:textId="77777777" w:rsidR="00914A9A" w:rsidRPr="007117E7" w:rsidRDefault="00914A9A" w:rsidP="00776872">
            <w:pPr>
              <w:pStyle w:val="ListParagraph"/>
              <w:numPr>
                <w:ilvl w:val="0"/>
                <w:numId w:val="7"/>
              </w:numPr>
              <w:ind w:left="360"/>
              <w:rPr>
                <w:rFonts w:ascii="Times New Roman" w:hAnsi="Times New Roman" w:cs="Times New Roman"/>
                <w:sz w:val="21"/>
                <w:szCs w:val="21"/>
              </w:rPr>
            </w:pPr>
            <w:r w:rsidRPr="007117E7">
              <w:rPr>
                <w:rFonts w:ascii="Times New Roman" w:hAnsi="Times New Roman" w:cs="Times New Roman"/>
                <w:sz w:val="21"/>
                <w:szCs w:val="21"/>
              </w:rPr>
              <w:t>Preparing financial structure and scheme for Result Based Payment (REDD+ carbon incentive managed by Ministry of Finance)</w:t>
            </w:r>
          </w:p>
        </w:tc>
        <w:tc>
          <w:tcPr>
            <w:tcW w:w="10206" w:type="dxa"/>
          </w:tcPr>
          <w:p w14:paraId="1D81ADAB" w14:textId="36A6E11C" w:rsidR="00914A9A" w:rsidRPr="00C80F34" w:rsidRDefault="00914A9A" w:rsidP="005F4F0C">
            <w:pPr>
              <w:jc w:val="both"/>
              <w:rPr>
                <w:sz w:val="21"/>
                <w:szCs w:val="21"/>
              </w:rPr>
            </w:pPr>
            <w:r w:rsidRPr="00C80F34">
              <w:rPr>
                <w:sz w:val="21"/>
                <w:szCs w:val="21"/>
              </w:rPr>
              <w:t xml:space="preserve">This activity aims to prepare requirements for Result Based Payment (RBP) </w:t>
            </w:r>
            <w:r w:rsidR="001001DE" w:rsidRPr="00411B28">
              <w:rPr>
                <w:sz w:val="21"/>
                <w:szCs w:val="21"/>
              </w:rPr>
              <w:t>that may start</w:t>
            </w:r>
            <w:r w:rsidRPr="00411B28">
              <w:rPr>
                <w:sz w:val="21"/>
                <w:szCs w:val="21"/>
              </w:rPr>
              <w:t xml:space="preserve"> in 2020. </w:t>
            </w:r>
            <w:r w:rsidR="001001DE" w:rsidRPr="00411B28">
              <w:rPr>
                <w:sz w:val="21"/>
                <w:szCs w:val="21"/>
              </w:rPr>
              <w:t xml:space="preserve">This </w:t>
            </w:r>
            <w:r w:rsidRPr="00411B28">
              <w:rPr>
                <w:sz w:val="21"/>
                <w:szCs w:val="21"/>
              </w:rPr>
              <w:t xml:space="preserve">includes enhancing MRV and FREL system that link to the RBP scheme. </w:t>
            </w:r>
            <w:r w:rsidR="00605CD5" w:rsidRPr="00411B28">
              <w:rPr>
                <w:sz w:val="21"/>
                <w:szCs w:val="21"/>
              </w:rPr>
              <w:t xml:space="preserve">SRAP REDD+ task force, YIDH and Project Management Unit will lead the activity alongside with sectoral agencies and other stakeholders. </w:t>
            </w:r>
            <w:r w:rsidRPr="00C80F34">
              <w:rPr>
                <w:sz w:val="21"/>
                <w:szCs w:val="21"/>
              </w:rPr>
              <w:t>Expert and consultant will be involved in the process. This</w:t>
            </w:r>
            <w:r w:rsidR="0020320F" w:rsidRPr="00C80F34">
              <w:rPr>
                <w:sz w:val="21"/>
                <w:szCs w:val="21"/>
              </w:rPr>
              <w:t xml:space="preserve"> activity will be conducted in 18</w:t>
            </w:r>
            <w:r w:rsidRPr="00C80F34">
              <w:rPr>
                <w:sz w:val="21"/>
                <w:szCs w:val="21"/>
              </w:rPr>
              <w:t xml:space="preserve"> months.</w:t>
            </w:r>
          </w:p>
        </w:tc>
      </w:tr>
      <w:tr w:rsidR="005E7EB8" w:rsidRPr="00C80F34" w14:paraId="785E4B95" w14:textId="77777777" w:rsidTr="005E7EB8">
        <w:tc>
          <w:tcPr>
            <w:tcW w:w="2268" w:type="dxa"/>
            <w:vMerge w:val="restart"/>
          </w:tcPr>
          <w:p w14:paraId="25897D1F" w14:textId="77777777" w:rsidR="005E7EB8" w:rsidRPr="007117E7" w:rsidRDefault="005E7EB8" w:rsidP="00914A9A">
            <w:pPr>
              <w:pStyle w:val="ListParagraph"/>
              <w:ind w:left="0"/>
              <w:contextualSpacing w:val="0"/>
              <w:rPr>
                <w:rFonts w:ascii="Times New Roman" w:hAnsi="Times New Roman" w:cs="Times New Roman"/>
                <w:sz w:val="21"/>
                <w:szCs w:val="21"/>
              </w:rPr>
            </w:pPr>
            <w:r w:rsidRPr="007117E7">
              <w:rPr>
                <w:rFonts w:ascii="Times New Roman" w:hAnsi="Times New Roman" w:cs="Times New Roman"/>
                <w:sz w:val="21"/>
                <w:szCs w:val="21"/>
              </w:rPr>
              <w:t>Sectoral policy framework enhanced to strengthen REDD+ and GGP</w:t>
            </w:r>
          </w:p>
        </w:tc>
        <w:tc>
          <w:tcPr>
            <w:tcW w:w="2977" w:type="dxa"/>
            <w:shd w:val="clear" w:color="auto" w:fill="FFFFFF" w:themeFill="background1"/>
          </w:tcPr>
          <w:p w14:paraId="2691E687" w14:textId="77777777" w:rsidR="005E7EB8" w:rsidRPr="007117E7" w:rsidRDefault="005E7EB8" w:rsidP="00776872">
            <w:pPr>
              <w:pStyle w:val="ListParagraph"/>
              <w:numPr>
                <w:ilvl w:val="0"/>
                <w:numId w:val="7"/>
              </w:numPr>
              <w:ind w:left="360"/>
              <w:rPr>
                <w:rFonts w:ascii="Times New Roman" w:hAnsi="Times New Roman" w:cs="Times New Roman"/>
                <w:sz w:val="21"/>
                <w:szCs w:val="21"/>
              </w:rPr>
            </w:pPr>
            <w:r w:rsidRPr="007117E7">
              <w:rPr>
                <w:rFonts w:ascii="Times New Roman" w:hAnsi="Times New Roman" w:cs="Times New Roman"/>
                <w:sz w:val="21"/>
                <w:szCs w:val="21"/>
              </w:rPr>
              <w:t xml:space="preserve">Encouraging Provincial Regulation (PERDA) on Peat Protection and Restoration </w:t>
            </w:r>
          </w:p>
        </w:tc>
        <w:tc>
          <w:tcPr>
            <w:tcW w:w="10206" w:type="dxa"/>
          </w:tcPr>
          <w:p w14:paraId="4645A1D5" w14:textId="77777777" w:rsidR="005E7EB8" w:rsidRPr="00411B28" w:rsidRDefault="005E7EB8" w:rsidP="00C07F7F">
            <w:pPr>
              <w:jc w:val="both"/>
              <w:rPr>
                <w:sz w:val="21"/>
                <w:szCs w:val="21"/>
              </w:rPr>
            </w:pPr>
            <w:r w:rsidRPr="00C80F34">
              <w:rPr>
                <w:sz w:val="21"/>
                <w:szCs w:val="21"/>
              </w:rPr>
              <w:t xml:space="preserve">This activity aims to encourage Provincial Regulation (PERDA) on Peat Protection and Restoration. The peat regulation is hoped can narrow the gap of REDD+ implementation. SRAP </w:t>
            </w:r>
            <w:r w:rsidRPr="00411B28">
              <w:rPr>
                <w:sz w:val="21"/>
                <w:szCs w:val="21"/>
              </w:rPr>
              <w:t>REDD+ task force, YIDH and Project Management Unit will lead the activity alongside with sectoral agencies and other stakeholders. Expert and consultant will be involved in the process. This activity will be conducted in 12 months.</w:t>
            </w:r>
          </w:p>
        </w:tc>
      </w:tr>
      <w:tr w:rsidR="005E7EB8" w:rsidRPr="00C80F34" w14:paraId="1FBC796F" w14:textId="77777777" w:rsidTr="005E7EB8">
        <w:tc>
          <w:tcPr>
            <w:tcW w:w="2268" w:type="dxa"/>
            <w:vMerge/>
          </w:tcPr>
          <w:p w14:paraId="54867FD9" w14:textId="77777777" w:rsidR="005E7EB8" w:rsidRPr="007117E7" w:rsidRDefault="005E7EB8" w:rsidP="00914A9A">
            <w:pPr>
              <w:pStyle w:val="ListParagraph"/>
              <w:ind w:left="0"/>
              <w:contextualSpacing w:val="0"/>
              <w:rPr>
                <w:rFonts w:ascii="Times New Roman" w:hAnsi="Times New Roman" w:cs="Times New Roman"/>
                <w:b/>
                <w:sz w:val="21"/>
                <w:szCs w:val="21"/>
              </w:rPr>
            </w:pPr>
          </w:p>
        </w:tc>
        <w:tc>
          <w:tcPr>
            <w:tcW w:w="2977" w:type="dxa"/>
            <w:shd w:val="clear" w:color="auto" w:fill="FFFFFF" w:themeFill="background1"/>
          </w:tcPr>
          <w:p w14:paraId="46E39740" w14:textId="77777777" w:rsidR="005E7EB8" w:rsidRPr="007117E7" w:rsidRDefault="005E7EB8" w:rsidP="00776872">
            <w:pPr>
              <w:pStyle w:val="ListParagraph"/>
              <w:numPr>
                <w:ilvl w:val="0"/>
                <w:numId w:val="7"/>
              </w:numPr>
              <w:ind w:left="360"/>
              <w:rPr>
                <w:rFonts w:ascii="Times New Roman" w:hAnsi="Times New Roman" w:cs="Times New Roman"/>
                <w:sz w:val="21"/>
                <w:szCs w:val="21"/>
              </w:rPr>
            </w:pPr>
            <w:r w:rsidRPr="007117E7">
              <w:rPr>
                <w:rFonts w:ascii="Times New Roman" w:hAnsi="Times New Roman" w:cs="Times New Roman"/>
                <w:sz w:val="21"/>
                <w:szCs w:val="21"/>
              </w:rPr>
              <w:t>Linking the REDD+ target and strategy into landscape based Long-Term Forest Management Plan of Forest Management Unit (FMU).</w:t>
            </w:r>
          </w:p>
        </w:tc>
        <w:tc>
          <w:tcPr>
            <w:tcW w:w="10206" w:type="dxa"/>
          </w:tcPr>
          <w:p w14:paraId="242E4FEA" w14:textId="77777777" w:rsidR="005E7EB8" w:rsidRPr="00411B28" w:rsidRDefault="005E7EB8" w:rsidP="00C07F7F">
            <w:pPr>
              <w:jc w:val="both"/>
              <w:rPr>
                <w:sz w:val="21"/>
                <w:szCs w:val="21"/>
              </w:rPr>
            </w:pPr>
            <w:r w:rsidRPr="00C80F34">
              <w:rPr>
                <w:sz w:val="21"/>
                <w:szCs w:val="21"/>
              </w:rPr>
              <w:t>This activity aims to link REDD+ strategy and target on the Long-Term Forest Management Plan of Forest Management Unit (FMU). It will be a landscape base</w:t>
            </w:r>
            <w:r w:rsidRPr="00411B28">
              <w:rPr>
                <w:sz w:val="21"/>
                <w:szCs w:val="21"/>
              </w:rPr>
              <w:t>d pilot project for REDD+ and Green Growth Plan. Assessment will be conducted prior determining which FMU to be the pilot. SRAP REDD+ task force, YIDH and Project Management Unit will lead the activity alongside with sectoral agencies and other stakeholders. Expert and consultant will be involved in the process. This activity will be conducted in 12 months.</w:t>
            </w:r>
          </w:p>
        </w:tc>
      </w:tr>
    </w:tbl>
    <w:p w14:paraId="1C8B5E5C" w14:textId="77777777" w:rsidR="005E7EB8" w:rsidRPr="00C80F34" w:rsidRDefault="005E7EB8" w:rsidP="001C1BF3">
      <w:pPr>
        <w:rPr>
          <w:b/>
        </w:rPr>
        <w:sectPr w:rsidR="005E7EB8" w:rsidRPr="00C80F34" w:rsidSect="005E7EB8">
          <w:pgSz w:w="16839" w:h="11907" w:orient="landscape" w:code="9"/>
          <w:pgMar w:top="720" w:right="720" w:bottom="720" w:left="720" w:header="1134" w:footer="601" w:gutter="0"/>
          <w:cols w:space="708"/>
          <w:docGrid w:linePitch="360"/>
        </w:sectPr>
      </w:pPr>
    </w:p>
    <w:p w14:paraId="29AFAA64" w14:textId="77777777" w:rsidR="005451B3" w:rsidRPr="0061488A" w:rsidRDefault="00774634" w:rsidP="00776872">
      <w:pPr>
        <w:pStyle w:val="ListParagraph"/>
        <w:numPr>
          <w:ilvl w:val="1"/>
          <w:numId w:val="6"/>
        </w:numPr>
        <w:spacing w:after="0" w:line="240" w:lineRule="auto"/>
        <w:ind w:left="567" w:hanging="567"/>
        <w:contextualSpacing w:val="0"/>
        <w:rPr>
          <w:rFonts w:ascii="Times New Roman" w:hAnsi="Times New Roman" w:cs="Times New Roman"/>
          <w:b/>
        </w:rPr>
      </w:pPr>
      <w:r w:rsidRPr="00C80F34">
        <w:rPr>
          <w:rFonts w:ascii="Times New Roman" w:hAnsi="Times New Roman" w:cs="Times New Roman"/>
          <w:b/>
        </w:rPr>
        <w:lastRenderedPageBreak/>
        <w:t>Implementation Plan and</w:t>
      </w:r>
      <w:r w:rsidR="0020320F" w:rsidRPr="00C80F34">
        <w:rPr>
          <w:rFonts w:ascii="Times New Roman" w:hAnsi="Times New Roman" w:cs="Times New Roman"/>
          <w:b/>
        </w:rPr>
        <w:t xml:space="preserve"> </w:t>
      </w:r>
      <w:r w:rsidR="0020320F" w:rsidRPr="0061488A">
        <w:rPr>
          <w:rFonts w:ascii="Times New Roman" w:hAnsi="Times New Roman" w:cs="Times New Roman"/>
          <w:b/>
        </w:rPr>
        <w:t xml:space="preserve">Timeframe: </w:t>
      </w:r>
      <w:r w:rsidR="009D6A46" w:rsidRPr="0061488A">
        <w:rPr>
          <w:rFonts w:ascii="Times New Roman" w:hAnsi="Times New Roman" w:cs="Times New Roman"/>
          <w:b/>
        </w:rPr>
        <w:t>18 Months</w:t>
      </w:r>
      <w:r w:rsidR="0020320F" w:rsidRPr="0061488A">
        <w:rPr>
          <w:rFonts w:ascii="Times New Roman" w:hAnsi="Times New Roman" w:cs="Times New Roman"/>
          <w:b/>
        </w:rPr>
        <w:t xml:space="preserve"> – Q=3 months</w:t>
      </w:r>
      <w:r w:rsidR="009D6A46" w:rsidRPr="0061488A">
        <w:rPr>
          <w:rFonts w:ascii="Times New Roman" w:hAnsi="Times New Roman" w:cs="Times New Roman"/>
          <w:b/>
        </w:rPr>
        <w:t xml:space="preserve"> (table)</w:t>
      </w:r>
    </w:p>
    <w:tbl>
      <w:tblPr>
        <w:tblStyle w:val="TableGrid"/>
        <w:tblW w:w="10355" w:type="dxa"/>
        <w:tblLook w:val="04A0" w:firstRow="1" w:lastRow="0" w:firstColumn="1" w:lastColumn="0" w:noHBand="0" w:noVBand="1"/>
      </w:tblPr>
      <w:tblGrid>
        <w:gridCol w:w="4248"/>
        <w:gridCol w:w="3118"/>
        <w:gridCol w:w="499"/>
        <w:gridCol w:w="498"/>
        <w:gridCol w:w="498"/>
        <w:gridCol w:w="498"/>
        <w:gridCol w:w="498"/>
        <w:gridCol w:w="498"/>
      </w:tblGrid>
      <w:tr w:rsidR="005E7EB8" w:rsidRPr="0061488A" w14:paraId="35D74E86" w14:textId="77777777" w:rsidTr="005E7EB8">
        <w:tc>
          <w:tcPr>
            <w:tcW w:w="4248" w:type="dxa"/>
            <w:vAlign w:val="center"/>
          </w:tcPr>
          <w:p w14:paraId="5328964B" w14:textId="77777777" w:rsidR="005E7EB8" w:rsidRPr="0061488A" w:rsidRDefault="005E7EB8" w:rsidP="009D6A46">
            <w:pPr>
              <w:jc w:val="center"/>
              <w:rPr>
                <w:b/>
                <w:sz w:val="22"/>
                <w:szCs w:val="22"/>
              </w:rPr>
            </w:pPr>
            <w:r w:rsidRPr="0061488A">
              <w:rPr>
                <w:b/>
                <w:sz w:val="22"/>
                <w:szCs w:val="22"/>
              </w:rPr>
              <w:t>Main Activity</w:t>
            </w:r>
          </w:p>
        </w:tc>
        <w:tc>
          <w:tcPr>
            <w:tcW w:w="3118" w:type="dxa"/>
            <w:vAlign w:val="center"/>
          </w:tcPr>
          <w:p w14:paraId="571A9E86" w14:textId="77777777" w:rsidR="005E7EB8" w:rsidRPr="0061488A" w:rsidRDefault="005E7EB8" w:rsidP="009D6A46">
            <w:pPr>
              <w:jc w:val="center"/>
              <w:rPr>
                <w:b/>
                <w:sz w:val="22"/>
                <w:szCs w:val="22"/>
              </w:rPr>
            </w:pPr>
            <w:r w:rsidRPr="0061488A">
              <w:rPr>
                <w:b/>
                <w:sz w:val="22"/>
                <w:szCs w:val="22"/>
              </w:rPr>
              <w:t>Responsible (government or partner)</w:t>
            </w:r>
          </w:p>
        </w:tc>
        <w:tc>
          <w:tcPr>
            <w:tcW w:w="499" w:type="dxa"/>
            <w:vAlign w:val="center"/>
          </w:tcPr>
          <w:p w14:paraId="33406E5F" w14:textId="77777777" w:rsidR="005E7EB8" w:rsidRPr="0061488A" w:rsidRDefault="005E7EB8" w:rsidP="009D6A46">
            <w:pPr>
              <w:jc w:val="center"/>
              <w:rPr>
                <w:b/>
                <w:sz w:val="22"/>
                <w:szCs w:val="22"/>
              </w:rPr>
            </w:pPr>
            <w:r w:rsidRPr="0061488A">
              <w:rPr>
                <w:b/>
                <w:sz w:val="22"/>
                <w:szCs w:val="22"/>
              </w:rPr>
              <w:t>Q1</w:t>
            </w:r>
          </w:p>
        </w:tc>
        <w:tc>
          <w:tcPr>
            <w:tcW w:w="498" w:type="dxa"/>
            <w:vAlign w:val="center"/>
          </w:tcPr>
          <w:p w14:paraId="49D6F75F" w14:textId="77777777" w:rsidR="005E7EB8" w:rsidRPr="0061488A" w:rsidRDefault="005E7EB8" w:rsidP="009D6A46">
            <w:pPr>
              <w:jc w:val="center"/>
              <w:rPr>
                <w:b/>
                <w:sz w:val="22"/>
                <w:szCs w:val="22"/>
              </w:rPr>
            </w:pPr>
            <w:r w:rsidRPr="0061488A">
              <w:rPr>
                <w:b/>
                <w:sz w:val="22"/>
                <w:szCs w:val="22"/>
              </w:rPr>
              <w:t>Q2</w:t>
            </w:r>
          </w:p>
        </w:tc>
        <w:tc>
          <w:tcPr>
            <w:tcW w:w="498" w:type="dxa"/>
            <w:vAlign w:val="center"/>
          </w:tcPr>
          <w:p w14:paraId="56DCCE94" w14:textId="77777777" w:rsidR="005E7EB8" w:rsidRPr="0061488A" w:rsidRDefault="005E7EB8" w:rsidP="009D6A46">
            <w:pPr>
              <w:jc w:val="center"/>
              <w:rPr>
                <w:b/>
                <w:sz w:val="22"/>
                <w:szCs w:val="22"/>
              </w:rPr>
            </w:pPr>
            <w:r w:rsidRPr="0061488A">
              <w:rPr>
                <w:b/>
                <w:sz w:val="22"/>
                <w:szCs w:val="22"/>
              </w:rPr>
              <w:t>Q3</w:t>
            </w:r>
          </w:p>
        </w:tc>
        <w:tc>
          <w:tcPr>
            <w:tcW w:w="498" w:type="dxa"/>
            <w:vAlign w:val="center"/>
          </w:tcPr>
          <w:p w14:paraId="6FEDE026" w14:textId="77777777" w:rsidR="005E7EB8" w:rsidRPr="0061488A" w:rsidRDefault="005E7EB8" w:rsidP="009D6A46">
            <w:pPr>
              <w:jc w:val="center"/>
              <w:rPr>
                <w:b/>
                <w:sz w:val="22"/>
                <w:szCs w:val="22"/>
              </w:rPr>
            </w:pPr>
            <w:r w:rsidRPr="0061488A">
              <w:rPr>
                <w:b/>
                <w:sz w:val="22"/>
                <w:szCs w:val="22"/>
              </w:rPr>
              <w:t>Q4</w:t>
            </w:r>
          </w:p>
        </w:tc>
        <w:tc>
          <w:tcPr>
            <w:tcW w:w="498" w:type="dxa"/>
            <w:vAlign w:val="center"/>
          </w:tcPr>
          <w:p w14:paraId="13BD1096" w14:textId="77777777" w:rsidR="005E7EB8" w:rsidRPr="0061488A" w:rsidRDefault="005E7EB8" w:rsidP="009D6A46">
            <w:pPr>
              <w:jc w:val="center"/>
              <w:rPr>
                <w:b/>
                <w:sz w:val="22"/>
                <w:szCs w:val="22"/>
              </w:rPr>
            </w:pPr>
            <w:r w:rsidRPr="0061488A">
              <w:rPr>
                <w:b/>
                <w:sz w:val="22"/>
                <w:szCs w:val="22"/>
              </w:rPr>
              <w:t>Q5</w:t>
            </w:r>
          </w:p>
        </w:tc>
        <w:tc>
          <w:tcPr>
            <w:tcW w:w="498" w:type="dxa"/>
            <w:vAlign w:val="center"/>
          </w:tcPr>
          <w:p w14:paraId="57320ADB" w14:textId="77777777" w:rsidR="005E7EB8" w:rsidRPr="0061488A" w:rsidRDefault="005E7EB8" w:rsidP="009D6A46">
            <w:pPr>
              <w:jc w:val="center"/>
              <w:rPr>
                <w:b/>
                <w:sz w:val="22"/>
                <w:szCs w:val="22"/>
              </w:rPr>
            </w:pPr>
            <w:r w:rsidRPr="0061488A">
              <w:rPr>
                <w:b/>
                <w:sz w:val="22"/>
                <w:szCs w:val="22"/>
              </w:rPr>
              <w:t>Q6</w:t>
            </w:r>
          </w:p>
        </w:tc>
      </w:tr>
      <w:tr w:rsidR="005E7EB8" w:rsidRPr="00C80F34" w14:paraId="7DF6AA9C" w14:textId="77777777" w:rsidTr="005E7EB8">
        <w:tc>
          <w:tcPr>
            <w:tcW w:w="4248" w:type="dxa"/>
          </w:tcPr>
          <w:p w14:paraId="1FEC31CA" w14:textId="1B66DFE6" w:rsidR="005E7EB8" w:rsidRPr="007117E7" w:rsidRDefault="005E7EB8" w:rsidP="00776872">
            <w:pPr>
              <w:pStyle w:val="ListParagraph"/>
              <w:numPr>
                <w:ilvl w:val="0"/>
                <w:numId w:val="8"/>
              </w:numPr>
              <w:ind w:left="360"/>
              <w:rPr>
                <w:rFonts w:ascii="Times New Roman" w:hAnsi="Times New Roman" w:cs="Times New Roman"/>
                <w:sz w:val="21"/>
                <w:szCs w:val="21"/>
              </w:rPr>
            </w:pPr>
            <w:r w:rsidRPr="007117E7">
              <w:rPr>
                <w:rFonts w:ascii="Times New Roman" w:hAnsi="Times New Roman" w:cs="Times New Roman"/>
                <w:sz w:val="21"/>
                <w:szCs w:val="21"/>
              </w:rPr>
              <w:t>Conducting an analysis on REDD+</w:t>
            </w:r>
            <w:r w:rsidR="001001DE" w:rsidRPr="007117E7">
              <w:rPr>
                <w:rFonts w:ascii="Times New Roman" w:hAnsi="Times New Roman" w:cs="Times New Roman"/>
                <w:sz w:val="21"/>
                <w:szCs w:val="21"/>
              </w:rPr>
              <w:t xml:space="preserve"> and GGP</w:t>
            </w:r>
            <w:r w:rsidRPr="007117E7">
              <w:rPr>
                <w:rFonts w:ascii="Times New Roman" w:hAnsi="Times New Roman" w:cs="Times New Roman"/>
                <w:sz w:val="21"/>
                <w:szCs w:val="21"/>
              </w:rPr>
              <w:t xml:space="preserve"> performance in reducing emission </w:t>
            </w:r>
            <w:r w:rsidR="00E942E9" w:rsidRPr="007117E7">
              <w:rPr>
                <w:rFonts w:ascii="Times New Roman" w:hAnsi="Times New Roman" w:cs="Times New Roman"/>
                <w:sz w:val="21"/>
                <w:szCs w:val="21"/>
              </w:rPr>
              <w:t xml:space="preserve">in period </w:t>
            </w:r>
            <w:r w:rsidRPr="007117E7">
              <w:rPr>
                <w:rFonts w:ascii="Times New Roman" w:hAnsi="Times New Roman" w:cs="Times New Roman"/>
                <w:sz w:val="21"/>
                <w:szCs w:val="21"/>
              </w:rPr>
              <w:t>2012-2018 (6 months)</w:t>
            </w:r>
          </w:p>
        </w:tc>
        <w:tc>
          <w:tcPr>
            <w:tcW w:w="3118" w:type="dxa"/>
          </w:tcPr>
          <w:p w14:paraId="433ED452" w14:textId="77777777" w:rsidR="005E7EB8" w:rsidRPr="00411B28" w:rsidRDefault="005E7EB8" w:rsidP="00855114">
            <w:pPr>
              <w:rPr>
                <w:b/>
              </w:rPr>
            </w:pPr>
            <w:r w:rsidRPr="00C80F34">
              <w:rPr>
                <w:sz w:val="21"/>
                <w:szCs w:val="21"/>
              </w:rPr>
              <w:t>SRAP REDD+ task force, YIDH and Project Management Unit</w:t>
            </w:r>
          </w:p>
        </w:tc>
        <w:tc>
          <w:tcPr>
            <w:tcW w:w="499" w:type="dxa"/>
            <w:shd w:val="clear" w:color="auto" w:fill="ED7D31" w:themeFill="accent2"/>
          </w:tcPr>
          <w:p w14:paraId="5C6421A2" w14:textId="77777777" w:rsidR="005E7EB8" w:rsidRPr="00411B28" w:rsidRDefault="005E7EB8" w:rsidP="009D6A46">
            <w:pPr>
              <w:jc w:val="center"/>
              <w:rPr>
                <w:b/>
              </w:rPr>
            </w:pPr>
          </w:p>
        </w:tc>
        <w:tc>
          <w:tcPr>
            <w:tcW w:w="498" w:type="dxa"/>
            <w:shd w:val="clear" w:color="auto" w:fill="ED7D31" w:themeFill="accent2"/>
          </w:tcPr>
          <w:p w14:paraId="086B2783" w14:textId="77777777" w:rsidR="005E7EB8" w:rsidRPr="00C80F34" w:rsidRDefault="005E7EB8" w:rsidP="009D6A46">
            <w:pPr>
              <w:jc w:val="center"/>
              <w:rPr>
                <w:b/>
              </w:rPr>
            </w:pPr>
          </w:p>
        </w:tc>
        <w:tc>
          <w:tcPr>
            <w:tcW w:w="498" w:type="dxa"/>
          </w:tcPr>
          <w:p w14:paraId="11D77009" w14:textId="77777777" w:rsidR="005E7EB8" w:rsidRPr="00C80F34" w:rsidRDefault="005E7EB8" w:rsidP="009D6A46">
            <w:pPr>
              <w:jc w:val="center"/>
              <w:rPr>
                <w:b/>
              </w:rPr>
            </w:pPr>
          </w:p>
        </w:tc>
        <w:tc>
          <w:tcPr>
            <w:tcW w:w="498" w:type="dxa"/>
          </w:tcPr>
          <w:p w14:paraId="10F1B987" w14:textId="77777777" w:rsidR="005E7EB8" w:rsidRPr="00C80F34" w:rsidRDefault="005E7EB8" w:rsidP="009D6A46">
            <w:pPr>
              <w:jc w:val="center"/>
              <w:rPr>
                <w:b/>
              </w:rPr>
            </w:pPr>
          </w:p>
        </w:tc>
        <w:tc>
          <w:tcPr>
            <w:tcW w:w="498" w:type="dxa"/>
          </w:tcPr>
          <w:p w14:paraId="2467229F" w14:textId="77777777" w:rsidR="005E7EB8" w:rsidRPr="00C80F34" w:rsidRDefault="005E7EB8" w:rsidP="009D6A46">
            <w:pPr>
              <w:jc w:val="center"/>
              <w:rPr>
                <w:b/>
              </w:rPr>
            </w:pPr>
          </w:p>
        </w:tc>
        <w:tc>
          <w:tcPr>
            <w:tcW w:w="498" w:type="dxa"/>
          </w:tcPr>
          <w:p w14:paraId="23A7F88B" w14:textId="77777777" w:rsidR="005E7EB8" w:rsidRPr="00C80F34" w:rsidRDefault="005E7EB8" w:rsidP="009D6A46">
            <w:pPr>
              <w:jc w:val="center"/>
              <w:rPr>
                <w:b/>
              </w:rPr>
            </w:pPr>
          </w:p>
        </w:tc>
      </w:tr>
      <w:tr w:rsidR="005E7EB8" w:rsidRPr="00C80F34" w14:paraId="48F974EC" w14:textId="77777777" w:rsidTr="005E7EB8">
        <w:tc>
          <w:tcPr>
            <w:tcW w:w="4248" w:type="dxa"/>
          </w:tcPr>
          <w:p w14:paraId="7AFC12C3" w14:textId="77777777" w:rsidR="005E7EB8" w:rsidRPr="007117E7" w:rsidRDefault="005E7EB8" w:rsidP="00776872">
            <w:pPr>
              <w:pStyle w:val="ListParagraph"/>
              <w:numPr>
                <w:ilvl w:val="0"/>
                <w:numId w:val="8"/>
              </w:numPr>
              <w:ind w:left="360"/>
              <w:rPr>
                <w:rFonts w:ascii="Times New Roman" w:hAnsi="Times New Roman" w:cs="Times New Roman"/>
                <w:sz w:val="21"/>
                <w:szCs w:val="21"/>
              </w:rPr>
            </w:pPr>
            <w:r w:rsidRPr="007117E7">
              <w:rPr>
                <w:rFonts w:ascii="Times New Roman" w:hAnsi="Times New Roman" w:cs="Times New Roman"/>
                <w:sz w:val="21"/>
                <w:szCs w:val="21"/>
              </w:rPr>
              <w:t>Assessing sub-national target on emission reduction (1 month)</w:t>
            </w:r>
          </w:p>
        </w:tc>
        <w:tc>
          <w:tcPr>
            <w:tcW w:w="3118" w:type="dxa"/>
          </w:tcPr>
          <w:p w14:paraId="3368B8DA" w14:textId="77777777" w:rsidR="005E7EB8" w:rsidRPr="00411B28" w:rsidRDefault="005E7EB8" w:rsidP="00855114">
            <w:pPr>
              <w:rPr>
                <w:b/>
              </w:rPr>
            </w:pPr>
            <w:r w:rsidRPr="00C80F34">
              <w:rPr>
                <w:sz w:val="21"/>
                <w:szCs w:val="21"/>
              </w:rPr>
              <w:t xml:space="preserve">SRAP REDD+ </w:t>
            </w:r>
            <w:r w:rsidRPr="00411B28">
              <w:rPr>
                <w:sz w:val="21"/>
                <w:szCs w:val="21"/>
              </w:rPr>
              <w:t>task force, YIDH and Project Management Unit</w:t>
            </w:r>
          </w:p>
        </w:tc>
        <w:tc>
          <w:tcPr>
            <w:tcW w:w="499" w:type="dxa"/>
          </w:tcPr>
          <w:p w14:paraId="53886055" w14:textId="77777777" w:rsidR="005E7EB8" w:rsidRPr="00C80F34" w:rsidRDefault="005E7EB8" w:rsidP="00855114">
            <w:pPr>
              <w:jc w:val="center"/>
              <w:rPr>
                <w:b/>
              </w:rPr>
            </w:pPr>
          </w:p>
        </w:tc>
        <w:tc>
          <w:tcPr>
            <w:tcW w:w="498" w:type="dxa"/>
            <w:shd w:val="clear" w:color="auto" w:fill="ED7D31" w:themeFill="accent2"/>
          </w:tcPr>
          <w:p w14:paraId="31E46E41" w14:textId="77777777" w:rsidR="005E7EB8" w:rsidRPr="00C80F34" w:rsidRDefault="005E7EB8" w:rsidP="00855114">
            <w:pPr>
              <w:jc w:val="center"/>
              <w:rPr>
                <w:b/>
              </w:rPr>
            </w:pPr>
          </w:p>
        </w:tc>
        <w:tc>
          <w:tcPr>
            <w:tcW w:w="498" w:type="dxa"/>
          </w:tcPr>
          <w:p w14:paraId="23667122" w14:textId="77777777" w:rsidR="005E7EB8" w:rsidRPr="00C80F34" w:rsidRDefault="005E7EB8" w:rsidP="00855114">
            <w:pPr>
              <w:jc w:val="center"/>
              <w:rPr>
                <w:b/>
              </w:rPr>
            </w:pPr>
          </w:p>
        </w:tc>
        <w:tc>
          <w:tcPr>
            <w:tcW w:w="498" w:type="dxa"/>
          </w:tcPr>
          <w:p w14:paraId="2C0EDDB3" w14:textId="77777777" w:rsidR="005E7EB8" w:rsidRPr="00C80F34" w:rsidRDefault="005E7EB8" w:rsidP="00855114">
            <w:pPr>
              <w:jc w:val="center"/>
              <w:rPr>
                <w:b/>
              </w:rPr>
            </w:pPr>
          </w:p>
        </w:tc>
        <w:tc>
          <w:tcPr>
            <w:tcW w:w="498" w:type="dxa"/>
          </w:tcPr>
          <w:p w14:paraId="515BE648" w14:textId="77777777" w:rsidR="005E7EB8" w:rsidRPr="00C80F34" w:rsidRDefault="005E7EB8" w:rsidP="00855114">
            <w:pPr>
              <w:jc w:val="center"/>
              <w:rPr>
                <w:b/>
              </w:rPr>
            </w:pPr>
          </w:p>
        </w:tc>
        <w:tc>
          <w:tcPr>
            <w:tcW w:w="498" w:type="dxa"/>
          </w:tcPr>
          <w:p w14:paraId="4D9E3238" w14:textId="77777777" w:rsidR="005E7EB8" w:rsidRPr="00C80F34" w:rsidRDefault="005E7EB8" w:rsidP="00855114">
            <w:pPr>
              <w:jc w:val="center"/>
              <w:rPr>
                <w:b/>
              </w:rPr>
            </w:pPr>
          </w:p>
        </w:tc>
      </w:tr>
      <w:tr w:rsidR="005E7EB8" w:rsidRPr="00C80F34" w14:paraId="49FCE472" w14:textId="77777777" w:rsidTr="005E7EB8">
        <w:tc>
          <w:tcPr>
            <w:tcW w:w="4248" w:type="dxa"/>
          </w:tcPr>
          <w:p w14:paraId="25074EC3" w14:textId="77777777" w:rsidR="005E7EB8" w:rsidRPr="007117E7" w:rsidRDefault="005E7EB8" w:rsidP="00776872">
            <w:pPr>
              <w:pStyle w:val="ListParagraph"/>
              <w:numPr>
                <w:ilvl w:val="0"/>
                <w:numId w:val="8"/>
              </w:numPr>
              <w:ind w:left="360"/>
              <w:rPr>
                <w:rFonts w:ascii="Times New Roman" w:hAnsi="Times New Roman" w:cs="Times New Roman"/>
                <w:sz w:val="21"/>
                <w:szCs w:val="21"/>
              </w:rPr>
            </w:pPr>
            <w:r w:rsidRPr="007117E7">
              <w:rPr>
                <w:rFonts w:ascii="Times New Roman" w:hAnsi="Times New Roman" w:cs="Times New Roman"/>
                <w:sz w:val="21"/>
                <w:szCs w:val="21"/>
              </w:rPr>
              <w:t>Developing a detail roadmap and milestones for sub-national in reducing the emission (5 months)</w:t>
            </w:r>
          </w:p>
        </w:tc>
        <w:tc>
          <w:tcPr>
            <w:tcW w:w="3118" w:type="dxa"/>
          </w:tcPr>
          <w:p w14:paraId="24655E31" w14:textId="77777777" w:rsidR="005E7EB8" w:rsidRPr="00411B28" w:rsidRDefault="005E7EB8" w:rsidP="00855114">
            <w:pPr>
              <w:rPr>
                <w:b/>
              </w:rPr>
            </w:pPr>
            <w:r w:rsidRPr="00C80F34">
              <w:rPr>
                <w:sz w:val="21"/>
                <w:szCs w:val="21"/>
              </w:rPr>
              <w:t>SRAP REDD+ task force, YIDH and Project Management Unit</w:t>
            </w:r>
          </w:p>
        </w:tc>
        <w:tc>
          <w:tcPr>
            <w:tcW w:w="499" w:type="dxa"/>
            <w:shd w:val="clear" w:color="auto" w:fill="ED7D31" w:themeFill="accent2"/>
          </w:tcPr>
          <w:p w14:paraId="5FDB3EFD" w14:textId="77777777" w:rsidR="005E7EB8" w:rsidRPr="00411B28" w:rsidRDefault="005E7EB8" w:rsidP="00855114">
            <w:pPr>
              <w:jc w:val="center"/>
              <w:rPr>
                <w:b/>
              </w:rPr>
            </w:pPr>
          </w:p>
        </w:tc>
        <w:tc>
          <w:tcPr>
            <w:tcW w:w="498" w:type="dxa"/>
            <w:shd w:val="clear" w:color="auto" w:fill="ED7D31" w:themeFill="accent2"/>
          </w:tcPr>
          <w:p w14:paraId="790C4ACC" w14:textId="77777777" w:rsidR="005E7EB8" w:rsidRPr="00C80F34" w:rsidRDefault="005E7EB8" w:rsidP="00855114">
            <w:pPr>
              <w:jc w:val="center"/>
              <w:rPr>
                <w:b/>
              </w:rPr>
            </w:pPr>
          </w:p>
        </w:tc>
        <w:tc>
          <w:tcPr>
            <w:tcW w:w="498" w:type="dxa"/>
          </w:tcPr>
          <w:p w14:paraId="679E5A9C" w14:textId="77777777" w:rsidR="005E7EB8" w:rsidRPr="00C80F34" w:rsidRDefault="005E7EB8" w:rsidP="00855114">
            <w:pPr>
              <w:jc w:val="center"/>
              <w:rPr>
                <w:b/>
              </w:rPr>
            </w:pPr>
          </w:p>
        </w:tc>
        <w:tc>
          <w:tcPr>
            <w:tcW w:w="498" w:type="dxa"/>
          </w:tcPr>
          <w:p w14:paraId="4106FF18" w14:textId="77777777" w:rsidR="005E7EB8" w:rsidRPr="00C80F34" w:rsidRDefault="005E7EB8" w:rsidP="00855114">
            <w:pPr>
              <w:jc w:val="center"/>
              <w:rPr>
                <w:b/>
              </w:rPr>
            </w:pPr>
          </w:p>
        </w:tc>
        <w:tc>
          <w:tcPr>
            <w:tcW w:w="498" w:type="dxa"/>
          </w:tcPr>
          <w:p w14:paraId="44750F30" w14:textId="77777777" w:rsidR="005E7EB8" w:rsidRPr="00C80F34" w:rsidRDefault="005E7EB8" w:rsidP="00855114">
            <w:pPr>
              <w:jc w:val="center"/>
              <w:rPr>
                <w:b/>
              </w:rPr>
            </w:pPr>
          </w:p>
        </w:tc>
        <w:tc>
          <w:tcPr>
            <w:tcW w:w="498" w:type="dxa"/>
          </w:tcPr>
          <w:p w14:paraId="59D48B9D" w14:textId="77777777" w:rsidR="005E7EB8" w:rsidRPr="00C80F34" w:rsidRDefault="005E7EB8" w:rsidP="00855114">
            <w:pPr>
              <w:jc w:val="center"/>
              <w:rPr>
                <w:b/>
              </w:rPr>
            </w:pPr>
          </w:p>
        </w:tc>
      </w:tr>
      <w:tr w:rsidR="005E7EB8" w:rsidRPr="00C80F34" w14:paraId="65873DEB" w14:textId="77777777" w:rsidTr="005E7EB8">
        <w:tc>
          <w:tcPr>
            <w:tcW w:w="4248" w:type="dxa"/>
          </w:tcPr>
          <w:p w14:paraId="05D4BE29" w14:textId="77777777" w:rsidR="005E7EB8" w:rsidRPr="007117E7" w:rsidRDefault="005E7EB8" w:rsidP="00776872">
            <w:pPr>
              <w:pStyle w:val="ListParagraph"/>
              <w:numPr>
                <w:ilvl w:val="0"/>
                <w:numId w:val="8"/>
              </w:numPr>
              <w:ind w:left="360"/>
              <w:rPr>
                <w:rFonts w:ascii="Times New Roman" w:hAnsi="Times New Roman" w:cs="Times New Roman"/>
                <w:sz w:val="21"/>
                <w:szCs w:val="21"/>
              </w:rPr>
            </w:pPr>
            <w:r w:rsidRPr="007117E7">
              <w:rPr>
                <w:rFonts w:ascii="Times New Roman" w:hAnsi="Times New Roman" w:cs="Times New Roman"/>
                <w:sz w:val="21"/>
                <w:szCs w:val="21"/>
              </w:rPr>
              <w:t>Linking the sub-national REDD+ task force with district government level (4 months)</w:t>
            </w:r>
          </w:p>
        </w:tc>
        <w:tc>
          <w:tcPr>
            <w:tcW w:w="3118" w:type="dxa"/>
          </w:tcPr>
          <w:p w14:paraId="4D8FEF14" w14:textId="77777777" w:rsidR="005E7EB8" w:rsidRPr="00411B28" w:rsidRDefault="005E7EB8" w:rsidP="00855114">
            <w:pPr>
              <w:rPr>
                <w:b/>
              </w:rPr>
            </w:pPr>
            <w:r w:rsidRPr="00C80F34">
              <w:rPr>
                <w:sz w:val="21"/>
                <w:szCs w:val="21"/>
              </w:rPr>
              <w:t>SRAP REDD+ task force, YIDH and Project Management Unit</w:t>
            </w:r>
          </w:p>
        </w:tc>
        <w:tc>
          <w:tcPr>
            <w:tcW w:w="499" w:type="dxa"/>
          </w:tcPr>
          <w:p w14:paraId="25D3B759" w14:textId="77777777" w:rsidR="005E7EB8" w:rsidRPr="00411B28" w:rsidRDefault="005E7EB8" w:rsidP="00855114">
            <w:pPr>
              <w:jc w:val="center"/>
              <w:rPr>
                <w:b/>
              </w:rPr>
            </w:pPr>
          </w:p>
        </w:tc>
        <w:tc>
          <w:tcPr>
            <w:tcW w:w="498" w:type="dxa"/>
          </w:tcPr>
          <w:p w14:paraId="462D8615" w14:textId="77777777" w:rsidR="005E7EB8" w:rsidRPr="00C80F34" w:rsidRDefault="005E7EB8" w:rsidP="00855114">
            <w:pPr>
              <w:jc w:val="center"/>
              <w:rPr>
                <w:b/>
              </w:rPr>
            </w:pPr>
          </w:p>
        </w:tc>
        <w:tc>
          <w:tcPr>
            <w:tcW w:w="498" w:type="dxa"/>
            <w:shd w:val="clear" w:color="auto" w:fill="ED7D31" w:themeFill="accent2"/>
          </w:tcPr>
          <w:p w14:paraId="5B7DA8AC" w14:textId="77777777" w:rsidR="005E7EB8" w:rsidRPr="00C80F34" w:rsidRDefault="005E7EB8" w:rsidP="00855114">
            <w:pPr>
              <w:jc w:val="center"/>
              <w:rPr>
                <w:b/>
              </w:rPr>
            </w:pPr>
          </w:p>
        </w:tc>
        <w:tc>
          <w:tcPr>
            <w:tcW w:w="498" w:type="dxa"/>
            <w:shd w:val="clear" w:color="auto" w:fill="ED7D31" w:themeFill="accent2"/>
          </w:tcPr>
          <w:p w14:paraId="7EBCAE8A" w14:textId="77777777" w:rsidR="005E7EB8" w:rsidRPr="00C80F34" w:rsidRDefault="005E7EB8" w:rsidP="00855114">
            <w:pPr>
              <w:jc w:val="center"/>
              <w:rPr>
                <w:b/>
              </w:rPr>
            </w:pPr>
          </w:p>
        </w:tc>
        <w:tc>
          <w:tcPr>
            <w:tcW w:w="498" w:type="dxa"/>
          </w:tcPr>
          <w:p w14:paraId="2780DF18" w14:textId="77777777" w:rsidR="005E7EB8" w:rsidRPr="00C80F34" w:rsidRDefault="005E7EB8" w:rsidP="00855114">
            <w:pPr>
              <w:jc w:val="center"/>
              <w:rPr>
                <w:b/>
              </w:rPr>
            </w:pPr>
          </w:p>
        </w:tc>
        <w:tc>
          <w:tcPr>
            <w:tcW w:w="498" w:type="dxa"/>
          </w:tcPr>
          <w:p w14:paraId="15FB520B" w14:textId="77777777" w:rsidR="005E7EB8" w:rsidRPr="00C80F34" w:rsidRDefault="005E7EB8" w:rsidP="00855114">
            <w:pPr>
              <w:jc w:val="center"/>
              <w:rPr>
                <w:b/>
              </w:rPr>
            </w:pPr>
          </w:p>
        </w:tc>
      </w:tr>
      <w:tr w:rsidR="005E7EB8" w:rsidRPr="00C80F34" w14:paraId="02355274" w14:textId="77777777" w:rsidTr="005E7EB8">
        <w:tc>
          <w:tcPr>
            <w:tcW w:w="4248" w:type="dxa"/>
          </w:tcPr>
          <w:p w14:paraId="105F5CFB" w14:textId="77777777" w:rsidR="005E7EB8" w:rsidRPr="007117E7" w:rsidRDefault="005E7EB8" w:rsidP="00776872">
            <w:pPr>
              <w:pStyle w:val="ListParagraph"/>
              <w:numPr>
                <w:ilvl w:val="0"/>
                <w:numId w:val="8"/>
              </w:numPr>
              <w:ind w:left="360"/>
              <w:rPr>
                <w:rFonts w:ascii="Times New Roman" w:hAnsi="Times New Roman" w:cs="Times New Roman"/>
                <w:sz w:val="21"/>
                <w:szCs w:val="21"/>
              </w:rPr>
            </w:pPr>
            <w:r w:rsidRPr="007117E7">
              <w:rPr>
                <w:rFonts w:ascii="Times New Roman" w:hAnsi="Times New Roman" w:cs="Times New Roman"/>
                <w:sz w:val="21"/>
                <w:szCs w:val="21"/>
              </w:rPr>
              <w:t>Capacity building on REDD+ and green investment scheme (6 months)</w:t>
            </w:r>
          </w:p>
        </w:tc>
        <w:tc>
          <w:tcPr>
            <w:tcW w:w="3118" w:type="dxa"/>
          </w:tcPr>
          <w:p w14:paraId="357EBF48" w14:textId="77777777" w:rsidR="005E7EB8" w:rsidRPr="00411B28" w:rsidRDefault="005E7EB8" w:rsidP="00855114">
            <w:pPr>
              <w:rPr>
                <w:b/>
              </w:rPr>
            </w:pPr>
            <w:r w:rsidRPr="00C80F34">
              <w:rPr>
                <w:sz w:val="21"/>
                <w:szCs w:val="21"/>
              </w:rPr>
              <w:t>SRAP REDD+ task force, YIDH and Project Management Unit</w:t>
            </w:r>
          </w:p>
        </w:tc>
        <w:tc>
          <w:tcPr>
            <w:tcW w:w="499" w:type="dxa"/>
          </w:tcPr>
          <w:p w14:paraId="5A7D0C8A" w14:textId="77777777" w:rsidR="005E7EB8" w:rsidRPr="00411B28" w:rsidRDefault="005E7EB8" w:rsidP="00855114">
            <w:pPr>
              <w:jc w:val="center"/>
              <w:rPr>
                <w:b/>
              </w:rPr>
            </w:pPr>
          </w:p>
        </w:tc>
        <w:tc>
          <w:tcPr>
            <w:tcW w:w="498" w:type="dxa"/>
            <w:shd w:val="clear" w:color="auto" w:fill="ED7D31" w:themeFill="accent2"/>
          </w:tcPr>
          <w:p w14:paraId="0A56ECBE" w14:textId="77777777" w:rsidR="005E7EB8" w:rsidRPr="00C80F34" w:rsidRDefault="005E7EB8" w:rsidP="00855114">
            <w:pPr>
              <w:jc w:val="center"/>
              <w:rPr>
                <w:b/>
              </w:rPr>
            </w:pPr>
          </w:p>
        </w:tc>
        <w:tc>
          <w:tcPr>
            <w:tcW w:w="498" w:type="dxa"/>
            <w:shd w:val="clear" w:color="auto" w:fill="ED7D31" w:themeFill="accent2"/>
          </w:tcPr>
          <w:p w14:paraId="43C4E9FF" w14:textId="77777777" w:rsidR="005E7EB8" w:rsidRPr="00C80F34" w:rsidRDefault="005E7EB8" w:rsidP="00855114">
            <w:pPr>
              <w:jc w:val="center"/>
              <w:rPr>
                <w:b/>
              </w:rPr>
            </w:pPr>
          </w:p>
        </w:tc>
        <w:tc>
          <w:tcPr>
            <w:tcW w:w="498" w:type="dxa"/>
          </w:tcPr>
          <w:p w14:paraId="7451C595" w14:textId="77777777" w:rsidR="005E7EB8" w:rsidRPr="00C80F34" w:rsidRDefault="005E7EB8" w:rsidP="00855114">
            <w:pPr>
              <w:jc w:val="center"/>
              <w:rPr>
                <w:b/>
              </w:rPr>
            </w:pPr>
          </w:p>
        </w:tc>
        <w:tc>
          <w:tcPr>
            <w:tcW w:w="498" w:type="dxa"/>
          </w:tcPr>
          <w:p w14:paraId="0015DF31" w14:textId="77777777" w:rsidR="005E7EB8" w:rsidRPr="00C80F34" w:rsidRDefault="005E7EB8" w:rsidP="00855114">
            <w:pPr>
              <w:jc w:val="center"/>
              <w:rPr>
                <w:b/>
              </w:rPr>
            </w:pPr>
          </w:p>
        </w:tc>
        <w:tc>
          <w:tcPr>
            <w:tcW w:w="498" w:type="dxa"/>
          </w:tcPr>
          <w:p w14:paraId="62200A3B" w14:textId="77777777" w:rsidR="005E7EB8" w:rsidRPr="00C80F34" w:rsidRDefault="005E7EB8" w:rsidP="00855114">
            <w:pPr>
              <w:jc w:val="center"/>
              <w:rPr>
                <w:b/>
              </w:rPr>
            </w:pPr>
          </w:p>
        </w:tc>
      </w:tr>
      <w:tr w:rsidR="005E7EB8" w:rsidRPr="00C80F34" w14:paraId="6B97933F" w14:textId="77777777" w:rsidTr="005E7EB8">
        <w:tc>
          <w:tcPr>
            <w:tcW w:w="4248" w:type="dxa"/>
          </w:tcPr>
          <w:p w14:paraId="52A8E529" w14:textId="77777777" w:rsidR="005E7EB8" w:rsidRPr="007117E7" w:rsidRDefault="005E7EB8" w:rsidP="00776872">
            <w:pPr>
              <w:pStyle w:val="ListParagraph"/>
              <w:numPr>
                <w:ilvl w:val="0"/>
                <w:numId w:val="8"/>
              </w:numPr>
              <w:ind w:left="360"/>
              <w:rPr>
                <w:rFonts w:ascii="Times New Roman" w:hAnsi="Times New Roman" w:cs="Times New Roman"/>
                <w:sz w:val="21"/>
                <w:szCs w:val="21"/>
              </w:rPr>
            </w:pPr>
            <w:r w:rsidRPr="007117E7">
              <w:rPr>
                <w:rFonts w:ascii="Times New Roman" w:hAnsi="Times New Roman" w:cs="Times New Roman"/>
                <w:sz w:val="21"/>
                <w:szCs w:val="21"/>
              </w:rPr>
              <w:t>Online SIS REDD+ for sub-national as portal information on REDD+ (9 months)</w:t>
            </w:r>
          </w:p>
        </w:tc>
        <w:tc>
          <w:tcPr>
            <w:tcW w:w="3118" w:type="dxa"/>
          </w:tcPr>
          <w:p w14:paraId="346C3881" w14:textId="77777777" w:rsidR="005E7EB8" w:rsidRPr="00411B28" w:rsidRDefault="005E7EB8" w:rsidP="00855114">
            <w:pPr>
              <w:rPr>
                <w:b/>
              </w:rPr>
            </w:pPr>
            <w:r w:rsidRPr="00C80F34">
              <w:rPr>
                <w:sz w:val="21"/>
                <w:szCs w:val="21"/>
              </w:rPr>
              <w:t>SRAP REDD+ task force, YIDH and Project Management Unit</w:t>
            </w:r>
          </w:p>
        </w:tc>
        <w:tc>
          <w:tcPr>
            <w:tcW w:w="499" w:type="dxa"/>
          </w:tcPr>
          <w:p w14:paraId="36C078D7" w14:textId="77777777" w:rsidR="005E7EB8" w:rsidRPr="00411B28" w:rsidRDefault="005E7EB8" w:rsidP="00855114">
            <w:pPr>
              <w:jc w:val="center"/>
              <w:rPr>
                <w:b/>
              </w:rPr>
            </w:pPr>
          </w:p>
        </w:tc>
        <w:tc>
          <w:tcPr>
            <w:tcW w:w="498" w:type="dxa"/>
          </w:tcPr>
          <w:p w14:paraId="10E8B0FE" w14:textId="77777777" w:rsidR="005E7EB8" w:rsidRPr="00C80F34" w:rsidRDefault="005E7EB8" w:rsidP="00855114">
            <w:pPr>
              <w:jc w:val="center"/>
              <w:rPr>
                <w:b/>
              </w:rPr>
            </w:pPr>
          </w:p>
        </w:tc>
        <w:tc>
          <w:tcPr>
            <w:tcW w:w="498" w:type="dxa"/>
          </w:tcPr>
          <w:p w14:paraId="49DAAE6E" w14:textId="77777777" w:rsidR="005E7EB8" w:rsidRPr="00C80F34" w:rsidRDefault="005E7EB8" w:rsidP="00855114">
            <w:pPr>
              <w:jc w:val="center"/>
              <w:rPr>
                <w:b/>
              </w:rPr>
            </w:pPr>
          </w:p>
        </w:tc>
        <w:tc>
          <w:tcPr>
            <w:tcW w:w="498" w:type="dxa"/>
            <w:shd w:val="clear" w:color="auto" w:fill="ED7D31" w:themeFill="accent2"/>
          </w:tcPr>
          <w:p w14:paraId="6562879A" w14:textId="77777777" w:rsidR="005E7EB8" w:rsidRPr="00C80F34" w:rsidRDefault="005E7EB8" w:rsidP="00855114">
            <w:pPr>
              <w:jc w:val="center"/>
              <w:rPr>
                <w:b/>
              </w:rPr>
            </w:pPr>
          </w:p>
        </w:tc>
        <w:tc>
          <w:tcPr>
            <w:tcW w:w="498" w:type="dxa"/>
            <w:shd w:val="clear" w:color="auto" w:fill="ED7D31" w:themeFill="accent2"/>
          </w:tcPr>
          <w:p w14:paraId="0FF91064" w14:textId="77777777" w:rsidR="005E7EB8" w:rsidRPr="00C80F34" w:rsidRDefault="005E7EB8" w:rsidP="00855114">
            <w:pPr>
              <w:jc w:val="center"/>
              <w:rPr>
                <w:b/>
              </w:rPr>
            </w:pPr>
          </w:p>
        </w:tc>
        <w:tc>
          <w:tcPr>
            <w:tcW w:w="498" w:type="dxa"/>
            <w:shd w:val="clear" w:color="auto" w:fill="ED7D31" w:themeFill="accent2"/>
          </w:tcPr>
          <w:p w14:paraId="60F67FF4" w14:textId="77777777" w:rsidR="005E7EB8" w:rsidRPr="00C80F34" w:rsidRDefault="005E7EB8" w:rsidP="00855114">
            <w:pPr>
              <w:jc w:val="center"/>
              <w:rPr>
                <w:b/>
              </w:rPr>
            </w:pPr>
          </w:p>
        </w:tc>
      </w:tr>
      <w:tr w:rsidR="005E7EB8" w:rsidRPr="00C80F34" w14:paraId="491B0928" w14:textId="77777777" w:rsidTr="005E7EB8">
        <w:tc>
          <w:tcPr>
            <w:tcW w:w="4248" w:type="dxa"/>
          </w:tcPr>
          <w:p w14:paraId="30F8CF66" w14:textId="59B2D274" w:rsidR="005E7EB8" w:rsidRPr="007117E7" w:rsidRDefault="005E7EB8" w:rsidP="00776872">
            <w:pPr>
              <w:pStyle w:val="ListParagraph"/>
              <w:numPr>
                <w:ilvl w:val="0"/>
                <w:numId w:val="8"/>
              </w:numPr>
              <w:ind w:left="360"/>
              <w:rPr>
                <w:rFonts w:ascii="Times New Roman" w:hAnsi="Times New Roman" w:cs="Times New Roman"/>
                <w:sz w:val="21"/>
                <w:szCs w:val="21"/>
              </w:rPr>
            </w:pPr>
            <w:r w:rsidRPr="007117E7">
              <w:rPr>
                <w:rFonts w:ascii="Times New Roman" w:hAnsi="Times New Roman" w:cs="Times New Roman"/>
                <w:sz w:val="21"/>
                <w:szCs w:val="21"/>
              </w:rPr>
              <w:t>Developing a proper financial governance institution</w:t>
            </w:r>
            <w:r w:rsidR="001001DE" w:rsidRPr="007117E7">
              <w:rPr>
                <w:rFonts w:ascii="Times New Roman" w:hAnsi="Times New Roman" w:cs="Times New Roman"/>
                <w:sz w:val="21"/>
                <w:szCs w:val="21"/>
              </w:rPr>
              <w:t>/structure/arrangement</w:t>
            </w:r>
            <w:r w:rsidRPr="007117E7">
              <w:rPr>
                <w:rFonts w:ascii="Times New Roman" w:hAnsi="Times New Roman" w:cs="Times New Roman"/>
                <w:sz w:val="21"/>
                <w:szCs w:val="21"/>
              </w:rPr>
              <w:t xml:space="preserve"> and scheme for financial/investment partnership on REDD+ and Green Growth Plan (9 months)</w:t>
            </w:r>
          </w:p>
        </w:tc>
        <w:tc>
          <w:tcPr>
            <w:tcW w:w="3118" w:type="dxa"/>
          </w:tcPr>
          <w:p w14:paraId="54394B1A" w14:textId="77777777" w:rsidR="005E7EB8" w:rsidRPr="00411B28" w:rsidRDefault="005E7EB8" w:rsidP="00855114">
            <w:pPr>
              <w:rPr>
                <w:b/>
              </w:rPr>
            </w:pPr>
            <w:r w:rsidRPr="00C80F34">
              <w:rPr>
                <w:sz w:val="21"/>
                <w:szCs w:val="21"/>
              </w:rPr>
              <w:t>SRAP REDD+ task force, YIDH and Project Management Unit</w:t>
            </w:r>
          </w:p>
        </w:tc>
        <w:tc>
          <w:tcPr>
            <w:tcW w:w="499" w:type="dxa"/>
            <w:shd w:val="clear" w:color="auto" w:fill="ED7D31" w:themeFill="accent2"/>
          </w:tcPr>
          <w:p w14:paraId="3503167D" w14:textId="77777777" w:rsidR="005E7EB8" w:rsidRPr="00411B28" w:rsidRDefault="005E7EB8" w:rsidP="00855114">
            <w:pPr>
              <w:jc w:val="center"/>
              <w:rPr>
                <w:b/>
              </w:rPr>
            </w:pPr>
          </w:p>
        </w:tc>
        <w:tc>
          <w:tcPr>
            <w:tcW w:w="498" w:type="dxa"/>
            <w:shd w:val="clear" w:color="auto" w:fill="ED7D31" w:themeFill="accent2"/>
          </w:tcPr>
          <w:p w14:paraId="52827E6B" w14:textId="77777777" w:rsidR="005E7EB8" w:rsidRPr="00C80F34" w:rsidRDefault="005E7EB8" w:rsidP="00855114">
            <w:pPr>
              <w:jc w:val="center"/>
              <w:rPr>
                <w:b/>
              </w:rPr>
            </w:pPr>
          </w:p>
        </w:tc>
        <w:tc>
          <w:tcPr>
            <w:tcW w:w="498" w:type="dxa"/>
            <w:shd w:val="clear" w:color="auto" w:fill="ED7D31" w:themeFill="accent2"/>
          </w:tcPr>
          <w:p w14:paraId="7338B3DF" w14:textId="77777777" w:rsidR="005E7EB8" w:rsidRPr="00C80F34" w:rsidRDefault="005E7EB8" w:rsidP="00855114">
            <w:pPr>
              <w:jc w:val="center"/>
              <w:rPr>
                <w:b/>
              </w:rPr>
            </w:pPr>
          </w:p>
        </w:tc>
        <w:tc>
          <w:tcPr>
            <w:tcW w:w="498" w:type="dxa"/>
          </w:tcPr>
          <w:p w14:paraId="61596C85" w14:textId="77777777" w:rsidR="005E7EB8" w:rsidRPr="00C80F34" w:rsidRDefault="005E7EB8" w:rsidP="00855114">
            <w:pPr>
              <w:jc w:val="center"/>
              <w:rPr>
                <w:b/>
              </w:rPr>
            </w:pPr>
          </w:p>
        </w:tc>
        <w:tc>
          <w:tcPr>
            <w:tcW w:w="498" w:type="dxa"/>
          </w:tcPr>
          <w:p w14:paraId="3EA5038E" w14:textId="77777777" w:rsidR="005E7EB8" w:rsidRPr="00C80F34" w:rsidRDefault="005E7EB8" w:rsidP="00855114">
            <w:pPr>
              <w:jc w:val="center"/>
              <w:rPr>
                <w:b/>
              </w:rPr>
            </w:pPr>
          </w:p>
        </w:tc>
        <w:tc>
          <w:tcPr>
            <w:tcW w:w="498" w:type="dxa"/>
          </w:tcPr>
          <w:p w14:paraId="5B86453D" w14:textId="77777777" w:rsidR="005E7EB8" w:rsidRPr="00C80F34" w:rsidRDefault="005E7EB8" w:rsidP="00855114">
            <w:pPr>
              <w:jc w:val="center"/>
              <w:rPr>
                <w:b/>
              </w:rPr>
            </w:pPr>
          </w:p>
        </w:tc>
      </w:tr>
      <w:tr w:rsidR="005E7EB8" w:rsidRPr="00C80F34" w14:paraId="69445A97" w14:textId="77777777" w:rsidTr="005E7EB8">
        <w:tc>
          <w:tcPr>
            <w:tcW w:w="4248" w:type="dxa"/>
          </w:tcPr>
          <w:p w14:paraId="2D3B0EC3" w14:textId="77777777" w:rsidR="005E7EB8" w:rsidRPr="007117E7" w:rsidRDefault="00E942E9" w:rsidP="00776872">
            <w:pPr>
              <w:pStyle w:val="ListParagraph"/>
              <w:numPr>
                <w:ilvl w:val="0"/>
                <w:numId w:val="8"/>
              </w:numPr>
              <w:ind w:left="360"/>
              <w:rPr>
                <w:rFonts w:ascii="Times New Roman" w:hAnsi="Times New Roman" w:cs="Times New Roman"/>
                <w:sz w:val="21"/>
                <w:szCs w:val="21"/>
              </w:rPr>
            </w:pPr>
            <w:r w:rsidRPr="007117E7">
              <w:rPr>
                <w:rFonts w:ascii="Times New Roman" w:hAnsi="Times New Roman" w:cs="Times New Roman"/>
                <w:sz w:val="21"/>
                <w:szCs w:val="21"/>
              </w:rPr>
              <w:t xml:space="preserve">Developing a green investment pipeline for private sector and community </w:t>
            </w:r>
            <w:r w:rsidR="005E7EB8" w:rsidRPr="007117E7">
              <w:rPr>
                <w:rFonts w:ascii="Times New Roman" w:hAnsi="Times New Roman" w:cs="Times New Roman"/>
                <w:sz w:val="21"/>
                <w:szCs w:val="21"/>
              </w:rPr>
              <w:t>(12 months)</w:t>
            </w:r>
          </w:p>
        </w:tc>
        <w:tc>
          <w:tcPr>
            <w:tcW w:w="3118" w:type="dxa"/>
          </w:tcPr>
          <w:p w14:paraId="4DB21067" w14:textId="77777777" w:rsidR="005E7EB8" w:rsidRPr="00411B28" w:rsidRDefault="005E7EB8" w:rsidP="00855114">
            <w:pPr>
              <w:rPr>
                <w:b/>
              </w:rPr>
            </w:pPr>
            <w:r w:rsidRPr="00C80F34">
              <w:rPr>
                <w:sz w:val="21"/>
                <w:szCs w:val="21"/>
              </w:rPr>
              <w:t>SRAP REDD+ task force, YIDH and Project Management Unit</w:t>
            </w:r>
          </w:p>
        </w:tc>
        <w:tc>
          <w:tcPr>
            <w:tcW w:w="499" w:type="dxa"/>
          </w:tcPr>
          <w:p w14:paraId="432C16C9" w14:textId="77777777" w:rsidR="005E7EB8" w:rsidRPr="00411B28" w:rsidRDefault="005E7EB8" w:rsidP="00855114">
            <w:pPr>
              <w:jc w:val="center"/>
              <w:rPr>
                <w:b/>
              </w:rPr>
            </w:pPr>
          </w:p>
        </w:tc>
        <w:tc>
          <w:tcPr>
            <w:tcW w:w="498" w:type="dxa"/>
          </w:tcPr>
          <w:p w14:paraId="0D72EEEB" w14:textId="77777777" w:rsidR="005E7EB8" w:rsidRPr="00C80F34" w:rsidRDefault="005E7EB8" w:rsidP="00855114">
            <w:pPr>
              <w:jc w:val="center"/>
              <w:rPr>
                <w:b/>
              </w:rPr>
            </w:pPr>
          </w:p>
        </w:tc>
        <w:tc>
          <w:tcPr>
            <w:tcW w:w="498" w:type="dxa"/>
            <w:shd w:val="clear" w:color="auto" w:fill="ED7D31" w:themeFill="accent2"/>
          </w:tcPr>
          <w:p w14:paraId="0D44754E" w14:textId="77777777" w:rsidR="005E7EB8" w:rsidRPr="00C80F34" w:rsidRDefault="005E7EB8" w:rsidP="00855114">
            <w:pPr>
              <w:jc w:val="center"/>
              <w:rPr>
                <w:b/>
              </w:rPr>
            </w:pPr>
          </w:p>
        </w:tc>
        <w:tc>
          <w:tcPr>
            <w:tcW w:w="498" w:type="dxa"/>
            <w:shd w:val="clear" w:color="auto" w:fill="ED7D31" w:themeFill="accent2"/>
          </w:tcPr>
          <w:p w14:paraId="1654F333" w14:textId="77777777" w:rsidR="005E7EB8" w:rsidRPr="00C80F34" w:rsidRDefault="005E7EB8" w:rsidP="00855114">
            <w:pPr>
              <w:jc w:val="center"/>
              <w:rPr>
                <w:b/>
              </w:rPr>
            </w:pPr>
          </w:p>
        </w:tc>
        <w:tc>
          <w:tcPr>
            <w:tcW w:w="498" w:type="dxa"/>
            <w:shd w:val="clear" w:color="auto" w:fill="ED7D31" w:themeFill="accent2"/>
          </w:tcPr>
          <w:p w14:paraId="5402B867" w14:textId="77777777" w:rsidR="005E7EB8" w:rsidRPr="00C80F34" w:rsidRDefault="005E7EB8" w:rsidP="00855114">
            <w:pPr>
              <w:jc w:val="center"/>
              <w:rPr>
                <w:b/>
              </w:rPr>
            </w:pPr>
          </w:p>
        </w:tc>
        <w:tc>
          <w:tcPr>
            <w:tcW w:w="498" w:type="dxa"/>
            <w:shd w:val="clear" w:color="auto" w:fill="ED7D31" w:themeFill="accent2"/>
          </w:tcPr>
          <w:p w14:paraId="07692F33" w14:textId="77777777" w:rsidR="005E7EB8" w:rsidRPr="00C80F34" w:rsidRDefault="005E7EB8" w:rsidP="00855114">
            <w:pPr>
              <w:jc w:val="center"/>
              <w:rPr>
                <w:b/>
              </w:rPr>
            </w:pPr>
          </w:p>
        </w:tc>
      </w:tr>
      <w:tr w:rsidR="005E7EB8" w:rsidRPr="00C80F34" w14:paraId="0FFBC05D" w14:textId="77777777" w:rsidTr="005E7EB8">
        <w:tc>
          <w:tcPr>
            <w:tcW w:w="4248" w:type="dxa"/>
          </w:tcPr>
          <w:p w14:paraId="7E54535B" w14:textId="77777777" w:rsidR="005E7EB8" w:rsidRPr="007117E7" w:rsidRDefault="005E7EB8" w:rsidP="00776872">
            <w:pPr>
              <w:pStyle w:val="ListParagraph"/>
              <w:numPr>
                <w:ilvl w:val="0"/>
                <w:numId w:val="8"/>
              </w:numPr>
              <w:ind w:left="360"/>
              <w:rPr>
                <w:rFonts w:ascii="Times New Roman" w:hAnsi="Times New Roman" w:cs="Times New Roman"/>
                <w:sz w:val="21"/>
                <w:szCs w:val="21"/>
              </w:rPr>
            </w:pPr>
            <w:r w:rsidRPr="007117E7">
              <w:rPr>
                <w:rFonts w:ascii="Times New Roman" w:hAnsi="Times New Roman" w:cs="Times New Roman"/>
                <w:sz w:val="21"/>
                <w:szCs w:val="21"/>
              </w:rPr>
              <w:t>Preparing financial structure and scheme for Result Based Payment (REDD+ carbon incentive managed by Ministry of Finance) (18 months)</w:t>
            </w:r>
          </w:p>
        </w:tc>
        <w:tc>
          <w:tcPr>
            <w:tcW w:w="3118" w:type="dxa"/>
          </w:tcPr>
          <w:p w14:paraId="040EB79C" w14:textId="77777777" w:rsidR="005E7EB8" w:rsidRPr="00411B28" w:rsidRDefault="005E7EB8" w:rsidP="00855114">
            <w:pPr>
              <w:rPr>
                <w:b/>
              </w:rPr>
            </w:pPr>
            <w:r w:rsidRPr="00C80F34">
              <w:rPr>
                <w:sz w:val="21"/>
                <w:szCs w:val="21"/>
              </w:rPr>
              <w:t>SRAP REDD+ task force, YIDH and Project Management Unit</w:t>
            </w:r>
          </w:p>
        </w:tc>
        <w:tc>
          <w:tcPr>
            <w:tcW w:w="499" w:type="dxa"/>
            <w:shd w:val="clear" w:color="auto" w:fill="ED7D31" w:themeFill="accent2"/>
          </w:tcPr>
          <w:p w14:paraId="43A67E5D" w14:textId="77777777" w:rsidR="005E7EB8" w:rsidRPr="00411B28" w:rsidRDefault="005E7EB8" w:rsidP="00855114">
            <w:pPr>
              <w:jc w:val="center"/>
              <w:rPr>
                <w:b/>
              </w:rPr>
            </w:pPr>
          </w:p>
        </w:tc>
        <w:tc>
          <w:tcPr>
            <w:tcW w:w="498" w:type="dxa"/>
            <w:shd w:val="clear" w:color="auto" w:fill="ED7D31" w:themeFill="accent2"/>
          </w:tcPr>
          <w:p w14:paraId="654A9372" w14:textId="77777777" w:rsidR="005E7EB8" w:rsidRPr="00C80F34" w:rsidRDefault="005E7EB8" w:rsidP="00855114">
            <w:pPr>
              <w:jc w:val="center"/>
              <w:rPr>
                <w:b/>
              </w:rPr>
            </w:pPr>
          </w:p>
        </w:tc>
        <w:tc>
          <w:tcPr>
            <w:tcW w:w="498" w:type="dxa"/>
            <w:shd w:val="clear" w:color="auto" w:fill="ED7D31" w:themeFill="accent2"/>
          </w:tcPr>
          <w:p w14:paraId="79075833" w14:textId="77777777" w:rsidR="005E7EB8" w:rsidRPr="00C80F34" w:rsidRDefault="005E7EB8" w:rsidP="00855114">
            <w:pPr>
              <w:jc w:val="center"/>
              <w:rPr>
                <w:b/>
              </w:rPr>
            </w:pPr>
          </w:p>
        </w:tc>
        <w:tc>
          <w:tcPr>
            <w:tcW w:w="498" w:type="dxa"/>
            <w:shd w:val="clear" w:color="auto" w:fill="ED7D31" w:themeFill="accent2"/>
          </w:tcPr>
          <w:p w14:paraId="29CF89ED" w14:textId="77777777" w:rsidR="005E7EB8" w:rsidRPr="00C80F34" w:rsidRDefault="005E7EB8" w:rsidP="00855114">
            <w:pPr>
              <w:jc w:val="center"/>
              <w:rPr>
                <w:b/>
              </w:rPr>
            </w:pPr>
          </w:p>
        </w:tc>
        <w:tc>
          <w:tcPr>
            <w:tcW w:w="498" w:type="dxa"/>
            <w:shd w:val="clear" w:color="auto" w:fill="ED7D31" w:themeFill="accent2"/>
          </w:tcPr>
          <w:p w14:paraId="19EB0412" w14:textId="77777777" w:rsidR="005E7EB8" w:rsidRPr="00C80F34" w:rsidRDefault="005E7EB8" w:rsidP="00855114">
            <w:pPr>
              <w:jc w:val="center"/>
              <w:rPr>
                <w:b/>
              </w:rPr>
            </w:pPr>
          </w:p>
        </w:tc>
        <w:tc>
          <w:tcPr>
            <w:tcW w:w="498" w:type="dxa"/>
            <w:shd w:val="clear" w:color="auto" w:fill="ED7D31" w:themeFill="accent2"/>
          </w:tcPr>
          <w:p w14:paraId="6807D824" w14:textId="77777777" w:rsidR="005E7EB8" w:rsidRPr="00C80F34" w:rsidRDefault="005E7EB8" w:rsidP="00855114">
            <w:pPr>
              <w:jc w:val="center"/>
              <w:rPr>
                <w:b/>
              </w:rPr>
            </w:pPr>
          </w:p>
        </w:tc>
      </w:tr>
      <w:tr w:rsidR="005E7EB8" w:rsidRPr="00C80F34" w14:paraId="7629D152" w14:textId="77777777" w:rsidTr="005E7EB8">
        <w:tc>
          <w:tcPr>
            <w:tcW w:w="4248" w:type="dxa"/>
          </w:tcPr>
          <w:p w14:paraId="480F56BF" w14:textId="77777777" w:rsidR="005E7EB8" w:rsidRPr="007117E7" w:rsidRDefault="005E7EB8" w:rsidP="00776872">
            <w:pPr>
              <w:pStyle w:val="ListParagraph"/>
              <w:numPr>
                <w:ilvl w:val="0"/>
                <w:numId w:val="8"/>
              </w:numPr>
              <w:ind w:left="360"/>
              <w:rPr>
                <w:rFonts w:ascii="Times New Roman" w:hAnsi="Times New Roman" w:cs="Times New Roman"/>
                <w:sz w:val="21"/>
                <w:szCs w:val="21"/>
              </w:rPr>
            </w:pPr>
            <w:r w:rsidRPr="007117E7">
              <w:rPr>
                <w:rFonts w:ascii="Times New Roman" w:hAnsi="Times New Roman" w:cs="Times New Roman"/>
                <w:sz w:val="21"/>
                <w:szCs w:val="21"/>
              </w:rPr>
              <w:t>Encouraging Provincial Regulation (PERDA) on Peat Protection and Restoration (12 months)</w:t>
            </w:r>
          </w:p>
        </w:tc>
        <w:tc>
          <w:tcPr>
            <w:tcW w:w="3118" w:type="dxa"/>
          </w:tcPr>
          <w:p w14:paraId="0F7FC89D" w14:textId="77777777" w:rsidR="005E7EB8" w:rsidRPr="00411B28" w:rsidRDefault="005E7EB8" w:rsidP="00855114">
            <w:pPr>
              <w:rPr>
                <w:b/>
              </w:rPr>
            </w:pPr>
            <w:r w:rsidRPr="00C80F34">
              <w:rPr>
                <w:sz w:val="21"/>
                <w:szCs w:val="21"/>
              </w:rPr>
              <w:t>SRAP REDD+ task force, YIDH and Project Management Unit</w:t>
            </w:r>
          </w:p>
        </w:tc>
        <w:tc>
          <w:tcPr>
            <w:tcW w:w="499" w:type="dxa"/>
          </w:tcPr>
          <w:p w14:paraId="343FDFBD" w14:textId="77777777" w:rsidR="005E7EB8" w:rsidRPr="00411B28" w:rsidRDefault="005E7EB8" w:rsidP="00855114">
            <w:pPr>
              <w:jc w:val="center"/>
              <w:rPr>
                <w:b/>
              </w:rPr>
            </w:pPr>
          </w:p>
        </w:tc>
        <w:tc>
          <w:tcPr>
            <w:tcW w:w="498" w:type="dxa"/>
          </w:tcPr>
          <w:p w14:paraId="1177320D" w14:textId="77777777" w:rsidR="005E7EB8" w:rsidRPr="00C80F34" w:rsidRDefault="005E7EB8" w:rsidP="00855114">
            <w:pPr>
              <w:jc w:val="center"/>
              <w:rPr>
                <w:b/>
              </w:rPr>
            </w:pPr>
          </w:p>
        </w:tc>
        <w:tc>
          <w:tcPr>
            <w:tcW w:w="498" w:type="dxa"/>
            <w:shd w:val="clear" w:color="auto" w:fill="ED7D31" w:themeFill="accent2"/>
          </w:tcPr>
          <w:p w14:paraId="24C7CEC7" w14:textId="77777777" w:rsidR="005E7EB8" w:rsidRPr="00C80F34" w:rsidRDefault="005E7EB8" w:rsidP="00855114">
            <w:pPr>
              <w:jc w:val="center"/>
              <w:rPr>
                <w:b/>
              </w:rPr>
            </w:pPr>
          </w:p>
        </w:tc>
        <w:tc>
          <w:tcPr>
            <w:tcW w:w="498" w:type="dxa"/>
            <w:shd w:val="clear" w:color="auto" w:fill="ED7D31" w:themeFill="accent2"/>
          </w:tcPr>
          <w:p w14:paraId="205468A9" w14:textId="77777777" w:rsidR="005E7EB8" w:rsidRPr="00C80F34" w:rsidRDefault="005E7EB8" w:rsidP="00855114">
            <w:pPr>
              <w:jc w:val="center"/>
              <w:rPr>
                <w:b/>
              </w:rPr>
            </w:pPr>
          </w:p>
        </w:tc>
        <w:tc>
          <w:tcPr>
            <w:tcW w:w="498" w:type="dxa"/>
            <w:shd w:val="clear" w:color="auto" w:fill="ED7D31" w:themeFill="accent2"/>
          </w:tcPr>
          <w:p w14:paraId="613FCFFE" w14:textId="77777777" w:rsidR="005E7EB8" w:rsidRPr="00C80F34" w:rsidRDefault="005E7EB8" w:rsidP="00855114">
            <w:pPr>
              <w:jc w:val="center"/>
              <w:rPr>
                <w:b/>
              </w:rPr>
            </w:pPr>
          </w:p>
        </w:tc>
        <w:tc>
          <w:tcPr>
            <w:tcW w:w="498" w:type="dxa"/>
            <w:shd w:val="clear" w:color="auto" w:fill="ED7D31" w:themeFill="accent2"/>
          </w:tcPr>
          <w:p w14:paraId="681B30BE" w14:textId="77777777" w:rsidR="005E7EB8" w:rsidRPr="00C80F34" w:rsidRDefault="005E7EB8" w:rsidP="00855114">
            <w:pPr>
              <w:jc w:val="center"/>
              <w:rPr>
                <w:b/>
              </w:rPr>
            </w:pPr>
          </w:p>
        </w:tc>
      </w:tr>
      <w:tr w:rsidR="005E7EB8" w:rsidRPr="00C80F34" w14:paraId="3A398744" w14:textId="77777777" w:rsidTr="005E7EB8">
        <w:tc>
          <w:tcPr>
            <w:tcW w:w="4248" w:type="dxa"/>
          </w:tcPr>
          <w:p w14:paraId="3D5030FF" w14:textId="77777777" w:rsidR="005E7EB8" w:rsidRPr="007117E7" w:rsidRDefault="005E7EB8" w:rsidP="00776872">
            <w:pPr>
              <w:pStyle w:val="ListParagraph"/>
              <w:numPr>
                <w:ilvl w:val="0"/>
                <w:numId w:val="8"/>
              </w:numPr>
              <w:ind w:left="360"/>
              <w:rPr>
                <w:rFonts w:ascii="Times New Roman" w:hAnsi="Times New Roman" w:cs="Times New Roman"/>
                <w:sz w:val="21"/>
                <w:szCs w:val="21"/>
              </w:rPr>
            </w:pPr>
            <w:r w:rsidRPr="007117E7">
              <w:rPr>
                <w:rFonts w:ascii="Times New Roman" w:hAnsi="Times New Roman" w:cs="Times New Roman"/>
                <w:sz w:val="21"/>
                <w:szCs w:val="21"/>
              </w:rPr>
              <w:t>Linking the REDD+ target and strategy into landscape based Long-Term Forest Management Plan of Forest Management Unit (FMU). (12 months)</w:t>
            </w:r>
          </w:p>
        </w:tc>
        <w:tc>
          <w:tcPr>
            <w:tcW w:w="3118" w:type="dxa"/>
          </w:tcPr>
          <w:p w14:paraId="48748A5E" w14:textId="77777777" w:rsidR="005E7EB8" w:rsidRPr="00411B28" w:rsidRDefault="005E7EB8" w:rsidP="00855114">
            <w:pPr>
              <w:rPr>
                <w:b/>
              </w:rPr>
            </w:pPr>
            <w:r w:rsidRPr="00C80F34">
              <w:rPr>
                <w:sz w:val="21"/>
                <w:szCs w:val="21"/>
              </w:rPr>
              <w:t xml:space="preserve">SRAP REDD+ task </w:t>
            </w:r>
            <w:r w:rsidRPr="00411B28">
              <w:rPr>
                <w:sz w:val="21"/>
                <w:szCs w:val="21"/>
              </w:rPr>
              <w:t>force, YIDH and Project Management Unit</w:t>
            </w:r>
          </w:p>
        </w:tc>
        <w:tc>
          <w:tcPr>
            <w:tcW w:w="499" w:type="dxa"/>
          </w:tcPr>
          <w:p w14:paraId="39ED08EC" w14:textId="77777777" w:rsidR="005E7EB8" w:rsidRPr="00C80F34" w:rsidRDefault="005E7EB8" w:rsidP="00855114">
            <w:pPr>
              <w:jc w:val="center"/>
              <w:rPr>
                <w:b/>
              </w:rPr>
            </w:pPr>
          </w:p>
        </w:tc>
        <w:tc>
          <w:tcPr>
            <w:tcW w:w="498" w:type="dxa"/>
          </w:tcPr>
          <w:p w14:paraId="557C183B" w14:textId="77777777" w:rsidR="005E7EB8" w:rsidRPr="00C80F34" w:rsidRDefault="005E7EB8" w:rsidP="00855114">
            <w:pPr>
              <w:jc w:val="center"/>
              <w:rPr>
                <w:b/>
              </w:rPr>
            </w:pPr>
          </w:p>
        </w:tc>
        <w:tc>
          <w:tcPr>
            <w:tcW w:w="498" w:type="dxa"/>
            <w:shd w:val="clear" w:color="auto" w:fill="ED7D31" w:themeFill="accent2"/>
          </w:tcPr>
          <w:p w14:paraId="14BA68C0" w14:textId="77777777" w:rsidR="005E7EB8" w:rsidRPr="00C80F34" w:rsidRDefault="005E7EB8" w:rsidP="00855114">
            <w:pPr>
              <w:jc w:val="center"/>
              <w:rPr>
                <w:b/>
              </w:rPr>
            </w:pPr>
          </w:p>
        </w:tc>
        <w:tc>
          <w:tcPr>
            <w:tcW w:w="498" w:type="dxa"/>
            <w:shd w:val="clear" w:color="auto" w:fill="ED7D31" w:themeFill="accent2"/>
          </w:tcPr>
          <w:p w14:paraId="4E515502" w14:textId="77777777" w:rsidR="005E7EB8" w:rsidRPr="00C80F34" w:rsidRDefault="005E7EB8" w:rsidP="00855114">
            <w:pPr>
              <w:jc w:val="center"/>
              <w:rPr>
                <w:b/>
              </w:rPr>
            </w:pPr>
          </w:p>
        </w:tc>
        <w:tc>
          <w:tcPr>
            <w:tcW w:w="498" w:type="dxa"/>
            <w:shd w:val="clear" w:color="auto" w:fill="ED7D31" w:themeFill="accent2"/>
          </w:tcPr>
          <w:p w14:paraId="2136FD9A" w14:textId="77777777" w:rsidR="005E7EB8" w:rsidRPr="00C80F34" w:rsidRDefault="005E7EB8" w:rsidP="00855114">
            <w:pPr>
              <w:jc w:val="center"/>
              <w:rPr>
                <w:b/>
              </w:rPr>
            </w:pPr>
          </w:p>
        </w:tc>
        <w:tc>
          <w:tcPr>
            <w:tcW w:w="498" w:type="dxa"/>
            <w:shd w:val="clear" w:color="auto" w:fill="ED7D31" w:themeFill="accent2"/>
          </w:tcPr>
          <w:p w14:paraId="55ABC88C" w14:textId="77777777" w:rsidR="005E7EB8" w:rsidRPr="00C80F34" w:rsidRDefault="005E7EB8" w:rsidP="00855114">
            <w:pPr>
              <w:jc w:val="center"/>
              <w:rPr>
                <w:b/>
              </w:rPr>
            </w:pPr>
          </w:p>
        </w:tc>
      </w:tr>
    </w:tbl>
    <w:p w14:paraId="4C06FE77" w14:textId="77777777" w:rsidR="005E7EB8" w:rsidRPr="00C80F34" w:rsidRDefault="005E7EB8" w:rsidP="005E7EB8">
      <w:pPr>
        <w:rPr>
          <w:b/>
        </w:rPr>
      </w:pPr>
    </w:p>
    <w:p w14:paraId="435CEF00" w14:textId="77777777" w:rsidR="00774634" w:rsidRPr="00C80F34" w:rsidRDefault="00774634" w:rsidP="00776872">
      <w:pPr>
        <w:pStyle w:val="ListParagraph"/>
        <w:numPr>
          <w:ilvl w:val="1"/>
          <w:numId w:val="6"/>
        </w:numPr>
        <w:spacing w:after="0" w:line="240" w:lineRule="auto"/>
        <w:ind w:left="567" w:hanging="567"/>
        <w:contextualSpacing w:val="0"/>
        <w:rPr>
          <w:rFonts w:ascii="Times New Roman" w:hAnsi="Times New Roman" w:cs="Times New Roman"/>
          <w:b/>
        </w:rPr>
      </w:pPr>
      <w:r w:rsidRPr="00C80F34">
        <w:rPr>
          <w:rFonts w:ascii="Times New Roman" w:hAnsi="Times New Roman" w:cs="Times New Roman"/>
          <w:b/>
        </w:rPr>
        <w:t>Cross-cutting Issues (2 pages)</w:t>
      </w:r>
    </w:p>
    <w:p w14:paraId="5F49AFAF" w14:textId="2D390079" w:rsidR="00D40F7D" w:rsidRPr="0061488A" w:rsidRDefault="00774634" w:rsidP="0061488A">
      <w:pPr>
        <w:spacing w:after="120" w:line="276" w:lineRule="auto"/>
        <w:jc w:val="both"/>
        <w:rPr>
          <w:sz w:val="22"/>
          <w:szCs w:val="22"/>
        </w:rPr>
      </w:pPr>
      <w:r w:rsidRPr="0061488A">
        <w:rPr>
          <w:b/>
          <w:i/>
          <w:sz w:val="22"/>
          <w:szCs w:val="22"/>
          <w:u w:val="single"/>
        </w:rPr>
        <w:t>Interaction with boarder policy framework</w:t>
      </w:r>
    </w:p>
    <w:p w14:paraId="28E5C0DD" w14:textId="3B16CF88" w:rsidR="006E10C0" w:rsidRPr="0061488A" w:rsidRDefault="002B5486" w:rsidP="006E10C0">
      <w:pPr>
        <w:jc w:val="both"/>
        <w:rPr>
          <w:sz w:val="22"/>
          <w:szCs w:val="22"/>
        </w:rPr>
      </w:pPr>
      <w:r w:rsidRPr="0061488A">
        <w:rPr>
          <w:sz w:val="22"/>
          <w:szCs w:val="22"/>
        </w:rPr>
        <w:t>SRAP REDD+</w:t>
      </w:r>
      <w:r w:rsidR="006E10C0" w:rsidRPr="0061488A">
        <w:rPr>
          <w:sz w:val="22"/>
          <w:szCs w:val="22"/>
        </w:rPr>
        <w:t xml:space="preserve"> </w:t>
      </w:r>
      <w:r w:rsidR="001001DE" w:rsidRPr="0061488A">
        <w:rPr>
          <w:sz w:val="22"/>
          <w:szCs w:val="22"/>
        </w:rPr>
        <w:t xml:space="preserve">and GGP </w:t>
      </w:r>
      <w:r w:rsidR="006E10C0" w:rsidRPr="0061488A">
        <w:rPr>
          <w:sz w:val="22"/>
          <w:szCs w:val="22"/>
        </w:rPr>
        <w:t xml:space="preserve">interact </w:t>
      </w:r>
      <w:r w:rsidRPr="0061488A">
        <w:rPr>
          <w:sz w:val="22"/>
          <w:szCs w:val="22"/>
        </w:rPr>
        <w:t>with</w:t>
      </w:r>
      <w:r w:rsidR="006E10C0" w:rsidRPr="0061488A">
        <w:rPr>
          <w:sz w:val="22"/>
          <w:szCs w:val="22"/>
        </w:rPr>
        <w:t xml:space="preserve"> several</w:t>
      </w:r>
      <w:r w:rsidRPr="0061488A">
        <w:rPr>
          <w:sz w:val="22"/>
          <w:szCs w:val="22"/>
        </w:rPr>
        <w:t xml:space="preserve"> regional, national, international and sectoral policies framework both regional and national</w:t>
      </w:r>
      <w:r w:rsidR="006E10C0" w:rsidRPr="0061488A">
        <w:rPr>
          <w:sz w:val="22"/>
          <w:szCs w:val="22"/>
        </w:rPr>
        <w:t xml:space="preserve"> such as: </w:t>
      </w:r>
    </w:p>
    <w:p w14:paraId="1124B488" w14:textId="77777777" w:rsidR="006E10C0" w:rsidRPr="0061488A" w:rsidRDefault="006E10C0" w:rsidP="00776872">
      <w:pPr>
        <w:pStyle w:val="ListParagraph"/>
        <w:numPr>
          <w:ilvl w:val="1"/>
          <w:numId w:val="8"/>
        </w:numPr>
        <w:spacing w:after="120" w:line="240" w:lineRule="auto"/>
        <w:ind w:left="360"/>
        <w:jc w:val="both"/>
        <w:rPr>
          <w:rFonts w:ascii="Times New Roman" w:hAnsi="Times New Roman" w:cs="Times New Roman"/>
        </w:rPr>
      </w:pPr>
      <w:r w:rsidRPr="0061488A">
        <w:rPr>
          <w:rFonts w:ascii="Times New Roman" w:hAnsi="Times New Roman" w:cs="Times New Roman"/>
        </w:rPr>
        <w:t xml:space="preserve">Regional: </w:t>
      </w:r>
      <w:r w:rsidR="002B5486" w:rsidRPr="0061488A">
        <w:rPr>
          <w:rFonts w:ascii="Times New Roman" w:hAnsi="Times New Roman" w:cs="Times New Roman"/>
        </w:rPr>
        <w:t>Mid-Term Provincial Development Plan</w:t>
      </w:r>
      <w:r w:rsidR="00E14098" w:rsidRPr="0061488A">
        <w:rPr>
          <w:rFonts w:ascii="Times New Roman" w:hAnsi="Times New Roman" w:cs="Times New Roman"/>
        </w:rPr>
        <w:t xml:space="preserve"> (RPJMD)</w:t>
      </w:r>
      <w:r w:rsidR="002B5486" w:rsidRPr="0061488A">
        <w:rPr>
          <w:rFonts w:ascii="Times New Roman" w:hAnsi="Times New Roman" w:cs="Times New Roman"/>
        </w:rPr>
        <w:t>, Regional Action on Reducing Greenhouse Gas Emission (RAD-GRK</w:t>
      </w:r>
      <w:r w:rsidR="00524314" w:rsidRPr="0061488A">
        <w:rPr>
          <w:rFonts w:ascii="Times New Roman" w:hAnsi="Times New Roman" w:cs="Times New Roman"/>
        </w:rPr>
        <w:t>), Ecosystem Essential Area (KEE</w:t>
      </w:r>
      <w:r w:rsidR="002B5486" w:rsidRPr="0061488A">
        <w:rPr>
          <w:rFonts w:ascii="Times New Roman" w:hAnsi="Times New Roman" w:cs="Times New Roman"/>
        </w:rPr>
        <w:t xml:space="preserve">), Provincial Regulation (PERDA) on Watershed Management and Sustainable Land Based Investment, etc. </w:t>
      </w:r>
    </w:p>
    <w:p w14:paraId="482E7B81" w14:textId="4230F603" w:rsidR="006E10C0" w:rsidRPr="0061488A" w:rsidRDefault="006E10C0" w:rsidP="00776872">
      <w:pPr>
        <w:pStyle w:val="ListParagraph"/>
        <w:numPr>
          <w:ilvl w:val="1"/>
          <w:numId w:val="8"/>
        </w:numPr>
        <w:spacing w:after="120" w:line="240" w:lineRule="auto"/>
        <w:ind w:left="360"/>
        <w:jc w:val="both"/>
        <w:rPr>
          <w:rFonts w:ascii="Times New Roman" w:hAnsi="Times New Roman" w:cs="Times New Roman"/>
        </w:rPr>
      </w:pPr>
      <w:r w:rsidRPr="0061488A">
        <w:rPr>
          <w:rFonts w:ascii="Times New Roman" w:hAnsi="Times New Roman" w:cs="Times New Roman"/>
        </w:rPr>
        <w:t xml:space="preserve">National: </w:t>
      </w:r>
      <w:r w:rsidR="002B5486" w:rsidRPr="0061488A">
        <w:rPr>
          <w:rFonts w:ascii="Times New Roman" w:hAnsi="Times New Roman" w:cs="Times New Roman"/>
        </w:rPr>
        <w:t xml:space="preserve">National Mid-Term Development Plan, National Action on Reducing Greenhouse Gas Emission (RAN-GRK), National Determined Contribution (NDC), National Strategy on REDD+, National Green Growth Plan Framework by National Planning Agency </w:t>
      </w:r>
      <w:r w:rsidR="001001DE" w:rsidRPr="0061488A">
        <w:rPr>
          <w:rFonts w:ascii="Times New Roman" w:hAnsi="Times New Roman" w:cs="Times New Roman"/>
        </w:rPr>
        <w:t xml:space="preserve">and Low Carbon Development Indonesia/LCDI </w:t>
      </w:r>
      <w:r w:rsidR="002B5486" w:rsidRPr="0061488A">
        <w:rPr>
          <w:rFonts w:ascii="Times New Roman" w:hAnsi="Times New Roman" w:cs="Times New Roman"/>
        </w:rPr>
        <w:t>(BAPPENAS), Ratified Laws No. 16 Year</w:t>
      </w:r>
      <w:r w:rsidRPr="0061488A">
        <w:rPr>
          <w:rFonts w:ascii="Times New Roman" w:hAnsi="Times New Roman" w:cs="Times New Roman"/>
        </w:rPr>
        <w:t xml:space="preserve"> 16 on Paris Agreement. </w:t>
      </w:r>
    </w:p>
    <w:p w14:paraId="3A44E33F" w14:textId="77777777" w:rsidR="006E10C0" w:rsidRPr="0061488A" w:rsidRDefault="006E10C0" w:rsidP="00776872">
      <w:pPr>
        <w:pStyle w:val="ListParagraph"/>
        <w:numPr>
          <w:ilvl w:val="1"/>
          <w:numId w:val="8"/>
        </w:numPr>
        <w:spacing w:after="120" w:line="240" w:lineRule="auto"/>
        <w:ind w:left="360"/>
        <w:jc w:val="both"/>
        <w:rPr>
          <w:rFonts w:ascii="Times New Roman" w:hAnsi="Times New Roman" w:cs="Times New Roman"/>
        </w:rPr>
      </w:pPr>
      <w:r w:rsidRPr="0061488A">
        <w:rPr>
          <w:rFonts w:ascii="Times New Roman" w:hAnsi="Times New Roman" w:cs="Times New Roman"/>
        </w:rPr>
        <w:t>International</w:t>
      </w:r>
      <w:r w:rsidR="002B5486" w:rsidRPr="0061488A">
        <w:rPr>
          <w:rFonts w:ascii="Times New Roman" w:hAnsi="Times New Roman" w:cs="Times New Roman"/>
        </w:rPr>
        <w:t xml:space="preserve">: Governor Climate and Forests Task Force (GCF), Paris Agreement, Rio Branco Declaration, etc. </w:t>
      </w:r>
    </w:p>
    <w:p w14:paraId="7FCECA7D" w14:textId="7F6BC71C" w:rsidR="0038572A" w:rsidRPr="0061488A" w:rsidRDefault="004347D4" w:rsidP="005E7EB8">
      <w:pPr>
        <w:spacing w:after="120"/>
        <w:jc w:val="both"/>
        <w:rPr>
          <w:sz w:val="22"/>
          <w:szCs w:val="22"/>
        </w:rPr>
      </w:pPr>
      <w:r w:rsidRPr="0061488A">
        <w:rPr>
          <w:sz w:val="22"/>
          <w:szCs w:val="22"/>
        </w:rPr>
        <w:t xml:space="preserve">However, </w:t>
      </w:r>
      <w:r w:rsidR="00B26D53" w:rsidRPr="0061488A">
        <w:rPr>
          <w:sz w:val="22"/>
          <w:szCs w:val="22"/>
        </w:rPr>
        <w:t>achieving good p</w:t>
      </w:r>
      <w:r w:rsidR="005E7EB8" w:rsidRPr="0061488A">
        <w:rPr>
          <w:sz w:val="22"/>
          <w:szCs w:val="22"/>
        </w:rPr>
        <w:t>olic</w:t>
      </w:r>
      <w:r w:rsidR="00B26D53" w:rsidRPr="0061488A">
        <w:rPr>
          <w:sz w:val="22"/>
          <w:szCs w:val="22"/>
        </w:rPr>
        <w:t>y</w:t>
      </w:r>
      <w:r w:rsidR="005E7EB8" w:rsidRPr="0061488A">
        <w:rPr>
          <w:sz w:val="22"/>
          <w:szCs w:val="22"/>
        </w:rPr>
        <w:t xml:space="preserve"> framework</w:t>
      </w:r>
      <w:r w:rsidR="00B26D53" w:rsidRPr="0061488A">
        <w:rPr>
          <w:sz w:val="22"/>
          <w:szCs w:val="22"/>
        </w:rPr>
        <w:t xml:space="preserve"> and enforcement is still challenging due to</w:t>
      </w:r>
      <w:r w:rsidR="005E7EB8" w:rsidRPr="0061488A">
        <w:rPr>
          <w:sz w:val="22"/>
          <w:szCs w:val="22"/>
        </w:rPr>
        <w:t xml:space="preserve"> a) </w:t>
      </w:r>
      <w:r w:rsidR="001001DE" w:rsidRPr="0061488A">
        <w:rPr>
          <w:sz w:val="22"/>
          <w:szCs w:val="22"/>
        </w:rPr>
        <w:t xml:space="preserve">risk and vulnerability due to a </w:t>
      </w:r>
      <w:r w:rsidR="005E7EB8" w:rsidRPr="0061488A">
        <w:rPr>
          <w:sz w:val="22"/>
          <w:szCs w:val="22"/>
        </w:rPr>
        <w:t>change</w:t>
      </w:r>
      <w:r w:rsidR="001001DE" w:rsidRPr="0061488A">
        <w:rPr>
          <w:sz w:val="22"/>
          <w:szCs w:val="22"/>
        </w:rPr>
        <w:t xml:space="preserve"> in leadership of government</w:t>
      </w:r>
      <w:r w:rsidR="005E7EB8" w:rsidRPr="0061488A">
        <w:rPr>
          <w:sz w:val="22"/>
          <w:szCs w:val="22"/>
        </w:rPr>
        <w:t xml:space="preserve">, b) inconsistency and </w:t>
      </w:r>
      <w:r w:rsidR="001001DE" w:rsidRPr="0061488A">
        <w:rPr>
          <w:sz w:val="22"/>
          <w:szCs w:val="22"/>
        </w:rPr>
        <w:t>lack of alignment</w:t>
      </w:r>
      <w:r w:rsidR="005E7EB8" w:rsidRPr="0061488A">
        <w:rPr>
          <w:sz w:val="22"/>
          <w:szCs w:val="22"/>
        </w:rPr>
        <w:t xml:space="preserve"> among policies </w:t>
      </w:r>
      <w:r w:rsidR="00524314" w:rsidRPr="0061488A">
        <w:rPr>
          <w:sz w:val="22"/>
          <w:szCs w:val="22"/>
        </w:rPr>
        <w:t xml:space="preserve">from different </w:t>
      </w:r>
      <w:r w:rsidR="001001DE" w:rsidRPr="0061488A">
        <w:rPr>
          <w:sz w:val="22"/>
          <w:szCs w:val="22"/>
        </w:rPr>
        <w:t>ministries</w:t>
      </w:r>
      <w:r w:rsidR="00524314" w:rsidRPr="0061488A">
        <w:rPr>
          <w:sz w:val="22"/>
          <w:szCs w:val="22"/>
        </w:rPr>
        <w:t xml:space="preserve">/ </w:t>
      </w:r>
      <w:r w:rsidR="00524314" w:rsidRPr="0061488A">
        <w:rPr>
          <w:sz w:val="22"/>
          <w:szCs w:val="22"/>
        </w:rPr>
        <w:lastRenderedPageBreak/>
        <w:t xml:space="preserve">sectors </w:t>
      </w:r>
      <w:r w:rsidR="005E7EB8" w:rsidRPr="0061488A">
        <w:rPr>
          <w:sz w:val="22"/>
          <w:szCs w:val="22"/>
        </w:rPr>
        <w:t xml:space="preserve">and c) insufficient </w:t>
      </w:r>
      <w:r w:rsidR="00B26D53" w:rsidRPr="0061488A">
        <w:rPr>
          <w:sz w:val="22"/>
          <w:szCs w:val="22"/>
        </w:rPr>
        <w:t xml:space="preserve">concrete </w:t>
      </w:r>
      <w:r w:rsidR="005E7EB8" w:rsidRPr="0061488A">
        <w:rPr>
          <w:sz w:val="22"/>
          <w:szCs w:val="22"/>
        </w:rPr>
        <w:t>implementation on the ground</w:t>
      </w:r>
      <w:r w:rsidR="00B26D53" w:rsidRPr="0061488A">
        <w:rPr>
          <w:sz w:val="22"/>
          <w:szCs w:val="22"/>
        </w:rPr>
        <w:t xml:space="preserve"> that may lead to good models</w:t>
      </w:r>
      <w:r w:rsidR="005E7EB8" w:rsidRPr="0061488A">
        <w:rPr>
          <w:sz w:val="22"/>
          <w:szCs w:val="22"/>
        </w:rPr>
        <w:t xml:space="preserve">. This project will contribute to improve and strengthen </w:t>
      </w:r>
      <w:r w:rsidR="00B26D53" w:rsidRPr="0061488A">
        <w:rPr>
          <w:sz w:val="22"/>
          <w:szCs w:val="22"/>
        </w:rPr>
        <w:t xml:space="preserve">broader </w:t>
      </w:r>
      <w:r w:rsidR="005E7EB8" w:rsidRPr="0061488A">
        <w:rPr>
          <w:sz w:val="22"/>
          <w:szCs w:val="22"/>
        </w:rPr>
        <w:t xml:space="preserve">policy framework </w:t>
      </w:r>
      <w:r w:rsidR="00B26D53" w:rsidRPr="0061488A">
        <w:rPr>
          <w:sz w:val="22"/>
          <w:szCs w:val="22"/>
        </w:rPr>
        <w:t xml:space="preserve">since the project can cover </w:t>
      </w:r>
      <w:r w:rsidR="005E7EB8" w:rsidRPr="0061488A">
        <w:rPr>
          <w:sz w:val="22"/>
          <w:szCs w:val="22"/>
        </w:rPr>
        <w:t xml:space="preserve">a robust policy implementation on the ground, such as using Ecosystem Essential Area (EEA) and PERDA on Sustainable Land Based Investment regulatory framework. </w:t>
      </w:r>
    </w:p>
    <w:p w14:paraId="3B3B1F1D" w14:textId="5E9CEBBF" w:rsidR="0038572A" w:rsidRPr="0061488A" w:rsidRDefault="00774634" w:rsidP="0061488A">
      <w:pPr>
        <w:spacing w:line="276" w:lineRule="auto"/>
        <w:jc w:val="both"/>
        <w:rPr>
          <w:sz w:val="22"/>
          <w:szCs w:val="22"/>
        </w:rPr>
      </w:pPr>
      <w:r w:rsidRPr="0061488A">
        <w:rPr>
          <w:b/>
          <w:i/>
          <w:sz w:val="22"/>
          <w:szCs w:val="22"/>
          <w:u w:val="single"/>
        </w:rPr>
        <w:t>Partnership</w:t>
      </w:r>
    </w:p>
    <w:p w14:paraId="66255F32" w14:textId="75EA5AD4" w:rsidR="000705B8" w:rsidRPr="0061488A" w:rsidRDefault="0038572A" w:rsidP="00F845F3">
      <w:pPr>
        <w:jc w:val="both"/>
        <w:rPr>
          <w:sz w:val="22"/>
          <w:szCs w:val="22"/>
        </w:rPr>
      </w:pPr>
      <w:r w:rsidRPr="0061488A">
        <w:rPr>
          <w:sz w:val="22"/>
          <w:szCs w:val="22"/>
        </w:rPr>
        <w:t>One of a driven success factor in</w:t>
      </w:r>
      <w:r w:rsidR="00511A46" w:rsidRPr="0061488A">
        <w:rPr>
          <w:sz w:val="22"/>
          <w:szCs w:val="22"/>
        </w:rPr>
        <w:t xml:space="preserve"> the project </w:t>
      </w:r>
      <w:r w:rsidRPr="0061488A">
        <w:rPr>
          <w:sz w:val="22"/>
          <w:szCs w:val="22"/>
        </w:rPr>
        <w:t xml:space="preserve">is partnership. </w:t>
      </w:r>
      <w:r w:rsidR="00B26D53" w:rsidRPr="0061488A">
        <w:rPr>
          <w:sz w:val="22"/>
          <w:szCs w:val="22"/>
        </w:rPr>
        <w:t xml:space="preserve">Stronger </w:t>
      </w:r>
      <w:r w:rsidRPr="0061488A">
        <w:rPr>
          <w:sz w:val="22"/>
          <w:szCs w:val="22"/>
        </w:rPr>
        <w:t>public-private</w:t>
      </w:r>
      <w:r w:rsidR="00511A46" w:rsidRPr="0061488A">
        <w:rPr>
          <w:sz w:val="22"/>
          <w:szCs w:val="22"/>
        </w:rPr>
        <w:t xml:space="preserve"> </w:t>
      </w:r>
      <w:r w:rsidRPr="0061488A">
        <w:rPr>
          <w:sz w:val="22"/>
          <w:szCs w:val="22"/>
        </w:rPr>
        <w:t>partnership</w:t>
      </w:r>
      <w:r w:rsidR="00B26D53" w:rsidRPr="0061488A">
        <w:rPr>
          <w:sz w:val="22"/>
          <w:szCs w:val="22"/>
        </w:rPr>
        <w:t xml:space="preserve"> needs to be developed</w:t>
      </w:r>
      <w:r w:rsidRPr="0061488A">
        <w:rPr>
          <w:sz w:val="22"/>
          <w:szCs w:val="22"/>
        </w:rPr>
        <w:t xml:space="preserve">. </w:t>
      </w:r>
      <w:r w:rsidR="00E35633" w:rsidRPr="0061488A">
        <w:rPr>
          <w:sz w:val="22"/>
          <w:szCs w:val="22"/>
        </w:rPr>
        <w:t>Several p</w:t>
      </w:r>
      <w:r w:rsidRPr="0061488A">
        <w:rPr>
          <w:sz w:val="22"/>
          <w:szCs w:val="22"/>
        </w:rPr>
        <w:t>ilot project</w:t>
      </w:r>
      <w:r w:rsidR="00E35633" w:rsidRPr="0061488A">
        <w:rPr>
          <w:sz w:val="22"/>
          <w:szCs w:val="22"/>
        </w:rPr>
        <w:t>s</w:t>
      </w:r>
      <w:r w:rsidRPr="0061488A">
        <w:rPr>
          <w:sz w:val="22"/>
          <w:szCs w:val="22"/>
        </w:rPr>
        <w:t xml:space="preserve"> have been </w:t>
      </w:r>
      <w:r w:rsidR="006E187C" w:rsidRPr="0061488A">
        <w:rPr>
          <w:sz w:val="22"/>
          <w:szCs w:val="22"/>
        </w:rPr>
        <w:t>trialed</w:t>
      </w:r>
      <w:r w:rsidR="00056521" w:rsidRPr="0061488A">
        <w:rPr>
          <w:sz w:val="22"/>
          <w:szCs w:val="22"/>
        </w:rPr>
        <w:t xml:space="preserve"> by </w:t>
      </w:r>
      <w:r w:rsidR="00B26D53" w:rsidRPr="0061488A">
        <w:rPr>
          <w:sz w:val="22"/>
          <w:szCs w:val="22"/>
        </w:rPr>
        <w:t xml:space="preserve">the </w:t>
      </w:r>
      <w:r w:rsidR="00056521" w:rsidRPr="0061488A">
        <w:rPr>
          <w:sz w:val="22"/>
          <w:szCs w:val="22"/>
        </w:rPr>
        <w:t xml:space="preserve">private sector, community </w:t>
      </w:r>
      <w:r w:rsidR="0097185C" w:rsidRPr="0061488A">
        <w:rPr>
          <w:sz w:val="22"/>
          <w:szCs w:val="22"/>
        </w:rPr>
        <w:t xml:space="preserve">and donor, </w:t>
      </w:r>
      <w:r w:rsidRPr="0061488A">
        <w:rPr>
          <w:sz w:val="22"/>
          <w:szCs w:val="22"/>
        </w:rPr>
        <w:t xml:space="preserve">but </w:t>
      </w:r>
      <w:r w:rsidR="00B26D53" w:rsidRPr="0061488A">
        <w:rPr>
          <w:sz w:val="22"/>
          <w:szCs w:val="22"/>
        </w:rPr>
        <w:t xml:space="preserve">these </w:t>
      </w:r>
      <w:r w:rsidR="00D530C7" w:rsidRPr="0061488A">
        <w:rPr>
          <w:sz w:val="22"/>
          <w:szCs w:val="22"/>
        </w:rPr>
        <w:t xml:space="preserve">still </w:t>
      </w:r>
      <w:r w:rsidRPr="0061488A">
        <w:rPr>
          <w:sz w:val="22"/>
          <w:szCs w:val="22"/>
        </w:rPr>
        <w:t xml:space="preserve">need to </w:t>
      </w:r>
      <w:r w:rsidR="00B26D53" w:rsidRPr="0061488A">
        <w:rPr>
          <w:sz w:val="22"/>
          <w:szCs w:val="22"/>
        </w:rPr>
        <w:t>be strengthened to become a good proven model</w:t>
      </w:r>
      <w:r w:rsidR="0097185C" w:rsidRPr="0061488A">
        <w:rPr>
          <w:sz w:val="22"/>
          <w:szCs w:val="22"/>
        </w:rPr>
        <w:t>.</w:t>
      </w:r>
      <w:r w:rsidR="00DF3558" w:rsidRPr="0061488A">
        <w:rPr>
          <w:sz w:val="22"/>
          <w:szCs w:val="22"/>
        </w:rPr>
        <w:t xml:space="preserve"> </w:t>
      </w:r>
      <w:r w:rsidR="008B39A2" w:rsidRPr="0061488A">
        <w:rPr>
          <w:sz w:val="22"/>
          <w:szCs w:val="22"/>
        </w:rPr>
        <w:t xml:space="preserve">A proven business model </w:t>
      </w:r>
      <w:r w:rsidR="00F845F3" w:rsidRPr="0061488A">
        <w:rPr>
          <w:sz w:val="22"/>
          <w:szCs w:val="22"/>
        </w:rPr>
        <w:t xml:space="preserve">from public-private partnership </w:t>
      </w:r>
      <w:r w:rsidR="008B39A2" w:rsidRPr="0061488A">
        <w:rPr>
          <w:sz w:val="22"/>
          <w:szCs w:val="22"/>
        </w:rPr>
        <w:t xml:space="preserve">is a </w:t>
      </w:r>
      <w:r w:rsidR="00993A56" w:rsidRPr="0061488A">
        <w:rPr>
          <w:sz w:val="22"/>
          <w:szCs w:val="22"/>
        </w:rPr>
        <w:t xml:space="preserve">crucial key </w:t>
      </w:r>
      <w:r w:rsidR="008B39A2" w:rsidRPr="0061488A">
        <w:rPr>
          <w:sz w:val="22"/>
          <w:szCs w:val="22"/>
        </w:rPr>
        <w:t>to</w:t>
      </w:r>
      <w:r w:rsidR="00993A56" w:rsidRPr="0061488A">
        <w:rPr>
          <w:sz w:val="22"/>
          <w:szCs w:val="22"/>
        </w:rPr>
        <w:t xml:space="preserve"> convince </w:t>
      </w:r>
      <w:r w:rsidR="00B26D53" w:rsidRPr="0061488A">
        <w:rPr>
          <w:sz w:val="22"/>
          <w:szCs w:val="22"/>
        </w:rPr>
        <w:t xml:space="preserve">relevant </w:t>
      </w:r>
      <w:r w:rsidR="00993A56" w:rsidRPr="0061488A">
        <w:rPr>
          <w:sz w:val="22"/>
          <w:szCs w:val="22"/>
        </w:rPr>
        <w:t xml:space="preserve">stakeholders. </w:t>
      </w:r>
      <w:r w:rsidR="00511A46" w:rsidRPr="0061488A">
        <w:rPr>
          <w:sz w:val="22"/>
          <w:szCs w:val="22"/>
        </w:rPr>
        <w:t xml:space="preserve">The model will increase </w:t>
      </w:r>
      <w:r w:rsidR="00993A56" w:rsidRPr="0061488A">
        <w:rPr>
          <w:sz w:val="22"/>
          <w:szCs w:val="22"/>
        </w:rPr>
        <w:t xml:space="preserve">wider involvement </w:t>
      </w:r>
      <w:r w:rsidR="00B26D53" w:rsidRPr="0061488A">
        <w:rPr>
          <w:sz w:val="22"/>
          <w:szCs w:val="22"/>
        </w:rPr>
        <w:t xml:space="preserve">and support </w:t>
      </w:r>
      <w:r w:rsidR="00993A56" w:rsidRPr="0061488A">
        <w:rPr>
          <w:sz w:val="22"/>
          <w:szCs w:val="22"/>
        </w:rPr>
        <w:t>especially from the private sector.</w:t>
      </w:r>
      <w:r w:rsidR="00237626" w:rsidRPr="0061488A">
        <w:rPr>
          <w:sz w:val="22"/>
          <w:szCs w:val="22"/>
        </w:rPr>
        <w:t xml:space="preserve"> </w:t>
      </w:r>
      <w:r w:rsidR="008773F7" w:rsidRPr="0061488A">
        <w:rPr>
          <w:sz w:val="22"/>
          <w:szCs w:val="22"/>
        </w:rPr>
        <w:t xml:space="preserve">Opportunities for public-private partnership is </w:t>
      </w:r>
      <w:r w:rsidR="00B26D53" w:rsidRPr="0061488A">
        <w:rPr>
          <w:sz w:val="22"/>
          <w:szCs w:val="22"/>
        </w:rPr>
        <w:t>greater</w:t>
      </w:r>
      <w:r w:rsidR="008773F7" w:rsidRPr="0061488A">
        <w:rPr>
          <w:sz w:val="22"/>
          <w:szCs w:val="22"/>
        </w:rPr>
        <w:t xml:space="preserve"> once SRAP REDD+ </w:t>
      </w:r>
      <w:r w:rsidR="00B26D53" w:rsidRPr="0061488A">
        <w:rPr>
          <w:sz w:val="22"/>
          <w:szCs w:val="22"/>
        </w:rPr>
        <w:t xml:space="preserve">is </w:t>
      </w:r>
      <w:r w:rsidR="008773F7" w:rsidRPr="0061488A">
        <w:rPr>
          <w:sz w:val="22"/>
          <w:szCs w:val="22"/>
        </w:rPr>
        <w:t xml:space="preserve">strengthened by </w:t>
      </w:r>
      <w:r w:rsidR="00B26D53" w:rsidRPr="0061488A">
        <w:rPr>
          <w:sz w:val="22"/>
          <w:szCs w:val="22"/>
        </w:rPr>
        <w:t>GGP</w:t>
      </w:r>
      <w:r w:rsidR="008773F7" w:rsidRPr="0061488A">
        <w:rPr>
          <w:sz w:val="22"/>
          <w:szCs w:val="22"/>
        </w:rPr>
        <w:t xml:space="preserve">. There </w:t>
      </w:r>
      <w:r w:rsidR="00B26D53" w:rsidRPr="0061488A">
        <w:rPr>
          <w:sz w:val="22"/>
          <w:szCs w:val="22"/>
        </w:rPr>
        <w:t xml:space="preserve">are also </w:t>
      </w:r>
      <w:r w:rsidR="00A27C78" w:rsidRPr="0061488A">
        <w:rPr>
          <w:sz w:val="22"/>
          <w:szCs w:val="22"/>
        </w:rPr>
        <w:t xml:space="preserve">a </w:t>
      </w:r>
      <w:r w:rsidR="008773F7" w:rsidRPr="0061488A">
        <w:rPr>
          <w:sz w:val="22"/>
          <w:szCs w:val="22"/>
        </w:rPr>
        <w:t>growing</w:t>
      </w:r>
      <w:r w:rsidR="00A27C78" w:rsidRPr="0061488A">
        <w:rPr>
          <w:sz w:val="22"/>
          <w:szCs w:val="22"/>
        </w:rPr>
        <w:t xml:space="preserve"> number of </w:t>
      </w:r>
      <w:r w:rsidR="00D530C7" w:rsidRPr="0061488A">
        <w:rPr>
          <w:sz w:val="22"/>
          <w:szCs w:val="22"/>
        </w:rPr>
        <w:t xml:space="preserve">commitments and initiatives from </w:t>
      </w:r>
      <w:r w:rsidR="00B26D53" w:rsidRPr="0061488A">
        <w:rPr>
          <w:sz w:val="22"/>
          <w:szCs w:val="22"/>
        </w:rPr>
        <w:t xml:space="preserve">the </w:t>
      </w:r>
      <w:r w:rsidR="00D530C7" w:rsidRPr="0061488A">
        <w:rPr>
          <w:sz w:val="22"/>
          <w:szCs w:val="22"/>
        </w:rPr>
        <w:t xml:space="preserve">private sector to support </w:t>
      </w:r>
      <w:r w:rsidR="00A27C78" w:rsidRPr="0061488A">
        <w:rPr>
          <w:sz w:val="22"/>
          <w:szCs w:val="22"/>
        </w:rPr>
        <w:t>green business development</w:t>
      </w:r>
      <w:r w:rsidR="000705B8" w:rsidRPr="0061488A">
        <w:rPr>
          <w:sz w:val="22"/>
          <w:szCs w:val="22"/>
        </w:rPr>
        <w:t xml:space="preserve">. To support that, there are </w:t>
      </w:r>
      <w:r w:rsidR="00B26D53" w:rsidRPr="0061488A">
        <w:rPr>
          <w:sz w:val="22"/>
          <w:szCs w:val="22"/>
        </w:rPr>
        <w:t xml:space="preserve">a number </w:t>
      </w:r>
      <w:r w:rsidR="000705B8" w:rsidRPr="0061488A">
        <w:rPr>
          <w:sz w:val="22"/>
          <w:szCs w:val="22"/>
        </w:rPr>
        <w:t>of working group</w:t>
      </w:r>
      <w:r w:rsidR="00B26D53" w:rsidRPr="0061488A">
        <w:rPr>
          <w:sz w:val="22"/>
          <w:szCs w:val="22"/>
        </w:rPr>
        <w:t>s or platforms that</w:t>
      </w:r>
      <w:r w:rsidR="000705B8" w:rsidRPr="0061488A">
        <w:rPr>
          <w:sz w:val="22"/>
          <w:szCs w:val="22"/>
        </w:rPr>
        <w:t xml:space="preserve"> </w:t>
      </w:r>
      <w:r w:rsidR="00B26D53" w:rsidRPr="0061488A">
        <w:rPr>
          <w:sz w:val="22"/>
          <w:szCs w:val="22"/>
        </w:rPr>
        <w:t xml:space="preserve">have been </w:t>
      </w:r>
      <w:r w:rsidR="000705B8" w:rsidRPr="0061488A">
        <w:rPr>
          <w:sz w:val="22"/>
          <w:szCs w:val="22"/>
        </w:rPr>
        <w:t>initiated where stakeholder</w:t>
      </w:r>
      <w:r w:rsidR="00B26D53" w:rsidRPr="0061488A">
        <w:rPr>
          <w:sz w:val="22"/>
          <w:szCs w:val="22"/>
        </w:rPr>
        <w:t>s</w:t>
      </w:r>
      <w:r w:rsidR="000705B8" w:rsidRPr="0061488A">
        <w:rPr>
          <w:sz w:val="22"/>
          <w:szCs w:val="22"/>
        </w:rPr>
        <w:t xml:space="preserve"> can </w:t>
      </w:r>
      <w:r w:rsidR="00B26D53" w:rsidRPr="0061488A">
        <w:rPr>
          <w:sz w:val="22"/>
          <w:szCs w:val="22"/>
        </w:rPr>
        <w:t>exchange and discuss</w:t>
      </w:r>
      <w:r w:rsidR="000705B8" w:rsidRPr="0061488A">
        <w:rPr>
          <w:sz w:val="22"/>
          <w:szCs w:val="22"/>
        </w:rPr>
        <w:t xml:space="preserve"> their concern</w:t>
      </w:r>
      <w:r w:rsidR="00B26D53" w:rsidRPr="0061488A">
        <w:rPr>
          <w:sz w:val="22"/>
          <w:szCs w:val="22"/>
        </w:rPr>
        <w:t>s and find possible solutions</w:t>
      </w:r>
      <w:r w:rsidR="00955D98" w:rsidRPr="0061488A">
        <w:rPr>
          <w:sz w:val="22"/>
          <w:szCs w:val="22"/>
        </w:rPr>
        <w:t xml:space="preserve">. </w:t>
      </w:r>
      <w:r w:rsidR="00B26D53" w:rsidRPr="0061488A">
        <w:rPr>
          <w:sz w:val="22"/>
          <w:szCs w:val="22"/>
        </w:rPr>
        <w:t xml:space="preserve">Pre-competitive agenda is not an easy subject to discuss among </w:t>
      </w:r>
      <w:r w:rsidR="00955D98" w:rsidRPr="0061488A">
        <w:rPr>
          <w:sz w:val="22"/>
          <w:szCs w:val="22"/>
        </w:rPr>
        <w:t xml:space="preserve">entities </w:t>
      </w:r>
      <w:r w:rsidR="00B26D53" w:rsidRPr="0061488A">
        <w:rPr>
          <w:sz w:val="22"/>
          <w:szCs w:val="22"/>
        </w:rPr>
        <w:t xml:space="preserve">or parties but </w:t>
      </w:r>
      <w:r w:rsidR="00955D98" w:rsidRPr="0061488A">
        <w:rPr>
          <w:sz w:val="22"/>
          <w:szCs w:val="22"/>
        </w:rPr>
        <w:t>their commitment</w:t>
      </w:r>
      <w:r w:rsidR="00B26D53" w:rsidRPr="0061488A">
        <w:rPr>
          <w:sz w:val="22"/>
          <w:szCs w:val="22"/>
        </w:rPr>
        <w:t>s</w:t>
      </w:r>
      <w:r w:rsidR="00955D98" w:rsidRPr="0061488A">
        <w:rPr>
          <w:sz w:val="22"/>
          <w:szCs w:val="22"/>
        </w:rPr>
        <w:t xml:space="preserve"> on REDD+ and G</w:t>
      </w:r>
      <w:r w:rsidR="00B26D53" w:rsidRPr="0061488A">
        <w:rPr>
          <w:sz w:val="22"/>
          <w:szCs w:val="22"/>
        </w:rPr>
        <w:t>GP may help drive the process in a relatively smoother way.</w:t>
      </w:r>
      <w:r w:rsidR="00955D98" w:rsidRPr="0061488A">
        <w:rPr>
          <w:sz w:val="22"/>
          <w:szCs w:val="22"/>
        </w:rPr>
        <w:t xml:space="preserve"> This project will strengthen </w:t>
      </w:r>
      <w:r w:rsidR="00B26D53" w:rsidRPr="0061488A">
        <w:rPr>
          <w:sz w:val="22"/>
          <w:szCs w:val="22"/>
        </w:rPr>
        <w:t xml:space="preserve">current </w:t>
      </w:r>
      <w:r w:rsidR="00955D98" w:rsidRPr="0061488A">
        <w:rPr>
          <w:sz w:val="22"/>
          <w:szCs w:val="22"/>
        </w:rPr>
        <w:t>multi-stakeholder forum</w:t>
      </w:r>
      <w:r w:rsidR="00B26D53" w:rsidRPr="0061488A">
        <w:rPr>
          <w:sz w:val="22"/>
          <w:szCs w:val="22"/>
        </w:rPr>
        <w:t>s or</w:t>
      </w:r>
      <w:r w:rsidR="00955D98" w:rsidRPr="0061488A">
        <w:rPr>
          <w:sz w:val="22"/>
          <w:szCs w:val="22"/>
        </w:rPr>
        <w:t xml:space="preserve"> platform</w:t>
      </w:r>
      <w:r w:rsidR="00B26D53" w:rsidRPr="0061488A">
        <w:rPr>
          <w:sz w:val="22"/>
          <w:szCs w:val="22"/>
        </w:rPr>
        <w:t>s</w:t>
      </w:r>
      <w:r w:rsidR="00955D98" w:rsidRPr="0061488A">
        <w:rPr>
          <w:sz w:val="22"/>
          <w:szCs w:val="22"/>
        </w:rPr>
        <w:t xml:space="preserve"> to </w:t>
      </w:r>
      <w:r w:rsidR="00B26D53" w:rsidRPr="0061488A">
        <w:rPr>
          <w:sz w:val="22"/>
          <w:szCs w:val="22"/>
        </w:rPr>
        <w:t xml:space="preserve">address such </w:t>
      </w:r>
      <w:r w:rsidR="00955D98" w:rsidRPr="0061488A">
        <w:rPr>
          <w:sz w:val="22"/>
          <w:szCs w:val="22"/>
        </w:rPr>
        <w:t>challenge</w:t>
      </w:r>
      <w:r w:rsidR="00B26D53" w:rsidRPr="0061488A">
        <w:rPr>
          <w:sz w:val="22"/>
          <w:szCs w:val="22"/>
        </w:rPr>
        <w:t>s. These include</w:t>
      </w:r>
      <w:r w:rsidR="00955D98" w:rsidRPr="0061488A">
        <w:rPr>
          <w:sz w:val="22"/>
          <w:szCs w:val="22"/>
        </w:rPr>
        <w:t xml:space="preserve"> Joint Secretariat, Ecosystem Essential Area (EAA) forum, Peat Restoration Forum and Working Group on Social Forestry. These </w:t>
      </w:r>
      <w:r w:rsidR="00B26D53" w:rsidRPr="0061488A">
        <w:rPr>
          <w:sz w:val="22"/>
          <w:szCs w:val="22"/>
        </w:rPr>
        <w:t>forums consist of</w:t>
      </w:r>
      <w:r w:rsidR="00955D98" w:rsidRPr="0061488A">
        <w:rPr>
          <w:sz w:val="22"/>
          <w:szCs w:val="22"/>
        </w:rPr>
        <w:t xml:space="preserve"> NGO</w:t>
      </w:r>
      <w:r w:rsidR="00B26D53" w:rsidRPr="0061488A">
        <w:rPr>
          <w:sz w:val="22"/>
          <w:szCs w:val="22"/>
        </w:rPr>
        <w:t>s</w:t>
      </w:r>
      <w:r w:rsidR="00955D98" w:rsidRPr="0061488A">
        <w:rPr>
          <w:sz w:val="22"/>
          <w:szCs w:val="22"/>
        </w:rPr>
        <w:t xml:space="preserve">, </w:t>
      </w:r>
      <w:r w:rsidR="00B26D53" w:rsidRPr="0061488A">
        <w:rPr>
          <w:sz w:val="22"/>
          <w:szCs w:val="22"/>
        </w:rPr>
        <w:t xml:space="preserve">the </w:t>
      </w:r>
      <w:r w:rsidR="00955D98" w:rsidRPr="0061488A">
        <w:rPr>
          <w:sz w:val="22"/>
          <w:szCs w:val="22"/>
        </w:rPr>
        <w:t xml:space="preserve">private sector, and government </w:t>
      </w:r>
      <w:r w:rsidR="00B26D53" w:rsidRPr="0061488A">
        <w:rPr>
          <w:sz w:val="22"/>
          <w:szCs w:val="22"/>
        </w:rPr>
        <w:t>agencies</w:t>
      </w:r>
      <w:r w:rsidR="00955D98" w:rsidRPr="0061488A">
        <w:rPr>
          <w:sz w:val="22"/>
          <w:szCs w:val="22"/>
        </w:rPr>
        <w:t xml:space="preserve">. </w:t>
      </w:r>
    </w:p>
    <w:p w14:paraId="42C1DBD4" w14:textId="77777777" w:rsidR="000705B8" w:rsidRPr="0061488A" w:rsidRDefault="000705B8" w:rsidP="00237626">
      <w:pPr>
        <w:rPr>
          <w:sz w:val="22"/>
          <w:szCs w:val="22"/>
        </w:rPr>
      </w:pPr>
    </w:p>
    <w:p w14:paraId="221B259D" w14:textId="1AD28398" w:rsidR="000263CA" w:rsidRPr="0061488A" w:rsidRDefault="00774634" w:rsidP="0061488A">
      <w:pPr>
        <w:spacing w:line="276" w:lineRule="auto"/>
        <w:jc w:val="both"/>
        <w:rPr>
          <w:sz w:val="22"/>
          <w:szCs w:val="22"/>
        </w:rPr>
      </w:pPr>
      <w:r w:rsidRPr="0061488A">
        <w:rPr>
          <w:b/>
          <w:i/>
          <w:sz w:val="22"/>
          <w:szCs w:val="22"/>
          <w:u w:val="single"/>
        </w:rPr>
        <w:t>Multi-stakeholder participation</w:t>
      </w:r>
    </w:p>
    <w:p w14:paraId="067ECA76" w14:textId="5634A7F3" w:rsidR="006F38DC" w:rsidRPr="0061488A" w:rsidRDefault="000B6561" w:rsidP="009A2FCF">
      <w:pPr>
        <w:jc w:val="both"/>
        <w:rPr>
          <w:sz w:val="22"/>
          <w:szCs w:val="22"/>
        </w:rPr>
      </w:pPr>
      <w:r w:rsidRPr="0061488A">
        <w:rPr>
          <w:sz w:val="22"/>
          <w:szCs w:val="22"/>
        </w:rPr>
        <w:t>T</w:t>
      </w:r>
      <w:r w:rsidR="00761745" w:rsidRPr="0061488A">
        <w:rPr>
          <w:sz w:val="22"/>
          <w:szCs w:val="22"/>
        </w:rPr>
        <w:t xml:space="preserve">his proposal </w:t>
      </w:r>
      <w:r w:rsidR="00B26D53" w:rsidRPr="0061488A">
        <w:rPr>
          <w:sz w:val="22"/>
          <w:szCs w:val="22"/>
        </w:rPr>
        <w:t xml:space="preserve">has been </w:t>
      </w:r>
      <w:r w:rsidR="00761745" w:rsidRPr="0061488A">
        <w:rPr>
          <w:sz w:val="22"/>
          <w:szCs w:val="22"/>
        </w:rPr>
        <w:t xml:space="preserve">prepared </w:t>
      </w:r>
      <w:r w:rsidR="001B5F68" w:rsidRPr="0061488A">
        <w:rPr>
          <w:sz w:val="22"/>
          <w:szCs w:val="22"/>
        </w:rPr>
        <w:t xml:space="preserve">through </w:t>
      </w:r>
      <w:r w:rsidR="00753F1F" w:rsidRPr="0061488A">
        <w:rPr>
          <w:sz w:val="22"/>
          <w:szCs w:val="22"/>
        </w:rPr>
        <w:t>several</w:t>
      </w:r>
      <w:r w:rsidR="000F0E93" w:rsidRPr="0061488A">
        <w:rPr>
          <w:sz w:val="22"/>
          <w:szCs w:val="22"/>
        </w:rPr>
        <w:t xml:space="preserve"> </w:t>
      </w:r>
      <w:r w:rsidR="001B5F68" w:rsidRPr="0061488A">
        <w:rPr>
          <w:sz w:val="22"/>
          <w:szCs w:val="22"/>
        </w:rPr>
        <w:t xml:space="preserve">participatory </w:t>
      </w:r>
      <w:r w:rsidR="005D4148" w:rsidRPr="0061488A">
        <w:rPr>
          <w:sz w:val="22"/>
          <w:szCs w:val="22"/>
        </w:rPr>
        <w:t xml:space="preserve">processes. </w:t>
      </w:r>
      <w:r w:rsidR="00B26D53" w:rsidRPr="0061488A">
        <w:rPr>
          <w:sz w:val="22"/>
          <w:szCs w:val="22"/>
        </w:rPr>
        <w:t xml:space="preserve">These include </w:t>
      </w:r>
      <w:r w:rsidR="00753F1F" w:rsidRPr="0061488A">
        <w:rPr>
          <w:sz w:val="22"/>
          <w:szCs w:val="22"/>
        </w:rPr>
        <w:t xml:space="preserve">a) desk study </w:t>
      </w:r>
      <w:r w:rsidR="00B26D53" w:rsidRPr="0061488A">
        <w:rPr>
          <w:sz w:val="22"/>
          <w:szCs w:val="22"/>
        </w:rPr>
        <w:t xml:space="preserve">focusing on </w:t>
      </w:r>
      <w:r w:rsidR="00753F1F" w:rsidRPr="0061488A">
        <w:rPr>
          <w:sz w:val="22"/>
          <w:szCs w:val="22"/>
        </w:rPr>
        <w:t xml:space="preserve">documents, regulations and policies that related to </w:t>
      </w:r>
      <w:r w:rsidR="005D4148" w:rsidRPr="0061488A">
        <w:rPr>
          <w:sz w:val="22"/>
          <w:szCs w:val="22"/>
        </w:rPr>
        <w:t xml:space="preserve">SRAP </w:t>
      </w:r>
      <w:r w:rsidR="00753F1F" w:rsidRPr="0061488A">
        <w:rPr>
          <w:sz w:val="22"/>
          <w:szCs w:val="22"/>
        </w:rPr>
        <w:t xml:space="preserve">REDD+ and </w:t>
      </w:r>
      <w:r w:rsidR="00B26D53" w:rsidRPr="0061488A">
        <w:rPr>
          <w:sz w:val="22"/>
          <w:szCs w:val="22"/>
        </w:rPr>
        <w:t>GGP</w:t>
      </w:r>
      <w:r w:rsidR="00753F1F" w:rsidRPr="0061488A">
        <w:rPr>
          <w:sz w:val="22"/>
          <w:szCs w:val="22"/>
        </w:rPr>
        <w:t>, b) GIS</w:t>
      </w:r>
      <w:r w:rsidR="00761745" w:rsidRPr="0061488A">
        <w:rPr>
          <w:sz w:val="22"/>
          <w:szCs w:val="22"/>
        </w:rPr>
        <w:t xml:space="preserve"> (geographic information system) analysis</w:t>
      </w:r>
      <w:r w:rsidR="00753F1F" w:rsidRPr="0061488A">
        <w:rPr>
          <w:sz w:val="22"/>
          <w:szCs w:val="22"/>
        </w:rPr>
        <w:t xml:space="preserve">, c) stakeholder meetings. </w:t>
      </w:r>
      <w:r w:rsidR="00D80B2C" w:rsidRPr="0061488A">
        <w:rPr>
          <w:sz w:val="22"/>
          <w:szCs w:val="22"/>
        </w:rPr>
        <w:t xml:space="preserve">These activities </w:t>
      </w:r>
      <w:r w:rsidR="003E4C8E" w:rsidRPr="0061488A">
        <w:rPr>
          <w:sz w:val="22"/>
          <w:szCs w:val="22"/>
        </w:rPr>
        <w:t xml:space="preserve">were conducted prior </w:t>
      </w:r>
      <w:r w:rsidR="00D80B2C" w:rsidRPr="0061488A">
        <w:rPr>
          <w:sz w:val="22"/>
          <w:szCs w:val="22"/>
        </w:rPr>
        <w:t xml:space="preserve">to </w:t>
      </w:r>
      <w:r w:rsidR="003E4C8E" w:rsidRPr="0061488A">
        <w:rPr>
          <w:sz w:val="22"/>
          <w:szCs w:val="22"/>
        </w:rPr>
        <w:t>proposal develo</w:t>
      </w:r>
      <w:r w:rsidR="00AF5A39" w:rsidRPr="0061488A">
        <w:rPr>
          <w:sz w:val="22"/>
          <w:szCs w:val="22"/>
        </w:rPr>
        <w:t xml:space="preserve">pment. </w:t>
      </w:r>
      <w:r w:rsidRPr="0061488A">
        <w:rPr>
          <w:sz w:val="22"/>
          <w:szCs w:val="22"/>
        </w:rPr>
        <w:t xml:space="preserve">Stakeholder involvement in proposal planning and design is </w:t>
      </w:r>
      <w:r w:rsidR="00D80B2C" w:rsidRPr="0061488A">
        <w:rPr>
          <w:sz w:val="22"/>
          <w:szCs w:val="22"/>
        </w:rPr>
        <w:t xml:space="preserve">priority and part of </w:t>
      </w:r>
      <w:r w:rsidRPr="0061488A">
        <w:rPr>
          <w:sz w:val="22"/>
          <w:szCs w:val="22"/>
        </w:rPr>
        <w:t>sub-national jurisdiction strategy</w:t>
      </w:r>
      <w:r w:rsidR="00D80B2C" w:rsidRPr="0061488A">
        <w:rPr>
          <w:sz w:val="22"/>
          <w:szCs w:val="22"/>
        </w:rPr>
        <w:t>. This is needed</w:t>
      </w:r>
      <w:r w:rsidRPr="0061488A">
        <w:rPr>
          <w:sz w:val="22"/>
          <w:szCs w:val="22"/>
        </w:rPr>
        <w:t xml:space="preserve"> to strengthen</w:t>
      </w:r>
      <w:r w:rsidR="000F0E93" w:rsidRPr="0061488A">
        <w:rPr>
          <w:sz w:val="22"/>
          <w:szCs w:val="22"/>
        </w:rPr>
        <w:t xml:space="preserve"> ongoing</w:t>
      </w:r>
      <w:r w:rsidRPr="0061488A">
        <w:rPr>
          <w:sz w:val="22"/>
          <w:szCs w:val="22"/>
        </w:rPr>
        <w:t xml:space="preserve"> public-private partnership in achieving emission reduction target. </w:t>
      </w:r>
      <w:r w:rsidR="00D80B2C" w:rsidRPr="0061488A">
        <w:rPr>
          <w:sz w:val="22"/>
          <w:szCs w:val="22"/>
        </w:rPr>
        <w:t xml:space="preserve">These stakeholders </w:t>
      </w:r>
      <w:r w:rsidRPr="0061488A">
        <w:rPr>
          <w:sz w:val="22"/>
          <w:szCs w:val="22"/>
        </w:rPr>
        <w:t>were involved to identify critical gaps and issu</w:t>
      </w:r>
      <w:r w:rsidR="00AF5A39" w:rsidRPr="0061488A">
        <w:rPr>
          <w:sz w:val="22"/>
          <w:szCs w:val="22"/>
        </w:rPr>
        <w:t xml:space="preserve">es that </w:t>
      </w:r>
      <w:r w:rsidR="00D80B2C" w:rsidRPr="0061488A">
        <w:rPr>
          <w:sz w:val="22"/>
          <w:szCs w:val="22"/>
        </w:rPr>
        <w:t>still continue</w:t>
      </w:r>
      <w:r w:rsidR="00465B4A" w:rsidRPr="0061488A">
        <w:rPr>
          <w:sz w:val="22"/>
          <w:szCs w:val="22"/>
        </w:rPr>
        <w:t xml:space="preserve"> </w:t>
      </w:r>
      <w:r w:rsidR="00D80B2C" w:rsidRPr="0061488A">
        <w:rPr>
          <w:sz w:val="22"/>
          <w:szCs w:val="22"/>
        </w:rPr>
        <w:t xml:space="preserve">and develop a </w:t>
      </w:r>
      <w:r w:rsidRPr="0061488A">
        <w:rPr>
          <w:sz w:val="22"/>
          <w:szCs w:val="22"/>
        </w:rPr>
        <w:t xml:space="preserve">baseline </w:t>
      </w:r>
      <w:r w:rsidR="00D80B2C" w:rsidRPr="0061488A">
        <w:rPr>
          <w:sz w:val="22"/>
          <w:szCs w:val="22"/>
        </w:rPr>
        <w:t>as the basis for</w:t>
      </w:r>
      <w:r w:rsidRPr="0061488A">
        <w:rPr>
          <w:sz w:val="22"/>
          <w:szCs w:val="22"/>
        </w:rPr>
        <w:t xml:space="preserve"> project </w:t>
      </w:r>
      <w:r w:rsidR="00D80B2C" w:rsidRPr="0061488A">
        <w:rPr>
          <w:sz w:val="22"/>
          <w:szCs w:val="22"/>
        </w:rPr>
        <w:t xml:space="preserve">development </w:t>
      </w:r>
      <w:r w:rsidRPr="0061488A">
        <w:rPr>
          <w:sz w:val="22"/>
          <w:szCs w:val="22"/>
        </w:rPr>
        <w:t xml:space="preserve">framework and its </w:t>
      </w:r>
      <w:r w:rsidR="00D80B2C" w:rsidRPr="0061488A">
        <w:rPr>
          <w:sz w:val="22"/>
          <w:szCs w:val="22"/>
        </w:rPr>
        <w:t xml:space="preserve">associated project </w:t>
      </w:r>
      <w:r w:rsidRPr="0061488A">
        <w:rPr>
          <w:sz w:val="22"/>
          <w:szCs w:val="22"/>
        </w:rPr>
        <w:t>pipeline.</w:t>
      </w:r>
      <w:r w:rsidR="003065E5" w:rsidRPr="0061488A">
        <w:rPr>
          <w:sz w:val="22"/>
          <w:szCs w:val="22"/>
        </w:rPr>
        <w:t xml:space="preserve"> </w:t>
      </w:r>
      <w:r w:rsidR="00753F1F" w:rsidRPr="0061488A">
        <w:rPr>
          <w:sz w:val="22"/>
          <w:szCs w:val="22"/>
        </w:rPr>
        <w:t xml:space="preserve">The 4 objectives in this project </w:t>
      </w:r>
      <w:r w:rsidR="00D80B2C" w:rsidRPr="0061488A">
        <w:rPr>
          <w:sz w:val="22"/>
          <w:szCs w:val="22"/>
        </w:rPr>
        <w:t xml:space="preserve">are </w:t>
      </w:r>
      <w:r w:rsidR="000F0E93" w:rsidRPr="0061488A">
        <w:rPr>
          <w:sz w:val="22"/>
          <w:szCs w:val="22"/>
        </w:rPr>
        <w:t xml:space="preserve">chosen as the </w:t>
      </w:r>
      <w:r w:rsidR="00991484" w:rsidRPr="0061488A">
        <w:rPr>
          <w:sz w:val="22"/>
          <w:szCs w:val="22"/>
        </w:rPr>
        <w:t xml:space="preserve">main </w:t>
      </w:r>
      <w:r w:rsidR="000F0E93" w:rsidRPr="0061488A">
        <w:rPr>
          <w:sz w:val="22"/>
          <w:szCs w:val="22"/>
        </w:rPr>
        <w:t xml:space="preserve">strategic framework in addressing several </w:t>
      </w:r>
      <w:r w:rsidR="00753F1F" w:rsidRPr="0061488A">
        <w:rPr>
          <w:sz w:val="22"/>
          <w:szCs w:val="22"/>
        </w:rPr>
        <w:t xml:space="preserve">critical issues </w:t>
      </w:r>
      <w:r w:rsidR="00D80B2C" w:rsidRPr="0061488A">
        <w:rPr>
          <w:sz w:val="22"/>
          <w:szCs w:val="22"/>
        </w:rPr>
        <w:t xml:space="preserve">related to </w:t>
      </w:r>
      <w:r w:rsidR="00B4220B" w:rsidRPr="0061488A">
        <w:rPr>
          <w:sz w:val="22"/>
          <w:szCs w:val="22"/>
        </w:rPr>
        <w:t xml:space="preserve">SRAP </w:t>
      </w:r>
      <w:r w:rsidR="000F0E93" w:rsidRPr="0061488A">
        <w:rPr>
          <w:sz w:val="22"/>
          <w:szCs w:val="22"/>
        </w:rPr>
        <w:t>REDD+</w:t>
      </w:r>
      <w:r w:rsidR="00D80B2C" w:rsidRPr="0061488A">
        <w:rPr>
          <w:sz w:val="22"/>
          <w:szCs w:val="22"/>
        </w:rPr>
        <w:t xml:space="preserve"> and GGP</w:t>
      </w:r>
      <w:r w:rsidR="008F0E74" w:rsidRPr="0061488A">
        <w:rPr>
          <w:sz w:val="22"/>
          <w:szCs w:val="22"/>
        </w:rPr>
        <w:t xml:space="preserve">. </w:t>
      </w:r>
      <w:r w:rsidR="0068477A" w:rsidRPr="0061488A">
        <w:rPr>
          <w:sz w:val="22"/>
          <w:szCs w:val="22"/>
        </w:rPr>
        <w:t xml:space="preserve">This project also will also involve </w:t>
      </w:r>
      <w:r w:rsidR="00D80B2C" w:rsidRPr="0061488A">
        <w:rPr>
          <w:sz w:val="22"/>
          <w:szCs w:val="22"/>
        </w:rPr>
        <w:t xml:space="preserve">relevant </w:t>
      </w:r>
      <w:r w:rsidR="0068477A" w:rsidRPr="0061488A">
        <w:rPr>
          <w:sz w:val="22"/>
          <w:szCs w:val="22"/>
        </w:rPr>
        <w:t>stakeholder</w:t>
      </w:r>
      <w:r w:rsidR="00D80B2C" w:rsidRPr="0061488A">
        <w:rPr>
          <w:sz w:val="22"/>
          <w:szCs w:val="22"/>
        </w:rPr>
        <w:t>s</w:t>
      </w:r>
      <w:r w:rsidR="0068477A" w:rsidRPr="0061488A">
        <w:rPr>
          <w:sz w:val="22"/>
          <w:szCs w:val="22"/>
        </w:rPr>
        <w:t xml:space="preserve"> at project implementation, monitoring and evaluation. </w:t>
      </w:r>
      <w:r w:rsidR="006E406F" w:rsidRPr="0061488A">
        <w:rPr>
          <w:sz w:val="22"/>
          <w:szCs w:val="22"/>
        </w:rPr>
        <w:t xml:space="preserve">In general, </w:t>
      </w:r>
      <w:r w:rsidR="00D80B2C" w:rsidRPr="0061488A">
        <w:rPr>
          <w:sz w:val="22"/>
          <w:szCs w:val="22"/>
        </w:rPr>
        <w:t xml:space="preserve">this </w:t>
      </w:r>
      <w:r w:rsidR="0068477A" w:rsidRPr="0061488A">
        <w:rPr>
          <w:sz w:val="22"/>
          <w:szCs w:val="22"/>
        </w:rPr>
        <w:t xml:space="preserve">project framework </w:t>
      </w:r>
      <w:r w:rsidR="00D80B2C" w:rsidRPr="0061488A">
        <w:rPr>
          <w:sz w:val="22"/>
          <w:szCs w:val="22"/>
        </w:rPr>
        <w:t xml:space="preserve">will not only focus on </w:t>
      </w:r>
      <w:r w:rsidR="00DE58B6" w:rsidRPr="0061488A">
        <w:rPr>
          <w:sz w:val="22"/>
          <w:szCs w:val="22"/>
        </w:rPr>
        <w:t>improv</w:t>
      </w:r>
      <w:r w:rsidR="00D80B2C" w:rsidRPr="0061488A">
        <w:rPr>
          <w:sz w:val="22"/>
          <w:szCs w:val="22"/>
        </w:rPr>
        <w:t>ing</w:t>
      </w:r>
      <w:r w:rsidR="0068477A" w:rsidRPr="0061488A">
        <w:rPr>
          <w:sz w:val="22"/>
          <w:szCs w:val="22"/>
        </w:rPr>
        <w:t xml:space="preserve"> </w:t>
      </w:r>
      <w:r w:rsidR="00885A7D" w:rsidRPr="0061488A">
        <w:rPr>
          <w:sz w:val="22"/>
          <w:szCs w:val="22"/>
        </w:rPr>
        <w:t>SRAP REDD+ task force</w:t>
      </w:r>
      <w:r w:rsidR="0068477A" w:rsidRPr="0061488A">
        <w:rPr>
          <w:sz w:val="22"/>
          <w:szCs w:val="22"/>
        </w:rPr>
        <w:t xml:space="preserve">. </w:t>
      </w:r>
      <w:r w:rsidR="00D80B2C" w:rsidRPr="0061488A">
        <w:rPr>
          <w:sz w:val="22"/>
          <w:szCs w:val="22"/>
        </w:rPr>
        <w:t xml:space="preserve">The project </w:t>
      </w:r>
      <w:r w:rsidR="0068477A" w:rsidRPr="0061488A">
        <w:rPr>
          <w:sz w:val="22"/>
          <w:szCs w:val="22"/>
        </w:rPr>
        <w:t xml:space="preserve">will </w:t>
      </w:r>
      <w:r w:rsidR="00885A7D" w:rsidRPr="0061488A">
        <w:rPr>
          <w:sz w:val="22"/>
          <w:szCs w:val="22"/>
        </w:rPr>
        <w:t>strengthen</w:t>
      </w:r>
      <w:r w:rsidR="0068477A" w:rsidRPr="0061488A">
        <w:rPr>
          <w:sz w:val="22"/>
          <w:szCs w:val="22"/>
        </w:rPr>
        <w:t xml:space="preserve"> </w:t>
      </w:r>
      <w:r w:rsidR="00D80B2C" w:rsidRPr="0061488A">
        <w:rPr>
          <w:sz w:val="22"/>
          <w:szCs w:val="22"/>
        </w:rPr>
        <w:t xml:space="preserve">key </w:t>
      </w:r>
      <w:r w:rsidR="00885A7D" w:rsidRPr="0061488A">
        <w:rPr>
          <w:sz w:val="22"/>
          <w:szCs w:val="22"/>
        </w:rPr>
        <w:t>government agencies</w:t>
      </w:r>
      <w:r w:rsidR="000C7D60" w:rsidRPr="0061488A">
        <w:rPr>
          <w:sz w:val="22"/>
          <w:szCs w:val="22"/>
        </w:rPr>
        <w:t xml:space="preserve">, </w:t>
      </w:r>
      <w:r w:rsidR="00D80B2C" w:rsidRPr="0061488A">
        <w:rPr>
          <w:sz w:val="22"/>
          <w:szCs w:val="22"/>
        </w:rPr>
        <w:t xml:space="preserve">communities </w:t>
      </w:r>
      <w:r w:rsidR="000C7D60" w:rsidRPr="0061488A">
        <w:rPr>
          <w:sz w:val="22"/>
          <w:szCs w:val="22"/>
        </w:rPr>
        <w:t xml:space="preserve">and </w:t>
      </w:r>
      <w:r w:rsidR="00D80B2C" w:rsidRPr="0061488A">
        <w:rPr>
          <w:sz w:val="22"/>
          <w:szCs w:val="22"/>
        </w:rPr>
        <w:t xml:space="preserve">the </w:t>
      </w:r>
      <w:r w:rsidR="000C7D60" w:rsidRPr="0061488A">
        <w:rPr>
          <w:sz w:val="22"/>
          <w:szCs w:val="22"/>
        </w:rPr>
        <w:t>private sector</w:t>
      </w:r>
      <w:r w:rsidR="00A512DB" w:rsidRPr="0061488A">
        <w:rPr>
          <w:sz w:val="22"/>
          <w:szCs w:val="22"/>
        </w:rPr>
        <w:t xml:space="preserve"> </w:t>
      </w:r>
      <w:r w:rsidR="00D80B2C" w:rsidRPr="0061488A">
        <w:rPr>
          <w:sz w:val="22"/>
          <w:szCs w:val="22"/>
        </w:rPr>
        <w:t xml:space="preserve">that have REDD+ and GGP related </w:t>
      </w:r>
      <w:r w:rsidR="00A512DB" w:rsidRPr="0061488A">
        <w:rPr>
          <w:sz w:val="22"/>
          <w:szCs w:val="22"/>
        </w:rPr>
        <w:t xml:space="preserve">activities and </w:t>
      </w:r>
      <w:r w:rsidR="0068477A" w:rsidRPr="0061488A">
        <w:rPr>
          <w:sz w:val="22"/>
          <w:szCs w:val="22"/>
        </w:rPr>
        <w:t>investment plans</w:t>
      </w:r>
      <w:r w:rsidR="000C7D60" w:rsidRPr="0061488A">
        <w:rPr>
          <w:sz w:val="22"/>
          <w:szCs w:val="22"/>
        </w:rPr>
        <w:t xml:space="preserve">. </w:t>
      </w:r>
      <w:r w:rsidR="006F38DC" w:rsidRPr="0061488A">
        <w:rPr>
          <w:sz w:val="22"/>
          <w:szCs w:val="22"/>
        </w:rPr>
        <w:t xml:space="preserve">This project will </w:t>
      </w:r>
      <w:r w:rsidR="0068477A" w:rsidRPr="0061488A">
        <w:rPr>
          <w:sz w:val="22"/>
          <w:szCs w:val="22"/>
        </w:rPr>
        <w:t xml:space="preserve">involve </w:t>
      </w:r>
      <w:r w:rsidR="00D80B2C" w:rsidRPr="0061488A">
        <w:rPr>
          <w:sz w:val="22"/>
          <w:szCs w:val="22"/>
        </w:rPr>
        <w:t>government agencies that have</w:t>
      </w:r>
      <w:r w:rsidR="006F38DC" w:rsidRPr="0061488A">
        <w:rPr>
          <w:sz w:val="22"/>
          <w:szCs w:val="22"/>
        </w:rPr>
        <w:t xml:space="preserve"> activities</w:t>
      </w:r>
      <w:r w:rsidR="00D80B2C" w:rsidRPr="0061488A">
        <w:rPr>
          <w:sz w:val="22"/>
          <w:szCs w:val="22"/>
        </w:rPr>
        <w:t xml:space="preserve"> or regulations</w:t>
      </w:r>
      <w:r w:rsidR="006F38DC" w:rsidRPr="0061488A">
        <w:rPr>
          <w:sz w:val="22"/>
          <w:szCs w:val="22"/>
        </w:rPr>
        <w:t xml:space="preserve"> that </w:t>
      </w:r>
      <w:r w:rsidR="00D80B2C" w:rsidRPr="0061488A">
        <w:rPr>
          <w:sz w:val="22"/>
          <w:szCs w:val="22"/>
        </w:rPr>
        <w:t xml:space="preserve">contribute to the </w:t>
      </w:r>
      <w:r w:rsidR="006F38DC" w:rsidRPr="0061488A">
        <w:rPr>
          <w:sz w:val="22"/>
          <w:szCs w:val="22"/>
        </w:rPr>
        <w:t>develop</w:t>
      </w:r>
      <w:r w:rsidR="00D80B2C" w:rsidRPr="0061488A">
        <w:rPr>
          <w:sz w:val="22"/>
          <w:szCs w:val="22"/>
        </w:rPr>
        <w:t>ment</w:t>
      </w:r>
      <w:r w:rsidR="0068477A" w:rsidRPr="0061488A">
        <w:rPr>
          <w:sz w:val="22"/>
          <w:szCs w:val="22"/>
        </w:rPr>
        <w:t xml:space="preserve"> and strengthen</w:t>
      </w:r>
      <w:r w:rsidR="00D80B2C" w:rsidRPr="0061488A">
        <w:rPr>
          <w:sz w:val="22"/>
          <w:szCs w:val="22"/>
        </w:rPr>
        <w:t>ing of</w:t>
      </w:r>
      <w:r w:rsidR="006F38DC" w:rsidRPr="0061488A">
        <w:rPr>
          <w:sz w:val="22"/>
          <w:szCs w:val="22"/>
        </w:rPr>
        <w:t xml:space="preserve"> </w:t>
      </w:r>
      <w:r w:rsidR="00D80B2C" w:rsidRPr="0061488A">
        <w:rPr>
          <w:sz w:val="22"/>
          <w:szCs w:val="22"/>
        </w:rPr>
        <w:t>REDD+ and GGP</w:t>
      </w:r>
      <w:r w:rsidR="006F38DC" w:rsidRPr="0061488A">
        <w:rPr>
          <w:sz w:val="22"/>
          <w:szCs w:val="22"/>
        </w:rPr>
        <w:t>.</w:t>
      </w:r>
      <w:r w:rsidR="000565E1" w:rsidRPr="0061488A">
        <w:rPr>
          <w:sz w:val="22"/>
          <w:szCs w:val="22"/>
        </w:rPr>
        <w:t xml:space="preserve"> </w:t>
      </w:r>
      <w:r w:rsidR="00D80B2C" w:rsidRPr="0061488A">
        <w:rPr>
          <w:sz w:val="22"/>
          <w:szCs w:val="22"/>
        </w:rPr>
        <w:t xml:space="preserve">In the context of communities </w:t>
      </w:r>
      <w:r w:rsidR="000565E1" w:rsidRPr="0061488A">
        <w:rPr>
          <w:sz w:val="22"/>
          <w:szCs w:val="22"/>
        </w:rPr>
        <w:t xml:space="preserve">and </w:t>
      </w:r>
      <w:r w:rsidR="00D80B2C" w:rsidRPr="0061488A">
        <w:rPr>
          <w:sz w:val="22"/>
          <w:szCs w:val="22"/>
        </w:rPr>
        <w:t xml:space="preserve">the </w:t>
      </w:r>
      <w:r w:rsidR="000565E1" w:rsidRPr="0061488A">
        <w:rPr>
          <w:sz w:val="22"/>
          <w:szCs w:val="22"/>
        </w:rPr>
        <w:t xml:space="preserve">private </w:t>
      </w:r>
      <w:r w:rsidR="001B1377" w:rsidRPr="0061488A">
        <w:rPr>
          <w:sz w:val="22"/>
          <w:szCs w:val="22"/>
        </w:rPr>
        <w:t>sector</w:t>
      </w:r>
      <w:r w:rsidR="00D80B2C" w:rsidRPr="0061488A">
        <w:rPr>
          <w:sz w:val="22"/>
          <w:szCs w:val="22"/>
        </w:rPr>
        <w:t>, the project</w:t>
      </w:r>
      <w:r w:rsidR="001B1377" w:rsidRPr="0061488A">
        <w:rPr>
          <w:sz w:val="22"/>
          <w:szCs w:val="22"/>
        </w:rPr>
        <w:t xml:space="preserve"> </w:t>
      </w:r>
      <w:r w:rsidR="00D80B2C" w:rsidRPr="0061488A">
        <w:rPr>
          <w:sz w:val="22"/>
          <w:szCs w:val="22"/>
        </w:rPr>
        <w:t>will focus on</w:t>
      </w:r>
      <w:r w:rsidR="001B1377" w:rsidRPr="0061488A">
        <w:rPr>
          <w:sz w:val="22"/>
          <w:szCs w:val="22"/>
        </w:rPr>
        <w:t xml:space="preserve"> scaling</w:t>
      </w:r>
      <w:r w:rsidR="00D80B2C" w:rsidRPr="0061488A">
        <w:rPr>
          <w:sz w:val="22"/>
          <w:szCs w:val="22"/>
        </w:rPr>
        <w:t xml:space="preserve"> up</w:t>
      </w:r>
      <w:r w:rsidR="001B1377" w:rsidRPr="0061488A">
        <w:rPr>
          <w:sz w:val="22"/>
          <w:szCs w:val="22"/>
        </w:rPr>
        <w:t xml:space="preserve"> ongoing business model</w:t>
      </w:r>
      <w:r w:rsidR="00D80B2C" w:rsidRPr="0061488A">
        <w:rPr>
          <w:sz w:val="22"/>
          <w:szCs w:val="22"/>
        </w:rPr>
        <w:t>s</w:t>
      </w:r>
      <w:r w:rsidR="001B1377" w:rsidRPr="0061488A">
        <w:rPr>
          <w:sz w:val="22"/>
          <w:szCs w:val="22"/>
        </w:rPr>
        <w:t xml:space="preserve"> within </w:t>
      </w:r>
      <w:r w:rsidR="00D80B2C" w:rsidRPr="0061488A">
        <w:rPr>
          <w:sz w:val="22"/>
          <w:szCs w:val="22"/>
        </w:rPr>
        <w:t xml:space="preserve">key </w:t>
      </w:r>
      <w:r w:rsidR="001B1377" w:rsidRPr="0061488A">
        <w:rPr>
          <w:sz w:val="22"/>
          <w:szCs w:val="22"/>
        </w:rPr>
        <w:t>landscape</w:t>
      </w:r>
      <w:r w:rsidR="00D80B2C" w:rsidRPr="0061488A">
        <w:rPr>
          <w:sz w:val="22"/>
          <w:szCs w:val="22"/>
        </w:rPr>
        <w:t>s so that these</w:t>
      </w:r>
      <w:r w:rsidR="001B1377" w:rsidRPr="0061488A">
        <w:rPr>
          <w:sz w:val="22"/>
          <w:szCs w:val="22"/>
        </w:rPr>
        <w:t xml:space="preserve"> </w:t>
      </w:r>
      <w:r w:rsidR="00D80B2C" w:rsidRPr="0061488A">
        <w:rPr>
          <w:sz w:val="22"/>
          <w:szCs w:val="22"/>
        </w:rPr>
        <w:t xml:space="preserve">can be used as examples of </w:t>
      </w:r>
      <w:r w:rsidR="001B1377" w:rsidRPr="0061488A">
        <w:rPr>
          <w:sz w:val="22"/>
          <w:szCs w:val="22"/>
        </w:rPr>
        <w:t xml:space="preserve">green investment scheme or other </w:t>
      </w:r>
      <w:r w:rsidR="00D80B2C" w:rsidRPr="0061488A">
        <w:rPr>
          <w:sz w:val="22"/>
          <w:szCs w:val="22"/>
        </w:rPr>
        <w:t xml:space="preserve">related </w:t>
      </w:r>
      <w:r w:rsidR="001B1377" w:rsidRPr="0061488A">
        <w:rPr>
          <w:sz w:val="22"/>
          <w:szCs w:val="22"/>
        </w:rPr>
        <w:t xml:space="preserve">schemes. </w:t>
      </w:r>
      <w:r w:rsidR="00D80B2C" w:rsidRPr="0061488A">
        <w:rPr>
          <w:sz w:val="22"/>
          <w:szCs w:val="22"/>
        </w:rPr>
        <w:t>The project will work with the</w:t>
      </w:r>
      <w:r w:rsidR="0068477A" w:rsidRPr="0061488A">
        <w:rPr>
          <w:sz w:val="22"/>
          <w:szCs w:val="22"/>
        </w:rPr>
        <w:t xml:space="preserve"> national government </w:t>
      </w:r>
      <w:r w:rsidR="00D80B2C" w:rsidRPr="0061488A">
        <w:rPr>
          <w:sz w:val="22"/>
          <w:szCs w:val="22"/>
        </w:rPr>
        <w:t xml:space="preserve">to </w:t>
      </w:r>
      <w:r w:rsidR="00C10258" w:rsidRPr="0061488A">
        <w:rPr>
          <w:sz w:val="22"/>
          <w:szCs w:val="22"/>
        </w:rPr>
        <w:t xml:space="preserve">assist </w:t>
      </w:r>
      <w:r w:rsidR="0068477A" w:rsidRPr="0061488A">
        <w:rPr>
          <w:sz w:val="22"/>
          <w:szCs w:val="22"/>
        </w:rPr>
        <w:t xml:space="preserve">sub-national </w:t>
      </w:r>
      <w:r w:rsidR="00D80B2C" w:rsidRPr="0061488A">
        <w:rPr>
          <w:sz w:val="22"/>
          <w:szCs w:val="22"/>
        </w:rPr>
        <w:t xml:space="preserve">development and implement of </w:t>
      </w:r>
      <w:r w:rsidR="0068477A" w:rsidRPr="0061488A">
        <w:rPr>
          <w:sz w:val="22"/>
          <w:szCs w:val="22"/>
        </w:rPr>
        <w:t xml:space="preserve">REDD+, FREL, MRV, </w:t>
      </w:r>
      <w:r w:rsidR="00D80B2C" w:rsidRPr="0061488A">
        <w:rPr>
          <w:sz w:val="22"/>
          <w:szCs w:val="22"/>
        </w:rPr>
        <w:t xml:space="preserve">GGP </w:t>
      </w:r>
      <w:r w:rsidR="0068477A" w:rsidRPr="0061488A">
        <w:rPr>
          <w:sz w:val="22"/>
          <w:szCs w:val="22"/>
        </w:rPr>
        <w:t>etc.</w:t>
      </w:r>
      <w:r w:rsidR="00C10258" w:rsidRPr="0061488A">
        <w:rPr>
          <w:sz w:val="22"/>
          <w:szCs w:val="22"/>
        </w:rPr>
        <w:t xml:space="preserve"> </w:t>
      </w:r>
      <w:r w:rsidR="00D80B2C" w:rsidRPr="0061488A">
        <w:rPr>
          <w:sz w:val="22"/>
          <w:szCs w:val="22"/>
        </w:rPr>
        <w:t xml:space="preserve">so that these can </w:t>
      </w:r>
      <w:r w:rsidR="00C10258" w:rsidRPr="0061488A">
        <w:rPr>
          <w:sz w:val="22"/>
          <w:szCs w:val="22"/>
        </w:rPr>
        <w:t xml:space="preserve">meet the national standard. </w:t>
      </w:r>
      <w:r w:rsidR="0068477A" w:rsidRPr="0061488A">
        <w:rPr>
          <w:sz w:val="22"/>
          <w:szCs w:val="22"/>
        </w:rPr>
        <w:t xml:space="preserve"> </w:t>
      </w:r>
    </w:p>
    <w:p w14:paraId="4929BCDA" w14:textId="77777777" w:rsidR="009B5FC0" w:rsidRPr="0061488A" w:rsidRDefault="009B5FC0" w:rsidP="00DB6953">
      <w:pPr>
        <w:rPr>
          <w:sz w:val="22"/>
          <w:szCs w:val="22"/>
        </w:rPr>
      </w:pPr>
    </w:p>
    <w:p w14:paraId="425B2638" w14:textId="7684D906" w:rsidR="006B7FC4" w:rsidRPr="0061488A" w:rsidRDefault="00774634" w:rsidP="0061488A">
      <w:pPr>
        <w:spacing w:line="276" w:lineRule="auto"/>
        <w:jc w:val="both"/>
        <w:rPr>
          <w:b/>
          <w:sz w:val="22"/>
          <w:szCs w:val="22"/>
        </w:rPr>
      </w:pPr>
      <w:r w:rsidRPr="0061488A">
        <w:rPr>
          <w:b/>
          <w:i/>
          <w:sz w:val="22"/>
          <w:szCs w:val="22"/>
          <w:u w:val="single"/>
        </w:rPr>
        <w:t>Gender mainstreaming</w:t>
      </w:r>
    </w:p>
    <w:p w14:paraId="63819D29" w14:textId="77777777" w:rsidR="006B7FC4" w:rsidRPr="0061488A" w:rsidRDefault="006B7FC4" w:rsidP="007117E7">
      <w:pPr>
        <w:jc w:val="both"/>
        <w:rPr>
          <w:sz w:val="22"/>
          <w:szCs w:val="22"/>
        </w:rPr>
      </w:pPr>
      <w:r w:rsidRPr="0061488A">
        <w:rPr>
          <w:sz w:val="22"/>
          <w:szCs w:val="22"/>
        </w:rPr>
        <w:t>Gender inequality is one of the key issues in natural resources management recently. Recent study found that woman is in a subordinate position as they uninvolved in political decision making processes, for instance at the issuance of large-scale industrial permit by the village. They positioned generally to help the man in managing the economic benefit of the natural resources. On the other hand, woman are suffering by the multiple social and environmental problems due to environmental damages at most compare to other groups on the ground. Efforts in gender equality has been roughly increased, initiated by numerous NGOs by putting the gender equality agenda in each regulatory frameworks. For instance at village forest development, woman participation is encouraged by involving them in village forest institution structure and activity at least by 30 percent. The rationale of these efforts are to give equal access and control among groups, not only woman, but also other vulnerable and disability person groups. The gender equality and its concept is generally accepted, but it needs a huge efforts due to traditional culture that is still applied in community. </w:t>
      </w:r>
    </w:p>
    <w:p w14:paraId="3DD5FE65" w14:textId="77777777" w:rsidR="006B7FC4" w:rsidRPr="0061488A" w:rsidRDefault="006B7FC4" w:rsidP="009A2FCF">
      <w:pPr>
        <w:jc w:val="both"/>
        <w:rPr>
          <w:sz w:val="22"/>
          <w:szCs w:val="22"/>
        </w:rPr>
      </w:pPr>
    </w:p>
    <w:p w14:paraId="613EC292" w14:textId="76FB11F9" w:rsidR="00C731F1" w:rsidRPr="0061488A" w:rsidRDefault="00776B99" w:rsidP="009A2FCF">
      <w:pPr>
        <w:jc w:val="both"/>
        <w:rPr>
          <w:sz w:val="22"/>
          <w:szCs w:val="22"/>
        </w:rPr>
      </w:pPr>
      <w:r w:rsidRPr="0061488A">
        <w:rPr>
          <w:sz w:val="22"/>
          <w:szCs w:val="22"/>
        </w:rPr>
        <w:t xml:space="preserve">Equal gender participation has not been part of the focus in REDD+ implementation so far and the possibilities for women to engage in higher political dimension and its process is currently limited. In the past, West Kalimantan Government didn’t have women leadership but it is changing now. We </w:t>
      </w:r>
      <w:r w:rsidR="00FF669F" w:rsidRPr="0061488A">
        <w:rPr>
          <w:sz w:val="22"/>
          <w:szCs w:val="22"/>
        </w:rPr>
        <w:t>will use this project to</w:t>
      </w:r>
      <w:r w:rsidR="00193C79" w:rsidRPr="0061488A">
        <w:rPr>
          <w:sz w:val="22"/>
          <w:szCs w:val="22"/>
        </w:rPr>
        <w:t xml:space="preserve"> improve that situation by increasing </w:t>
      </w:r>
      <w:r w:rsidR="00FF669F" w:rsidRPr="0061488A">
        <w:rPr>
          <w:sz w:val="22"/>
          <w:szCs w:val="22"/>
        </w:rPr>
        <w:t xml:space="preserve">woman participation through affirmative action approach. </w:t>
      </w:r>
      <w:r w:rsidR="00D80B2C" w:rsidRPr="0061488A">
        <w:rPr>
          <w:sz w:val="22"/>
          <w:szCs w:val="22"/>
        </w:rPr>
        <w:t>A</w:t>
      </w:r>
      <w:r w:rsidR="00FF669F" w:rsidRPr="0061488A">
        <w:rPr>
          <w:sz w:val="22"/>
          <w:szCs w:val="22"/>
        </w:rPr>
        <w:t xml:space="preserve">t least 30% of total participant are </w:t>
      </w:r>
      <w:r w:rsidR="00D80B2C" w:rsidRPr="0061488A">
        <w:rPr>
          <w:sz w:val="22"/>
          <w:szCs w:val="22"/>
        </w:rPr>
        <w:t>women in this project</w:t>
      </w:r>
      <w:r w:rsidR="00FA5304" w:rsidRPr="0061488A">
        <w:rPr>
          <w:sz w:val="22"/>
          <w:szCs w:val="22"/>
        </w:rPr>
        <w:t xml:space="preserve"> such as in the capacity building activities</w:t>
      </w:r>
      <w:r w:rsidR="000858A4" w:rsidRPr="0061488A">
        <w:rPr>
          <w:sz w:val="22"/>
          <w:szCs w:val="22"/>
        </w:rPr>
        <w:t>, series of meetings</w:t>
      </w:r>
      <w:r w:rsidR="00FA5304" w:rsidRPr="0061488A">
        <w:rPr>
          <w:sz w:val="22"/>
          <w:szCs w:val="22"/>
        </w:rPr>
        <w:t xml:space="preserve"> and public consultations</w:t>
      </w:r>
      <w:r w:rsidR="00D80B2C" w:rsidRPr="0061488A">
        <w:rPr>
          <w:sz w:val="22"/>
          <w:szCs w:val="22"/>
        </w:rPr>
        <w:t xml:space="preserve">. The project will </w:t>
      </w:r>
      <w:r w:rsidRPr="0061488A">
        <w:rPr>
          <w:sz w:val="22"/>
          <w:szCs w:val="22"/>
        </w:rPr>
        <w:t xml:space="preserve">also </w:t>
      </w:r>
      <w:r w:rsidR="00D80B2C" w:rsidRPr="0061488A">
        <w:rPr>
          <w:sz w:val="22"/>
          <w:szCs w:val="22"/>
        </w:rPr>
        <w:t xml:space="preserve">ensure that </w:t>
      </w:r>
      <w:r w:rsidR="00FF669F" w:rsidRPr="0061488A">
        <w:rPr>
          <w:sz w:val="22"/>
          <w:szCs w:val="22"/>
        </w:rPr>
        <w:t xml:space="preserve">minority groups or groups with physical limitations (if any) </w:t>
      </w:r>
      <w:r w:rsidR="00D80B2C" w:rsidRPr="0061488A">
        <w:rPr>
          <w:sz w:val="22"/>
          <w:szCs w:val="22"/>
        </w:rPr>
        <w:t>to be prioritized</w:t>
      </w:r>
      <w:r w:rsidR="00FF669F" w:rsidRPr="0061488A">
        <w:rPr>
          <w:sz w:val="22"/>
          <w:szCs w:val="22"/>
        </w:rPr>
        <w:t xml:space="preserve">. </w:t>
      </w:r>
      <w:r w:rsidR="00D80B2C" w:rsidRPr="0061488A">
        <w:rPr>
          <w:sz w:val="22"/>
          <w:szCs w:val="22"/>
        </w:rPr>
        <w:t xml:space="preserve">Since </w:t>
      </w:r>
      <w:r w:rsidR="00FF669F" w:rsidRPr="0061488A">
        <w:rPr>
          <w:sz w:val="22"/>
          <w:szCs w:val="22"/>
        </w:rPr>
        <w:t xml:space="preserve">this project </w:t>
      </w:r>
      <w:r w:rsidR="00D80B2C" w:rsidRPr="0061488A">
        <w:rPr>
          <w:sz w:val="22"/>
          <w:szCs w:val="22"/>
        </w:rPr>
        <w:t xml:space="preserve">will support the development of </w:t>
      </w:r>
      <w:r w:rsidR="00FF669F" w:rsidRPr="0061488A">
        <w:rPr>
          <w:sz w:val="22"/>
          <w:szCs w:val="22"/>
        </w:rPr>
        <w:t>regulation</w:t>
      </w:r>
      <w:r w:rsidR="00D80B2C" w:rsidRPr="0061488A">
        <w:rPr>
          <w:sz w:val="22"/>
          <w:szCs w:val="22"/>
        </w:rPr>
        <w:t>s</w:t>
      </w:r>
      <w:r w:rsidR="00FF669F" w:rsidRPr="0061488A">
        <w:rPr>
          <w:sz w:val="22"/>
          <w:szCs w:val="22"/>
        </w:rPr>
        <w:t xml:space="preserve">, </w:t>
      </w:r>
      <w:r w:rsidR="00351EBA" w:rsidRPr="0061488A">
        <w:rPr>
          <w:sz w:val="22"/>
          <w:szCs w:val="22"/>
        </w:rPr>
        <w:t xml:space="preserve">approaches to ensure </w:t>
      </w:r>
      <w:r w:rsidR="00FF669F" w:rsidRPr="0061488A">
        <w:rPr>
          <w:sz w:val="22"/>
          <w:szCs w:val="22"/>
        </w:rPr>
        <w:t xml:space="preserve">regulation-based </w:t>
      </w:r>
      <w:r w:rsidR="00C731F1" w:rsidRPr="0061488A">
        <w:rPr>
          <w:sz w:val="22"/>
          <w:szCs w:val="22"/>
        </w:rPr>
        <w:t xml:space="preserve">gender </w:t>
      </w:r>
      <w:r w:rsidR="00FF669F" w:rsidRPr="0061488A">
        <w:rPr>
          <w:sz w:val="22"/>
          <w:szCs w:val="22"/>
        </w:rPr>
        <w:t>will be used for gender equality</w:t>
      </w:r>
      <w:r w:rsidR="00C731F1" w:rsidRPr="0061488A">
        <w:rPr>
          <w:sz w:val="22"/>
          <w:szCs w:val="22"/>
        </w:rPr>
        <w:t>.</w:t>
      </w:r>
      <w:r w:rsidR="006B7FC4" w:rsidRPr="0061488A">
        <w:rPr>
          <w:sz w:val="22"/>
          <w:szCs w:val="22"/>
        </w:rPr>
        <w:t xml:space="preserve"> </w:t>
      </w:r>
      <w:r w:rsidR="00351EBA" w:rsidRPr="0061488A">
        <w:rPr>
          <w:sz w:val="22"/>
          <w:szCs w:val="22"/>
        </w:rPr>
        <w:t>G</w:t>
      </w:r>
      <w:r w:rsidR="00C731F1" w:rsidRPr="0061488A">
        <w:rPr>
          <w:sz w:val="22"/>
          <w:szCs w:val="22"/>
        </w:rPr>
        <w:t>ender</w:t>
      </w:r>
      <w:r w:rsidR="00A96DCC" w:rsidRPr="0061488A">
        <w:rPr>
          <w:sz w:val="22"/>
          <w:szCs w:val="22"/>
        </w:rPr>
        <w:t xml:space="preserve"> </w:t>
      </w:r>
      <w:r w:rsidR="00C731F1" w:rsidRPr="0061488A">
        <w:rPr>
          <w:sz w:val="22"/>
          <w:szCs w:val="22"/>
        </w:rPr>
        <w:t xml:space="preserve">knowledge intervention will </w:t>
      </w:r>
      <w:r w:rsidR="00351EBA" w:rsidRPr="0061488A">
        <w:rPr>
          <w:sz w:val="22"/>
          <w:szCs w:val="22"/>
        </w:rPr>
        <w:t xml:space="preserve">also </w:t>
      </w:r>
      <w:r w:rsidR="00D455F2" w:rsidRPr="0061488A">
        <w:rPr>
          <w:sz w:val="22"/>
          <w:szCs w:val="22"/>
        </w:rPr>
        <w:t xml:space="preserve">be </w:t>
      </w:r>
      <w:r w:rsidR="00C731F1" w:rsidRPr="0061488A">
        <w:rPr>
          <w:sz w:val="22"/>
          <w:szCs w:val="22"/>
        </w:rPr>
        <w:t xml:space="preserve">announced </w:t>
      </w:r>
      <w:r w:rsidR="00D01998" w:rsidRPr="0061488A">
        <w:rPr>
          <w:sz w:val="22"/>
          <w:szCs w:val="22"/>
        </w:rPr>
        <w:t xml:space="preserve">in each </w:t>
      </w:r>
      <w:r w:rsidR="00351EBA" w:rsidRPr="0061488A">
        <w:rPr>
          <w:sz w:val="22"/>
          <w:szCs w:val="22"/>
        </w:rPr>
        <w:t xml:space="preserve">activity in this project </w:t>
      </w:r>
      <w:r w:rsidR="00D455F2" w:rsidRPr="0061488A">
        <w:rPr>
          <w:sz w:val="22"/>
          <w:szCs w:val="22"/>
        </w:rPr>
        <w:t>to raise stakeholder awareness.</w:t>
      </w:r>
    </w:p>
    <w:p w14:paraId="3FBB50E7" w14:textId="77777777" w:rsidR="009A2FCF" w:rsidRDefault="009A2FCF" w:rsidP="009A2FCF">
      <w:pPr>
        <w:jc w:val="both"/>
        <w:rPr>
          <w:b/>
          <w:i/>
          <w:sz w:val="22"/>
          <w:szCs w:val="22"/>
          <w:u w:val="single"/>
        </w:rPr>
      </w:pPr>
    </w:p>
    <w:p w14:paraId="0F733705" w14:textId="77777777" w:rsidR="0061488A" w:rsidRDefault="0061488A" w:rsidP="009A2FCF">
      <w:pPr>
        <w:jc w:val="both"/>
        <w:rPr>
          <w:b/>
          <w:i/>
          <w:sz w:val="22"/>
          <w:szCs w:val="22"/>
          <w:u w:val="single"/>
        </w:rPr>
      </w:pPr>
    </w:p>
    <w:p w14:paraId="76ED5519" w14:textId="77777777" w:rsidR="003B37DD" w:rsidRPr="0061488A" w:rsidRDefault="003B37DD" w:rsidP="009A2FCF">
      <w:pPr>
        <w:jc w:val="both"/>
        <w:rPr>
          <w:b/>
          <w:i/>
          <w:sz w:val="22"/>
          <w:szCs w:val="22"/>
          <w:u w:val="single"/>
        </w:rPr>
      </w:pPr>
    </w:p>
    <w:p w14:paraId="101B7D0C" w14:textId="09F7831B" w:rsidR="00075CDD" w:rsidRPr="0061488A" w:rsidRDefault="00774634" w:rsidP="0061488A">
      <w:pPr>
        <w:spacing w:line="276" w:lineRule="auto"/>
        <w:jc w:val="both"/>
        <w:rPr>
          <w:b/>
          <w:i/>
          <w:sz w:val="22"/>
          <w:szCs w:val="22"/>
        </w:rPr>
      </w:pPr>
      <w:r w:rsidRPr="0061488A">
        <w:rPr>
          <w:b/>
          <w:i/>
          <w:sz w:val="22"/>
          <w:szCs w:val="22"/>
          <w:u w:val="single"/>
        </w:rPr>
        <w:lastRenderedPageBreak/>
        <w:t>Knowledge management and communication</w:t>
      </w:r>
    </w:p>
    <w:p w14:paraId="0998E1A5" w14:textId="31BCA849" w:rsidR="00075CDD" w:rsidRPr="0061488A" w:rsidRDefault="00297C04" w:rsidP="009A2FCF">
      <w:pPr>
        <w:jc w:val="both"/>
        <w:rPr>
          <w:sz w:val="22"/>
          <w:szCs w:val="22"/>
        </w:rPr>
      </w:pPr>
      <w:r w:rsidRPr="0061488A">
        <w:rPr>
          <w:sz w:val="22"/>
          <w:szCs w:val="22"/>
        </w:rPr>
        <w:t xml:space="preserve">There are several gaps </w:t>
      </w:r>
      <w:r w:rsidR="00351EBA" w:rsidRPr="0061488A">
        <w:rPr>
          <w:sz w:val="22"/>
          <w:szCs w:val="22"/>
        </w:rPr>
        <w:t xml:space="preserve">related to </w:t>
      </w:r>
      <w:r w:rsidR="000776D1" w:rsidRPr="0061488A">
        <w:rPr>
          <w:sz w:val="22"/>
          <w:szCs w:val="22"/>
        </w:rPr>
        <w:t xml:space="preserve">SRAP </w:t>
      </w:r>
      <w:r w:rsidRPr="0061488A">
        <w:rPr>
          <w:sz w:val="22"/>
          <w:szCs w:val="22"/>
        </w:rPr>
        <w:t xml:space="preserve">REDD+ </w:t>
      </w:r>
      <w:r w:rsidR="00351EBA" w:rsidRPr="0061488A">
        <w:rPr>
          <w:sz w:val="22"/>
          <w:szCs w:val="22"/>
        </w:rPr>
        <w:t xml:space="preserve">specifically these are due to </w:t>
      </w:r>
      <w:r w:rsidRPr="0061488A">
        <w:rPr>
          <w:sz w:val="22"/>
          <w:szCs w:val="22"/>
        </w:rPr>
        <w:t>lack of knowledge management and communication</w:t>
      </w:r>
      <w:r w:rsidR="00351EBA" w:rsidRPr="0061488A">
        <w:rPr>
          <w:sz w:val="22"/>
          <w:szCs w:val="22"/>
        </w:rPr>
        <w:t>. These include</w:t>
      </w:r>
      <w:r w:rsidRPr="0061488A">
        <w:rPr>
          <w:sz w:val="22"/>
          <w:szCs w:val="22"/>
        </w:rPr>
        <w:t xml:space="preserve">: a) sub-national and national MRV have </w:t>
      </w:r>
      <w:r w:rsidR="00351EBA" w:rsidRPr="0061488A">
        <w:rPr>
          <w:sz w:val="22"/>
          <w:szCs w:val="22"/>
        </w:rPr>
        <w:t xml:space="preserve">been </w:t>
      </w:r>
      <w:r w:rsidRPr="0061488A">
        <w:rPr>
          <w:sz w:val="22"/>
          <w:szCs w:val="22"/>
        </w:rPr>
        <w:t xml:space="preserve">established but </w:t>
      </w:r>
      <w:r w:rsidR="00351EBA" w:rsidRPr="0061488A">
        <w:rPr>
          <w:sz w:val="22"/>
          <w:szCs w:val="22"/>
        </w:rPr>
        <w:t xml:space="preserve">poorly </w:t>
      </w:r>
      <w:r w:rsidRPr="0061488A">
        <w:rPr>
          <w:sz w:val="22"/>
          <w:szCs w:val="22"/>
        </w:rPr>
        <w:t xml:space="preserve">supported by good information system and platform, b) Government of West Kalimantan have </w:t>
      </w:r>
      <w:r w:rsidR="00351EBA" w:rsidRPr="0061488A">
        <w:rPr>
          <w:sz w:val="22"/>
          <w:szCs w:val="22"/>
        </w:rPr>
        <w:t xml:space="preserve">been </w:t>
      </w:r>
      <w:r w:rsidRPr="0061488A">
        <w:rPr>
          <w:sz w:val="22"/>
          <w:szCs w:val="22"/>
        </w:rPr>
        <w:t xml:space="preserve">registered in SIS REDD+, but </w:t>
      </w:r>
      <w:r w:rsidR="00351EBA" w:rsidRPr="0061488A">
        <w:rPr>
          <w:sz w:val="22"/>
          <w:szCs w:val="22"/>
        </w:rPr>
        <w:t xml:space="preserve">relevant </w:t>
      </w:r>
      <w:r w:rsidRPr="0061488A">
        <w:rPr>
          <w:sz w:val="22"/>
          <w:szCs w:val="22"/>
        </w:rPr>
        <w:t xml:space="preserve">data need to be adjusted into SIS REDD+ standard, c) insufficient data transfer from each sub-national government </w:t>
      </w:r>
      <w:r w:rsidR="00351EBA" w:rsidRPr="0061488A">
        <w:rPr>
          <w:sz w:val="22"/>
          <w:szCs w:val="22"/>
        </w:rPr>
        <w:t xml:space="preserve">and </w:t>
      </w:r>
      <w:r w:rsidRPr="0061488A">
        <w:rPr>
          <w:sz w:val="22"/>
          <w:szCs w:val="22"/>
        </w:rPr>
        <w:t xml:space="preserve">sectoral </w:t>
      </w:r>
      <w:r w:rsidR="00351EBA" w:rsidRPr="0061488A">
        <w:rPr>
          <w:sz w:val="22"/>
          <w:szCs w:val="22"/>
        </w:rPr>
        <w:t xml:space="preserve">agencies </w:t>
      </w:r>
      <w:r w:rsidRPr="0061488A">
        <w:rPr>
          <w:sz w:val="22"/>
          <w:szCs w:val="22"/>
        </w:rPr>
        <w:t>to SRAP REDD+ task force, and d) weak of communication protocol among member</w:t>
      </w:r>
      <w:r w:rsidR="00731A5C" w:rsidRPr="0061488A">
        <w:rPr>
          <w:sz w:val="22"/>
          <w:szCs w:val="22"/>
        </w:rPr>
        <w:t>s</w:t>
      </w:r>
      <w:r w:rsidRPr="0061488A">
        <w:rPr>
          <w:sz w:val="22"/>
          <w:szCs w:val="22"/>
        </w:rPr>
        <w:t xml:space="preserve"> of </w:t>
      </w:r>
      <w:r w:rsidR="00731A5C" w:rsidRPr="0061488A">
        <w:rPr>
          <w:sz w:val="22"/>
          <w:szCs w:val="22"/>
        </w:rPr>
        <w:t xml:space="preserve">SRAP </w:t>
      </w:r>
      <w:r w:rsidRPr="0061488A">
        <w:rPr>
          <w:sz w:val="22"/>
          <w:szCs w:val="22"/>
        </w:rPr>
        <w:t>REDD+ task force.</w:t>
      </w:r>
      <w:r w:rsidR="00091D50" w:rsidRPr="0061488A">
        <w:rPr>
          <w:sz w:val="22"/>
          <w:szCs w:val="22"/>
        </w:rPr>
        <w:t xml:space="preserve"> </w:t>
      </w:r>
      <w:r w:rsidR="00351EBA" w:rsidRPr="0061488A">
        <w:rPr>
          <w:sz w:val="22"/>
          <w:szCs w:val="22"/>
        </w:rPr>
        <w:t xml:space="preserve">At the </w:t>
      </w:r>
      <w:r w:rsidR="00091D50" w:rsidRPr="0061488A">
        <w:rPr>
          <w:sz w:val="22"/>
          <w:szCs w:val="22"/>
        </w:rPr>
        <w:t>technical</w:t>
      </w:r>
      <w:r w:rsidR="00351EBA" w:rsidRPr="0061488A">
        <w:rPr>
          <w:sz w:val="22"/>
          <w:szCs w:val="22"/>
        </w:rPr>
        <w:t xml:space="preserve"> level</w:t>
      </w:r>
      <w:r w:rsidR="00091D50" w:rsidRPr="0061488A">
        <w:rPr>
          <w:sz w:val="22"/>
          <w:szCs w:val="22"/>
        </w:rPr>
        <w:t xml:space="preserve">, </w:t>
      </w:r>
      <w:r w:rsidR="00351EBA" w:rsidRPr="0061488A">
        <w:rPr>
          <w:sz w:val="22"/>
          <w:szCs w:val="22"/>
        </w:rPr>
        <w:t xml:space="preserve">the </w:t>
      </w:r>
      <w:r w:rsidR="00091D50" w:rsidRPr="0061488A">
        <w:rPr>
          <w:sz w:val="22"/>
          <w:szCs w:val="22"/>
        </w:rPr>
        <w:t xml:space="preserve">gaps </w:t>
      </w:r>
      <w:r w:rsidR="00351EBA" w:rsidRPr="0061488A">
        <w:rPr>
          <w:sz w:val="22"/>
          <w:szCs w:val="22"/>
        </w:rPr>
        <w:t xml:space="preserve">related to </w:t>
      </w:r>
      <w:r w:rsidR="00662BBA" w:rsidRPr="0061488A">
        <w:rPr>
          <w:sz w:val="22"/>
          <w:szCs w:val="22"/>
        </w:rPr>
        <w:t>SRAP REDD+</w:t>
      </w:r>
      <w:r w:rsidR="00351EBA" w:rsidRPr="0061488A">
        <w:rPr>
          <w:sz w:val="22"/>
          <w:szCs w:val="22"/>
        </w:rPr>
        <w:t>, among others, are:</w:t>
      </w:r>
      <w:r w:rsidR="00662BBA" w:rsidRPr="0061488A">
        <w:rPr>
          <w:sz w:val="22"/>
          <w:szCs w:val="22"/>
        </w:rPr>
        <w:t xml:space="preserve"> </w:t>
      </w:r>
      <w:r w:rsidR="00075CDD" w:rsidRPr="0061488A">
        <w:rPr>
          <w:sz w:val="22"/>
          <w:szCs w:val="22"/>
        </w:rPr>
        <w:t xml:space="preserve">a) </w:t>
      </w:r>
      <w:r w:rsidR="00091D50" w:rsidRPr="0061488A">
        <w:rPr>
          <w:sz w:val="22"/>
          <w:szCs w:val="22"/>
        </w:rPr>
        <w:t>unsystematic</w:t>
      </w:r>
      <w:r w:rsidR="00075CDD" w:rsidRPr="0061488A">
        <w:rPr>
          <w:sz w:val="22"/>
          <w:szCs w:val="22"/>
        </w:rPr>
        <w:t xml:space="preserve"> approach or </w:t>
      </w:r>
      <w:r w:rsidR="00351EBA" w:rsidRPr="0061488A">
        <w:rPr>
          <w:sz w:val="22"/>
          <w:szCs w:val="22"/>
        </w:rPr>
        <w:t xml:space="preserve">technological </w:t>
      </w:r>
      <w:r w:rsidR="00075CDD" w:rsidRPr="0061488A">
        <w:rPr>
          <w:sz w:val="22"/>
          <w:szCs w:val="22"/>
        </w:rPr>
        <w:t xml:space="preserve">input </w:t>
      </w:r>
      <w:r w:rsidR="00351EBA" w:rsidRPr="0061488A">
        <w:rPr>
          <w:sz w:val="22"/>
          <w:szCs w:val="22"/>
        </w:rPr>
        <w:t xml:space="preserve">that has made </w:t>
      </w:r>
      <w:r w:rsidR="00075CDD" w:rsidRPr="0061488A">
        <w:rPr>
          <w:sz w:val="22"/>
          <w:szCs w:val="22"/>
        </w:rPr>
        <w:t>knowledge building and exchange</w:t>
      </w:r>
      <w:r w:rsidR="00351EBA" w:rsidRPr="0061488A">
        <w:rPr>
          <w:sz w:val="22"/>
          <w:szCs w:val="22"/>
        </w:rPr>
        <w:t xml:space="preserve"> difficult</w:t>
      </w:r>
      <w:r w:rsidR="00091D50" w:rsidRPr="0061488A">
        <w:rPr>
          <w:sz w:val="22"/>
          <w:szCs w:val="22"/>
        </w:rPr>
        <w:t xml:space="preserve"> and </w:t>
      </w:r>
      <w:r w:rsidR="00075CDD" w:rsidRPr="0061488A">
        <w:rPr>
          <w:sz w:val="22"/>
          <w:szCs w:val="22"/>
        </w:rPr>
        <w:t xml:space="preserve">b) </w:t>
      </w:r>
      <w:r w:rsidR="00091D50" w:rsidRPr="0061488A">
        <w:rPr>
          <w:sz w:val="22"/>
          <w:szCs w:val="22"/>
        </w:rPr>
        <w:t xml:space="preserve">inconsistency of </w:t>
      </w:r>
      <w:r w:rsidR="00075CDD" w:rsidRPr="0061488A">
        <w:rPr>
          <w:sz w:val="22"/>
          <w:szCs w:val="22"/>
        </w:rPr>
        <w:t xml:space="preserve">identity and branding image. </w:t>
      </w:r>
      <w:r w:rsidR="00256D47" w:rsidRPr="0061488A">
        <w:rPr>
          <w:sz w:val="22"/>
          <w:szCs w:val="22"/>
        </w:rPr>
        <w:t xml:space="preserve">A good knowledge management and communication strategy is required to support </w:t>
      </w:r>
      <w:r w:rsidR="00075CDD" w:rsidRPr="0061488A">
        <w:rPr>
          <w:sz w:val="22"/>
          <w:szCs w:val="22"/>
        </w:rPr>
        <w:t xml:space="preserve">sub-national </w:t>
      </w:r>
      <w:r w:rsidR="00256D47" w:rsidRPr="0061488A">
        <w:rPr>
          <w:sz w:val="22"/>
          <w:szCs w:val="22"/>
        </w:rPr>
        <w:t xml:space="preserve">REDD+ </w:t>
      </w:r>
      <w:r w:rsidR="005D6A31" w:rsidRPr="0061488A">
        <w:rPr>
          <w:sz w:val="22"/>
          <w:szCs w:val="22"/>
        </w:rPr>
        <w:t xml:space="preserve">objectives. </w:t>
      </w:r>
      <w:r w:rsidR="00662BBA" w:rsidRPr="0061488A">
        <w:rPr>
          <w:sz w:val="22"/>
          <w:szCs w:val="22"/>
        </w:rPr>
        <w:t>Thus, this</w:t>
      </w:r>
      <w:r w:rsidR="00B33045" w:rsidRPr="0061488A">
        <w:rPr>
          <w:sz w:val="22"/>
          <w:szCs w:val="22"/>
        </w:rPr>
        <w:t xml:space="preserve"> </w:t>
      </w:r>
      <w:r w:rsidR="00351EBA" w:rsidRPr="0061488A">
        <w:rPr>
          <w:sz w:val="22"/>
          <w:szCs w:val="22"/>
        </w:rPr>
        <w:t>project aims to help</w:t>
      </w:r>
      <w:r w:rsidR="00091D50" w:rsidRPr="0061488A">
        <w:rPr>
          <w:sz w:val="22"/>
          <w:szCs w:val="22"/>
        </w:rPr>
        <w:t xml:space="preserve">: </w:t>
      </w:r>
      <w:r w:rsidR="00B33045" w:rsidRPr="0061488A">
        <w:rPr>
          <w:sz w:val="22"/>
          <w:szCs w:val="22"/>
        </w:rPr>
        <w:t xml:space="preserve">a) foster knowledge building (learning from experience) and exchange between REDD+ </w:t>
      </w:r>
      <w:r w:rsidR="00351EBA" w:rsidRPr="0061488A">
        <w:rPr>
          <w:sz w:val="22"/>
          <w:szCs w:val="22"/>
        </w:rPr>
        <w:t xml:space="preserve">and GGP </w:t>
      </w:r>
      <w:r w:rsidR="00B33045" w:rsidRPr="0061488A">
        <w:rPr>
          <w:sz w:val="22"/>
          <w:szCs w:val="22"/>
        </w:rPr>
        <w:t xml:space="preserve">stakeholders, b) improve </w:t>
      </w:r>
      <w:r w:rsidR="00351EBA" w:rsidRPr="0061488A">
        <w:rPr>
          <w:sz w:val="22"/>
          <w:szCs w:val="22"/>
        </w:rPr>
        <w:t xml:space="preserve">the communication of </w:t>
      </w:r>
      <w:r w:rsidR="00B33045" w:rsidRPr="0061488A">
        <w:rPr>
          <w:sz w:val="22"/>
          <w:szCs w:val="22"/>
        </w:rPr>
        <w:t xml:space="preserve">REDD+ </w:t>
      </w:r>
      <w:r w:rsidR="00351EBA" w:rsidRPr="0061488A">
        <w:rPr>
          <w:sz w:val="22"/>
          <w:szCs w:val="22"/>
        </w:rPr>
        <w:t>and GGP achievements</w:t>
      </w:r>
      <w:r w:rsidR="00B33045" w:rsidRPr="0061488A">
        <w:rPr>
          <w:sz w:val="22"/>
          <w:szCs w:val="22"/>
        </w:rPr>
        <w:t xml:space="preserve"> </w:t>
      </w:r>
      <w:r w:rsidR="00351EBA" w:rsidRPr="0061488A">
        <w:rPr>
          <w:sz w:val="22"/>
          <w:szCs w:val="22"/>
        </w:rPr>
        <w:t xml:space="preserve">linking to clear </w:t>
      </w:r>
      <w:r w:rsidR="00B33045" w:rsidRPr="0061488A">
        <w:rPr>
          <w:sz w:val="22"/>
          <w:szCs w:val="22"/>
        </w:rPr>
        <w:t>outcomes and overall impacts, and c) promote the visibility and a positive perception of REDD+</w:t>
      </w:r>
      <w:r w:rsidR="00351EBA" w:rsidRPr="0061488A">
        <w:rPr>
          <w:sz w:val="22"/>
          <w:szCs w:val="22"/>
        </w:rPr>
        <w:t xml:space="preserve"> and GGP</w:t>
      </w:r>
      <w:r w:rsidR="00B33045" w:rsidRPr="0061488A">
        <w:rPr>
          <w:sz w:val="22"/>
          <w:szCs w:val="22"/>
        </w:rPr>
        <w:t xml:space="preserve">. </w:t>
      </w:r>
      <w:r w:rsidR="00091D50" w:rsidRPr="0061488A">
        <w:rPr>
          <w:sz w:val="22"/>
          <w:szCs w:val="22"/>
        </w:rPr>
        <w:t>In general, s</w:t>
      </w:r>
      <w:r w:rsidR="008C6549" w:rsidRPr="0061488A">
        <w:rPr>
          <w:sz w:val="22"/>
          <w:szCs w:val="22"/>
        </w:rPr>
        <w:t xml:space="preserve">trategy </w:t>
      </w:r>
      <w:r w:rsidR="00041C88" w:rsidRPr="0061488A">
        <w:rPr>
          <w:sz w:val="22"/>
          <w:szCs w:val="22"/>
        </w:rPr>
        <w:t xml:space="preserve">for </w:t>
      </w:r>
      <w:r w:rsidR="008C6549" w:rsidRPr="0061488A">
        <w:rPr>
          <w:sz w:val="22"/>
          <w:szCs w:val="22"/>
        </w:rPr>
        <w:t xml:space="preserve">knowledge management and communication is </w:t>
      </w:r>
      <w:r w:rsidR="00351EBA" w:rsidRPr="0061488A">
        <w:rPr>
          <w:sz w:val="22"/>
          <w:szCs w:val="22"/>
        </w:rPr>
        <w:t xml:space="preserve">done </w:t>
      </w:r>
      <w:r w:rsidR="008C6549" w:rsidRPr="0061488A">
        <w:rPr>
          <w:sz w:val="22"/>
          <w:szCs w:val="22"/>
        </w:rPr>
        <w:t xml:space="preserve">through </w:t>
      </w:r>
      <w:r w:rsidR="00091D50" w:rsidRPr="0061488A">
        <w:rPr>
          <w:sz w:val="22"/>
          <w:szCs w:val="22"/>
        </w:rPr>
        <w:t xml:space="preserve">a) advance information system and platform on REDD+ that link to SIS REDD+ and b) </w:t>
      </w:r>
      <w:r w:rsidR="008C6549" w:rsidRPr="0061488A">
        <w:rPr>
          <w:sz w:val="22"/>
          <w:szCs w:val="22"/>
        </w:rPr>
        <w:t>increase</w:t>
      </w:r>
      <w:r w:rsidR="00CE0C5F" w:rsidRPr="0061488A">
        <w:rPr>
          <w:sz w:val="22"/>
          <w:szCs w:val="22"/>
        </w:rPr>
        <w:t xml:space="preserve"> the </w:t>
      </w:r>
      <w:r w:rsidR="00351EBA" w:rsidRPr="0061488A">
        <w:rPr>
          <w:sz w:val="22"/>
          <w:szCs w:val="22"/>
        </w:rPr>
        <w:t xml:space="preserve">publication of </w:t>
      </w:r>
      <w:r w:rsidR="00CE0C5F" w:rsidRPr="0061488A">
        <w:rPr>
          <w:sz w:val="22"/>
          <w:szCs w:val="22"/>
        </w:rPr>
        <w:t xml:space="preserve">REDD+ </w:t>
      </w:r>
      <w:r w:rsidR="008C6549" w:rsidRPr="0061488A">
        <w:rPr>
          <w:sz w:val="22"/>
          <w:szCs w:val="22"/>
        </w:rPr>
        <w:t>at sub-national scale.</w:t>
      </w:r>
      <w:r w:rsidR="00351EBA" w:rsidRPr="0061488A">
        <w:rPr>
          <w:sz w:val="22"/>
          <w:szCs w:val="22"/>
        </w:rPr>
        <w:t xml:space="preserve"> Good kn</w:t>
      </w:r>
      <w:r w:rsidR="00B33045" w:rsidRPr="0061488A">
        <w:rPr>
          <w:sz w:val="22"/>
          <w:szCs w:val="22"/>
        </w:rPr>
        <w:t xml:space="preserve">owledge management will ensure knowledge on various innovative REDD+ </w:t>
      </w:r>
      <w:r w:rsidR="00351EBA" w:rsidRPr="0061488A">
        <w:rPr>
          <w:sz w:val="22"/>
          <w:szCs w:val="22"/>
        </w:rPr>
        <w:t xml:space="preserve">and GGP activities is widespread </w:t>
      </w:r>
      <w:r w:rsidR="00B33045" w:rsidRPr="0061488A">
        <w:rPr>
          <w:sz w:val="22"/>
          <w:szCs w:val="22"/>
        </w:rPr>
        <w:t>and inform policy dialogue</w:t>
      </w:r>
      <w:r w:rsidR="00351EBA" w:rsidRPr="0061488A">
        <w:rPr>
          <w:sz w:val="22"/>
          <w:szCs w:val="22"/>
        </w:rPr>
        <w:t>s</w:t>
      </w:r>
      <w:r w:rsidR="00B33045" w:rsidRPr="0061488A">
        <w:rPr>
          <w:sz w:val="22"/>
          <w:szCs w:val="22"/>
        </w:rPr>
        <w:t xml:space="preserve"> on REDD</w:t>
      </w:r>
      <w:r w:rsidRPr="0061488A">
        <w:rPr>
          <w:sz w:val="22"/>
          <w:szCs w:val="22"/>
        </w:rPr>
        <w:t>+</w:t>
      </w:r>
      <w:r w:rsidR="00351EBA" w:rsidRPr="0061488A">
        <w:rPr>
          <w:sz w:val="22"/>
          <w:szCs w:val="22"/>
        </w:rPr>
        <w:t xml:space="preserve"> and GGP</w:t>
      </w:r>
      <w:r w:rsidR="00B33045" w:rsidRPr="0061488A">
        <w:rPr>
          <w:sz w:val="22"/>
          <w:szCs w:val="22"/>
        </w:rPr>
        <w:t xml:space="preserve">. While, communication will ensure awareness and understanding in REDD+ </w:t>
      </w:r>
      <w:r w:rsidR="00351EBA" w:rsidRPr="0061488A">
        <w:rPr>
          <w:sz w:val="22"/>
          <w:szCs w:val="22"/>
        </w:rPr>
        <w:t xml:space="preserve">and GGP to be </w:t>
      </w:r>
      <w:r w:rsidR="00B33045" w:rsidRPr="0061488A">
        <w:rPr>
          <w:sz w:val="22"/>
          <w:szCs w:val="22"/>
        </w:rPr>
        <w:t xml:space="preserve">consistent across all communication actions. </w:t>
      </w:r>
    </w:p>
    <w:p w14:paraId="491537D4" w14:textId="77777777" w:rsidR="00CE3E0C" w:rsidRPr="0061488A" w:rsidRDefault="00CE3E0C" w:rsidP="00B33045">
      <w:pPr>
        <w:jc w:val="both"/>
        <w:rPr>
          <w:sz w:val="22"/>
          <w:szCs w:val="22"/>
        </w:rPr>
      </w:pPr>
    </w:p>
    <w:p w14:paraId="4E0BA565" w14:textId="77777777" w:rsidR="00E14098" w:rsidRPr="00C80F34" w:rsidRDefault="00E14098" w:rsidP="00B33045">
      <w:pPr>
        <w:jc w:val="both"/>
      </w:pPr>
    </w:p>
    <w:p w14:paraId="2FD4E451" w14:textId="77777777" w:rsidR="00FA1191" w:rsidRPr="00C80F34" w:rsidRDefault="00FA1191" w:rsidP="00776872">
      <w:pPr>
        <w:pStyle w:val="ListParagraph"/>
        <w:numPr>
          <w:ilvl w:val="0"/>
          <w:numId w:val="6"/>
        </w:numPr>
        <w:spacing w:after="0" w:line="240" w:lineRule="auto"/>
        <w:ind w:left="426" w:hanging="426"/>
        <w:contextualSpacing w:val="0"/>
        <w:rPr>
          <w:rFonts w:ascii="Times New Roman" w:hAnsi="Times New Roman" w:cs="Times New Roman"/>
          <w:b/>
        </w:rPr>
      </w:pPr>
      <w:r w:rsidRPr="00C80F34">
        <w:rPr>
          <w:rFonts w:ascii="Times New Roman" w:hAnsi="Times New Roman" w:cs="Times New Roman"/>
          <w:b/>
        </w:rPr>
        <w:t>Risks, Monitoring and Evaluation</w:t>
      </w:r>
    </w:p>
    <w:p w14:paraId="1547BBFD" w14:textId="77777777" w:rsidR="00774634" w:rsidRPr="00C80F34" w:rsidRDefault="00FA1191" w:rsidP="00776872">
      <w:pPr>
        <w:pStyle w:val="ListParagraph"/>
        <w:numPr>
          <w:ilvl w:val="1"/>
          <w:numId w:val="6"/>
        </w:numPr>
        <w:spacing w:after="0" w:line="240" w:lineRule="auto"/>
        <w:ind w:left="567" w:hanging="567"/>
        <w:contextualSpacing w:val="0"/>
        <w:rPr>
          <w:rFonts w:ascii="Times New Roman" w:hAnsi="Times New Roman" w:cs="Times New Roman"/>
          <w:b/>
        </w:rPr>
      </w:pPr>
      <w:r w:rsidRPr="00C80F34">
        <w:rPr>
          <w:rFonts w:ascii="Times New Roman" w:hAnsi="Times New Roman" w:cs="Times New Roman"/>
          <w:b/>
        </w:rPr>
        <w:t>Risk Management</w:t>
      </w:r>
    </w:p>
    <w:tbl>
      <w:tblPr>
        <w:tblStyle w:val="TableGrid"/>
        <w:tblW w:w="10490" w:type="dxa"/>
        <w:tblInd w:w="-5" w:type="dxa"/>
        <w:tblLook w:val="04A0" w:firstRow="1" w:lastRow="0" w:firstColumn="1" w:lastColumn="0" w:noHBand="0" w:noVBand="1"/>
      </w:tblPr>
      <w:tblGrid>
        <w:gridCol w:w="4962"/>
        <w:gridCol w:w="5528"/>
      </w:tblGrid>
      <w:tr w:rsidR="00722EE8" w:rsidRPr="00C80F34" w14:paraId="5E74786A" w14:textId="77777777" w:rsidTr="00D25B32">
        <w:trPr>
          <w:trHeight w:val="230"/>
        </w:trPr>
        <w:tc>
          <w:tcPr>
            <w:tcW w:w="4962" w:type="dxa"/>
            <w:vAlign w:val="center"/>
          </w:tcPr>
          <w:p w14:paraId="7C03941A" w14:textId="77777777" w:rsidR="00722EE8" w:rsidRPr="00C80F34" w:rsidRDefault="00722EE8" w:rsidP="001F3CF0">
            <w:pPr>
              <w:spacing w:before="40" w:after="40"/>
              <w:jc w:val="center"/>
              <w:rPr>
                <w:b/>
                <w:sz w:val="20"/>
                <w:szCs w:val="20"/>
              </w:rPr>
            </w:pPr>
            <w:r w:rsidRPr="00C80F34">
              <w:rPr>
                <w:b/>
                <w:sz w:val="20"/>
                <w:szCs w:val="20"/>
              </w:rPr>
              <w:t>Key Assumption</w:t>
            </w:r>
          </w:p>
        </w:tc>
        <w:tc>
          <w:tcPr>
            <w:tcW w:w="5528" w:type="dxa"/>
          </w:tcPr>
          <w:p w14:paraId="30559651" w14:textId="77777777" w:rsidR="00722EE8" w:rsidRPr="00C80F34" w:rsidRDefault="00722EE8" w:rsidP="001F3CF0">
            <w:pPr>
              <w:spacing w:before="40" w:after="40"/>
              <w:jc w:val="center"/>
              <w:rPr>
                <w:b/>
                <w:sz w:val="20"/>
                <w:szCs w:val="20"/>
              </w:rPr>
            </w:pPr>
            <w:r w:rsidRPr="00C80F34">
              <w:rPr>
                <w:b/>
                <w:sz w:val="20"/>
                <w:szCs w:val="20"/>
              </w:rPr>
              <w:t>Mitigation Plan</w:t>
            </w:r>
          </w:p>
        </w:tc>
      </w:tr>
      <w:tr w:rsidR="00722EE8" w:rsidRPr="00C80F34" w14:paraId="7A78DC38" w14:textId="77777777" w:rsidTr="00D25B32">
        <w:tc>
          <w:tcPr>
            <w:tcW w:w="4962" w:type="dxa"/>
          </w:tcPr>
          <w:p w14:paraId="353C764A" w14:textId="4D0A1B0C" w:rsidR="00722EE8" w:rsidRPr="00C80F34" w:rsidRDefault="00351EBA" w:rsidP="005F4F0C">
            <w:pPr>
              <w:spacing w:before="40" w:after="40"/>
              <w:rPr>
                <w:sz w:val="20"/>
                <w:szCs w:val="20"/>
              </w:rPr>
            </w:pPr>
            <w:r w:rsidRPr="00C80F34">
              <w:rPr>
                <w:sz w:val="20"/>
                <w:szCs w:val="20"/>
              </w:rPr>
              <w:t xml:space="preserve">Change in leadership, regime </w:t>
            </w:r>
            <w:r w:rsidR="00722EE8" w:rsidRPr="00C80F34">
              <w:rPr>
                <w:sz w:val="20"/>
                <w:szCs w:val="20"/>
              </w:rPr>
              <w:t xml:space="preserve">or bureaucracy structure at national and </w:t>
            </w:r>
            <w:r w:rsidR="00635679" w:rsidRPr="00C80F34">
              <w:rPr>
                <w:sz w:val="20"/>
                <w:szCs w:val="20"/>
              </w:rPr>
              <w:t xml:space="preserve">sub-national </w:t>
            </w:r>
            <w:r w:rsidR="00722EE8" w:rsidRPr="00C80F34">
              <w:rPr>
                <w:sz w:val="20"/>
                <w:szCs w:val="20"/>
              </w:rPr>
              <w:t>levels</w:t>
            </w:r>
          </w:p>
        </w:tc>
        <w:tc>
          <w:tcPr>
            <w:tcW w:w="5528" w:type="dxa"/>
          </w:tcPr>
          <w:p w14:paraId="6B92D16B" w14:textId="17BC810A" w:rsidR="00722EE8" w:rsidRPr="00C80F34" w:rsidRDefault="00722EE8" w:rsidP="001F3CF0">
            <w:pPr>
              <w:spacing w:before="40" w:after="40"/>
              <w:rPr>
                <w:sz w:val="20"/>
                <w:szCs w:val="20"/>
              </w:rPr>
            </w:pPr>
            <w:r w:rsidRPr="00C80F34">
              <w:rPr>
                <w:sz w:val="20"/>
                <w:szCs w:val="20"/>
              </w:rPr>
              <w:t>Developing an adaptive pathway of SRAP REDD+</w:t>
            </w:r>
            <w:r w:rsidR="00635679" w:rsidRPr="00C80F34">
              <w:rPr>
                <w:sz w:val="20"/>
                <w:szCs w:val="20"/>
              </w:rPr>
              <w:t xml:space="preserve"> and GGP </w:t>
            </w:r>
            <w:r w:rsidR="00E14098" w:rsidRPr="00C80F34">
              <w:rPr>
                <w:sz w:val="20"/>
                <w:szCs w:val="20"/>
              </w:rPr>
              <w:t xml:space="preserve">in a PERDA </w:t>
            </w:r>
            <w:r w:rsidRPr="00C80F34">
              <w:rPr>
                <w:sz w:val="20"/>
                <w:szCs w:val="20"/>
              </w:rPr>
              <w:t>that resilient to the Regime o</w:t>
            </w:r>
            <w:r w:rsidR="00E14098" w:rsidRPr="00C80F34">
              <w:rPr>
                <w:sz w:val="20"/>
                <w:szCs w:val="20"/>
              </w:rPr>
              <w:t>r bureaucracy structure change</w:t>
            </w:r>
            <w:r w:rsidRPr="00C80F34">
              <w:rPr>
                <w:sz w:val="20"/>
                <w:szCs w:val="20"/>
              </w:rPr>
              <w:t xml:space="preserve"> </w:t>
            </w:r>
          </w:p>
        </w:tc>
      </w:tr>
      <w:tr w:rsidR="00722EE8" w:rsidRPr="00C80F34" w14:paraId="5B297FAB" w14:textId="77777777" w:rsidTr="00D25B32">
        <w:tc>
          <w:tcPr>
            <w:tcW w:w="4962" w:type="dxa"/>
          </w:tcPr>
          <w:p w14:paraId="09A55558" w14:textId="35AF22C4" w:rsidR="00722EE8" w:rsidRPr="00C80F34" w:rsidRDefault="00722EE8" w:rsidP="005F4F0C">
            <w:pPr>
              <w:spacing w:before="40" w:after="40"/>
              <w:rPr>
                <w:sz w:val="20"/>
                <w:szCs w:val="20"/>
              </w:rPr>
            </w:pPr>
            <w:r w:rsidRPr="00C80F34">
              <w:rPr>
                <w:sz w:val="20"/>
                <w:szCs w:val="20"/>
              </w:rPr>
              <w:t>Stakeholder</w:t>
            </w:r>
            <w:r w:rsidR="00E14098" w:rsidRPr="00C80F34">
              <w:rPr>
                <w:sz w:val="20"/>
                <w:szCs w:val="20"/>
              </w:rPr>
              <w:t>s</w:t>
            </w:r>
            <w:r w:rsidRPr="00C80F34">
              <w:rPr>
                <w:sz w:val="20"/>
                <w:szCs w:val="20"/>
              </w:rPr>
              <w:t xml:space="preserve"> that </w:t>
            </w:r>
            <w:r w:rsidR="00635679" w:rsidRPr="00C80F34">
              <w:rPr>
                <w:sz w:val="20"/>
                <w:szCs w:val="20"/>
              </w:rPr>
              <w:t xml:space="preserve">are relevant </w:t>
            </w:r>
            <w:r w:rsidRPr="00C80F34">
              <w:rPr>
                <w:sz w:val="20"/>
                <w:szCs w:val="20"/>
              </w:rPr>
              <w:t xml:space="preserve">to REDD+ </w:t>
            </w:r>
            <w:r w:rsidR="00635679" w:rsidRPr="00C80F34">
              <w:rPr>
                <w:sz w:val="20"/>
                <w:szCs w:val="20"/>
              </w:rPr>
              <w:t xml:space="preserve">and GGP </w:t>
            </w:r>
            <w:r w:rsidR="00E14098" w:rsidRPr="00C80F34">
              <w:rPr>
                <w:sz w:val="20"/>
                <w:szCs w:val="20"/>
              </w:rPr>
              <w:t>are not keen to</w:t>
            </w:r>
            <w:r w:rsidRPr="00C80F34">
              <w:rPr>
                <w:sz w:val="20"/>
                <w:szCs w:val="20"/>
              </w:rPr>
              <w:t xml:space="preserve"> give their data as baseline data for </w:t>
            </w:r>
            <w:r w:rsidR="00E14098" w:rsidRPr="00C80F34">
              <w:rPr>
                <w:sz w:val="20"/>
                <w:szCs w:val="20"/>
              </w:rPr>
              <w:t xml:space="preserve">the </w:t>
            </w:r>
            <w:r w:rsidRPr="00C80F34">
              <w:rPr>
                <w:sz w:val="20"/>
                <w:szCs w:val="20"/>
              </w:rPr>
              <w:t>MRV</w:t>
            </w:r>
          </w:p>
        </w:tc>
        <w:tc>
          <w:tcPr>
            <w:tcW w:w="5528" w:type="dxa"/>
          </w:tcPr>
          <w:p w14:paraId="26C7D455" w14:textId="1AD593A5" w:rsidR="00722EE8" w:rsidRPr="00C80F34" w:rsidRDefault="00635679" w:rsidP="005F4F0C">
            <w:pPr>
              <w:spacing w:before="40" w:after="40"/>
              <w:rPr>
                <w:sz w:val="20"/>
                <w:szCs w:val="20"/>
              </w:rPr>
            </w:pPr>
            <w:r w:rsidRPr="00C80F34">
              <w:rPr>
                <w:sz w:val="20"/>
                <w:szCs w:val="20"/>
              </w:rPr>
              <w:t xml:space="preserve">Encouraging </w:t>
            </w:r>
            <w:r w:rsidR="004D1C33" w:rsidRPr="00C80F34">
              <w:rPr>
                <w:sz w:val="20"/>
                <w:szCs w:val="20"/>
              </w:rPr>
              <w:t xml:space="preserve">governor decree or instruction on data sharing for </w:t>
            </w:r>
            <w:r w:rsidR="00E14098" w:rsidRPr="00C80F34">
              <w:rPr>
                <w:sz w:val="20"/>
                <w:szCs w:val="20"/>
              </w:rPr>
              <w:t xml:space="preserve">all stakeholders in the Province </w:t>
            </w:r>
          </w:p>
        </w:tc>
      </w:tr>
      <w:tr w:rsidR="00722EE8" w:rsidRPr="00C80F34" w14:paraId="1DE7E7FF" w14:textId="77777777" w:rsidTr="00D25B32">
        <w:tc>
          <w:tcPr>
            <w:tcW w:w="4962" w:type="dxa"/>
          </w:tcPr>
          <w:p w14:paraId="6213A533" w14:textId="0E8DDDA3" w:rsidR="00722EE8" w:rsidRPr="00C80F34" w:rsidRDefault="00722EE8" w:rsidP="005F4F0C">
            <w:pPr>
              <w:spacing w:before="40" w:after="40"/>
              <w:rPr>
                <w:sz w:val="20"/>
                <w:szCs w:val="20"/>
              </w:rPr>
            </w:pPr>
            <w:r w:rsidRPr="00C80F34">
              <w:rPr>
                <w:sz w:val="20"/>
                <w:szCs w:val="20"/>
              </w:rPr>
              <w:t xml:space="preserve">The SRAP REDD+ is still </w:t>
            </w:r>
            <w:r w:rsidR="00635679" w:rsidRPr="00C80F34">
              <w:rPr>
                <w:sz w:val="20"/>
                <w:szCs w:val="20"/>
              </w:rPr>
              <w:t xml:space="preserve">perceived </w:t>
            </w:r>
            <w:r w:rsidRPr="00C80F34">
              <w:rPr>
                <w:sz w:val="20"/>
                <w:szCs w:val="20"/>
              </w:rPr>
              <w:t xml:space="preserve">as </w:t>
            </w:r>
            <w:r w:rsidR="00635679" w:rsidRPr="00C80F34">
              <w:rPr>
                <w:sz w:val="20"/>
                <w:szCs w:val="20"/>
              </w:rPr>
              <w:t xml:space="preserve">an </w:t>
            </w:r>
            <w:r w:rsidRPr="00C80F34">
              <w:rPr>
                <w:sz w:val="20"/>
                <w:szCs w:val="20"/>
              </w:rPr>
              <w:t>exclusive government owned-strategy and action plan rather than stakeholder owned-strategy and action plan</w:t>
            </w:r>
          </w:p>
        </w:tc>
        <w:tc>
          <w:tcPr>
            <w:tcW w:w="5528" w:type="dxa"/>
          </w:tcPr>
          <w:p w14:paraId="26B58CD1" w14:textId="77777777" w:rsidR="00722EE8" w:rsidRPr="00C80F34" w:rsidRDefault="004D1C33" w:rsidP="001F3CF0">
            <w:pPr>
              <w:spacing w:before="40" w:after="40"/>
              <w:rPr>
                <w:sz w:val="20"/>
                <w:szCs w:val="20"/>
              </w:rPr>
            </w:pPr>
            <w:r w:rsidRPr="00C80F34">
              <w:rPr>
                <w:sz w:val="20"/>
                <w:szCs w:val="20"/>
              </w:rPr>
              <w:t xml:space="preserve">Mainstreaming SRAP REDD+ </w:t>
            </w:r>
            <w:r w:rsidR="00E14098" w:rsidRPr="00C80F34">
              <w:rPr>
                <w:sz w:val="20"/>
                <w:szCs w:val="20"/>
              </w:rPr>
              <w:t>as a multi-</w:t>
            </w:r>
            <w:r w:rsidRPr="00C80F34">
              <w:rPr>
                <w:sz w:val="20"/>
                <w:szCs w:val="20"/>
              </w:rPr>
              <w:t>stakeholder owned-strategy and action plan</w:t>
            </w:r>
          </w:p>
        </w:tc>
      </w:tr>
      <w:tr w:rsidR="00722EE8" w:rsidRPr="00C80F34" w14:paraId="51EDAC74" w14:textId="77777777" w:rsidTr="00D25B32">
        <w:tc>
          <w:tcPr>
            <w:tcW w:w="4962" w:type="dxa"/>
          </w:tcPr>
          <w:p w14:paraId="64BBF2B5" w14:textId="77777777" w:rsidR="00722EE8" w:rsidRPr="00C80F34" w:rsidRDefault="00E14098" w:rsidP="001F3CF0">
            <w:pPr>
              <w:spacing w:before="40" w:after="40"/>
              <w:rPr>
                <w:sz w:val="20"/>
                <w:szCs w:val="20"/>
              </w:rPr>
            </w:pPr>
            <w:r w:rsidRPr="00C80F34">
              <w:rPr>
                <w:sz w:val="20"/>
                <w:szCs w:val="20"/>
              </w:rPr>
              <w:t>No</w:t>
            </w:r>
            <w:r w:rsidR="00722EE8" w:rsidRPr="00C80F34">
              <w:rPr>
                <w:sz w:val="20"/>
                <w:szCs w:val="20"/>
              </w:rPr>
              <w:t xml:space="preserve"> </w:t>
            </w:r>
            <w:r w:rsidRPr="00C80F34">
              <w:rPr>
                <w:sz w:val="20"/>
                <w:szCs w:val="20"/>
              </w:rPr>
              <w:t xml:space="preserve">long term </w:t>
            </w:r>
            <w:r w:rsidR="00722EE8" w:rsidRPr="00C80F34">
              <w:rPr>
                <w:sz w:val="20"/>
                <w:szCs w:val="20"/>
              </w:rPr>
              <w:t xml:space="preserve">financial commitment </w:t>
            </w:r>
            <w:r w:rsidRPr="00C80F34">
              <w:rPr>
                <w:sz w:val="20"/>
                <w:szCs w:val="20"/>
              </w:rPr>
              <w:t>made under this</w:t>
            </w:r>
            <w:r w:rsidR="00722EE8" w:rsidRPr="00C80F34">
              <w:rPr>
                <w:sz w:val="20"/>
                <w:szCs w:val="20"/>
              </w:rPr>
              <w:t xml:space="preserve"> project </w:t>
            </w:r>
            <w:r w:rsidRPr="00C80F34">
              <w:rPr>
                <w:sz w:val="20"/>
                <w:szCs w:val="20"/>
              </w:rPr>
              <w:t>could harm</w:t>
            </w:r>
            <w:r w:rsidR="00722EE8" w:rsidRPr="00C80F34">
              <w:rPr>
                <w:sz w:val="20"/>
                <w:szCs w:val="20"/>
              </w:rPr>
              <w:t xml:space="preserve"> the project sustainability</w:t>
            </w:r>
          </w:p>
        </w:tc>
        <w:tc>
          <w:tcPr>
            <w:tcW w:w="5528" w:type="dxa"/>
          </w:tcPr>
          <w:p w14:paraId="195AF820" w14:textId="2D244FDC" w:rsidR="00722EE8" w:rsidRPr="00C80F34" w:rsidRDefault="004D1C33" w:rsidP="001F3CF0">
            <w:pPr>
              <w:spacing w:before="40" w:after="40"/>
              <w:rPr>
                <w:sz w:val="20"/>
                <w:szCs w:val="20"/>
              </w:rPr>
            </w:pPr>
            <w:r w:rsidRPr="00C80F34">
              <w:rPr>
                <w:sz w:val="20"/>
                <w:szCs w:val="20"/>
              </w:rPr>
              <w:t xml:space="preserve">Instead of external financing (donors or private sector), </w:t>
            </w:r>
            <w:r w:rsidR="00E14098" w:rsidRPr="00C80F34">
              <w:rPr>
                <w:sz w:val="20"/>
                <w:szCs w:val="20"/>
              </w:rPr>
              <w:t xml:space="preserve">the </w:t>
            </w:r>
            <w:r w:rsidRPr="00C80F34">
              <w:rPr>
                <w:sz w:val="20"/>
                <w:szCs w:val="20"/>
              </w:rPr>
              <w:t>national and regional budget will be endorsed as a commitment for the SRAP REDD+</w:t>
            </w:r>
            <w:r w:rsidR="00E14098" w:rsidRPr="00C80F34">
              <w:rPr>
                <w:sz w:val="20"/>
                <w:szCs w:val="20"/>
              </w:rPr>
              <w:t xml:space="preserve"> implementation</w:t>
            </w:r>
            <w:r w:rsidR="00635679" w:rsidRPr="00C80F34">
              <w:rPr>
                <w:sz w:val="20"/>
                <w:szCs w:val="20"/>
              </w:rPr>
              <w:t xml:space="preserve"> (e.g. through fiscal transfer etc.)</w:t>
            </w:r>
          </w:p>
        </w:tc>
      </w:tr>
      <w:tr w:rsidR="00722EE8" w:rsidRPr="00C80F34" w14:paraId="7C40C8E5" w14:textId="77777777" w:rsidTr="00D25B32">
        <w:tc>
          <w:tcPr>
            <w:tcW w:w="4962" w:type="dxa"/>
          </w:tcPr>
          <w:p w14:paraId="25FDCD43" w14:textId="77777777" w:rsidR="00722EE8" w:rsidRPr="00C80F34" w:rsidRDefault="00722EE8" w:rsidP="001F3CF0">
            <w:pPr>
              <w:spacing w:before="40" w:after="40"/>
              <w:rPr>
                <w:sz w:val="20"/>
                <w:szCs w:val="20"/>
              </w:rPr>
            </w:pPr>
            <w:r w:rsidRPr="00C80F34">
              <w:rPr>
                <w:sz w:val="20"/>
                <w:szCs w:val="20"/>
              </w:rPr>
              <w:t xml:space="preserve">Lack of efforts to encourage relevant regulation to support SRAP REDD+. </w:t>
            </w:r>
          </w:p>
        </w:tc>
        <w:tc>
          <w:tcPr>
            <w:tcW w:w="5528" w:type="dxa"/>
          </w:tcPr>
          <w:p w14:paraId="14B84521" w14:textId="77777777" w:rsidR="00722EE8" w:rsidRPr="00C80F34" w:rsidRDefault="004D1C33" w:rsidP="001F3CF0">
            <w:pPr>
              <w:spacing w:before="40" w:after="40"/>
              <w:rPr>
                <w:sz w:val="20"/>
                <w:szCs w:val="20"/>
              </w:rPr>
            </w:pPr>
            <w:r w:rsidRPr="00C80F34">
              <w:rPr>
                <w:sz w:val="20"/>
                <w:szCs w:val="20"/>
              </w:rPr>
              <w:t xml:space="preserve">Provide technical assistance for sectoral institution to encourage regulation that support </w:t>
            </w:r>
            <w:r w:rsidR="00E14098" w:rsidRPr="00C80F34">
              <w:rPr>
                <w:sz w:val="20"/>
                <w:szCs w:val="20"/>
              </w:rPr>
              <w:t xml:space="preserve">the </w:t>
            </w:r>
            <w:r w:rsidRPr="00C80F34">
              <w:rPr>
                <w:sz w:val="20"/>
                <w:szCs w:val="20"/>
              </w:rPr>
              <w:t>SRAP REDD</w:t>
            </w:r>
            <w:r w:rsidR="00E14098" w:rsidRPr="00C80F34">
              <w:rPr>
                <w:sz w:val="20"/>
                <w:szCs w:val="20"/>
              </w:rPr>
              <w:t>+</w:t>
            </w:r>
            <w:r w:rsidRPr="00C80F34">
              <w:rPr>
                <w:sz w:val="20"/>
                <w:szCs w:val="20"/>
              </w:rPr>
              <w:t xml:space="preserve"> implementation</w:t>
            </w:r>
          </w:p>
        </w:tc>
      </w:tr>
      <w:tr w:rsidR="00B17543" w:rsidRPr="00C80F34" w14:paraId="5BC880D4" w14:textId="77777777" w:rsidTr="00D25B32">
        <w:tc>
          <w:tcPr>
            <w:tcW w:w="4962" w:type="dxa"/>
          </w:tcPr>
          <w:p w14:paraId="2441776D" w14:textId="316B0050" w:rsidR="00B17543" w:rsidRPr="00C80F34" w:rsidRDefault="0029203B" w:rsidP="001F3CF0">
            <w:pPr>
              <w:spacing w:before="40" w:after="40"/>
              <w:rPr>
                <w:sz w:val="20"/>
                <w:szCs w:val="20"/>
              </w:rPr>
            </w:pPr>
            <w:r w:rsidRPr="00C80F34">
              <w:rPr>
                <w:sz w:val="20"/>
                <w:szCs w:val="20"/>
              </w:rPr>
              <w:t xml:space="preserve">Lack of </w:t>
            </w:r>
            <w:r w:rsidR="00044FE9" w:rsidRPr="00C80F34">
              <w:rPr>
                <w:sz w:val="20"/>
                <w:szCs w:val="20"/>
              </w:rPr>
              <w:t>power sharing</w:t>
            </w:r>
            <w:r w:rsidR="005054FA" w:rsidRPr="00C80F34">
              <w:rPr>
                <w:sz w:val="20"/>
                <w:szCs w:val="20"/>
              </w:rPr>
              <w:t xml:space="preserve"> not improving </w:t>
            </w:r>
            <w:r w:rsidRPr="00C80F34">
              <w:rPr>
                <w:sz w:val="20"/>
                <w:szCs w:val="20"/>
              </w:rPr>
              <w:t xml:space="preserve">equal </w:t>
            </w:r>
            <w:r w:rsidR="005054FA" w:rsidRPr="00C80F34">
              <w:rPr>
                <w:sz w:val="20"/>
                <w:szCs w:val="20"/>
              </w:rPr>
              <w:t xml:space="preserve">gender </w:t>
            </w:r>
            <w:r w:rsidRPr="00C80F34">
              <w:rPr>
                <w:sz w:val="20"/>
                <w:szCs w:val="20"/>
              </w:rPr>
              <w:t>participation in REDD+ implementation</w:t>
            </w:r>
          </w:p>
        </w:tc>
        <w:tc>
          <w:tcPr>
            <w:tcW w:w="5528" w:type="dxa"/>
          </w:tcPr>
          <w:p w14:paraId="7E8F554E" w14:textId="3F6BCC75" w:rsidR="00B17543" w:rsidRPr="00456560" w:rsidRDefault="0029203B" w:rsidP="001F3CF0">
            <w:pPr>
              <w:spacing w:before="40" w:after="40"/>
              <w:rPr>
                <w:sz w:val="20"/>
                <w:szCs w:val="20"/>
              </w:rPr>
            </w:pPr>
            <w:r w:rsidRPr="00C80F34">
              <w:rPr>
                <w:sz w:val="20"/>
                <w:szCs w:val="20"/>
              </w:rPr>
              <w:t xml:space="preserve">Ensuring that power sharing will be prioritised by the project team including by the Provincial Government to let female staffs step up in supporting the project, including ensuring the </w:t>
            </w:r>
            <w:r w:rsidR="00456560">
              <w:rPr>
                <w:sz w:val="20"/>
                <w:szCs w:val="20"/>
              </w:rPr>
              <w:t>participation of women in the series of</w:t>
            </w:r>
            <w:r w:rsidRPr="00456560">
              <w:rPr>
                <w:sz w:val="20"/>
                <w:szCs w:val="20"/>
              </w:rPr>
              <w:t xml:space="preserve"> meetings and public consultation</w:t>
            </w:r>
            <w:r w:rsidR="00456560">
              <w:rPr>
                <w:sz w:val="20"/>
                <w:szCs w:val="20"/>
              </w:rPr>
              <w:t>s</w:t>
            </w:r>
            <w:r w:rsidRPr="00456560">
              <w:rPr>
                <w:sz w:val="20"/>
                <w:szCs w:val="20"/>
              </w:rPr>
              <w:t xml:space="preserve"> at least 30% from the total participants</w:t>
            </w:r>
          </w:p>
        </w:tc>
      </w:tr>
    </w:tbl>
    <w:p w14:paraId="5C67E516" w14:textId="77777777" w:rsidR="00722EE8" w:rsidRPr="00C80F34" w:rsidRDefault="00722EE8" w:rsidP="00722EE8">
      <w:pPr>
        <w:pStyle w:val="ListParagraph"/>
        <w:spacing w:after="0" w:line="240" w:lineRule="auto"/>
        <w:ind w:left="567"/>
        <w:contextualSpacing w:val="0"/>
        <w:rPr>
          <w:rFonts w:ascii="Times New Roman" w:hAnsi="Times New Roman" w:cs="Times New Roman"/>
          <w:b/>
        </w:rPr>
      </w:pPr>
    </w:p>
    <w:p w14:paraId="216DFB7D" w14:textId="1B6F5713" w:rsidR="00700207" w:rsidRPr="0061488A" w:rsidRDefault="00FA1191" w:rsidP="0061488A">
      <w:pPr>
        <w:pStyle w:val="ListParagraph"/>
        <w:numPr>
          <w:ilvl w:val="1"/>
          <w:numId w:val="6"/>
        </w:numPr>
        <w:spacing w:after="0" w:line="276" w:lineRule="auto"/>
        <w:ind w:left="567" w:hanging="567"/>
        <w:contextualSpacing w:val="0"/>
        <w:rPr>
          <w:rFonts w:ascii="Times New Roman" w:hAnsi="Times New Roman" w:cs="Times New Roman"/>
          <w:b/>
        </w:rPr>
      </w:pPr>
      <w:r w:rsidRPr="00C80F34">
        <w:rPr>
          <w:rFonts w:ascii="Times New Roman" w:hAnsi="Times New Roman" w:cs="Times New Roman"/>
          <w:b/>
        </w:rPr>
        <w:t>Monitoring</w:t>
      </w:r>
    </w:p>
    <w:p w14:paraId="42B64134" w14:textId="60D9700F" w:rsidR="00EC3C70" w:rsidRPr="0061488A" w:rsidRDefault="001F05F2" w:rsidP="004A5040">
      <w:pPr>
        <w:jc w:val="both"/>
        <w:rPr>
          <w:sz w:val="22"/>
          <w:szCs w:val="22"/>
        </w:rPr>
      </w:pPr>
      <w:r w:rsidRPr="0061488A">
        <w:rPr>
          <w:sz w:val="22"/>
          <w:szCs w:val="22"/>
        </w:rPr>
        <w:t xml:space="preserve">YIDH has developed Result Measurement Framework </w:t>
      </w:r>
      <w:r w:rsidR="00A36714" w:rsidRPr="0061488A">
        <w:rPr>
          <w:sz w:val="22"/>
          <w:szCs w:val="22"/>
        </w:rPr>
        <w:t xml:space="preserve">(RMF) </w:t>
      </w:r>
      <w:r w:rsidR="00E14098" w:rsidRPr="0061488A">
        <w:rPr>
          <w:sz w:val="22"/>
          <w:szCs w:val="22"/>
        </w:rPr>
        <w:t xml:space="preserve">approach </w:t>
      </w:r>
      <w:r w:rsidRPr="0061488A">
        <w:rPr>
          <w:sz w:val="22"/>
          <w:szCs w:val="22"/>
        </w:rPr>
        <w:t>to measure</w:t>
      </w:r>
      <w:r w:rsidR="00776EFB" w:rsidRPr="0061488A">
        <w:rPr>
          <w:sz w:val="22"/>
          <w:szCs w:val="22"/>
        </w:rPr>
        <w:t xml:space="preserve"> project</w:t>
      </w:r>
      <w:r w:rsidR="00EC3C70" w:rsidRPr="0061488A">
        <w:rPr>
          <w:sz w:val="22"/>
          <w:szCs w:val="22"/>
        </w:rPr>
        <w:t xml:space="preserve"> ouput and its</w:t>
      </w:r>
      <w:r w:rsidRPr="0061488A">
        <w:rPr>
          <w:sz w:val="22"/>
          <w:szCs w:val="22"/>
        </w:rPr>
        <w:t xml:space="preserve"> impact. T</w:t>
      </w:r>
      <w:r w:rsidR="00A35F92" w:rsidRPr="0061488A">
        <w:rPr>
          <w:sz w:val="22"/>
          <w:szCs w:val="22"/>
        </w:rPr>
        <w:t>he framework has 3 result areas - c</w:t>
      </w:r>
      <w:r w:rsidRPr="0061488A">
        <w:rPr>
          <w:sz w:val="22"/>
          <w:szCs w:val="22"/>
        </w:rPr>
        <w:t xml:space="preserve">hange in business practices, improved sector governance and improved field-level sustainability </w:t>
      </w:r>
      <w:r w:rsidR="00A35F92" w:rsidRPr="0061488A">
        <w:rPr>
          <w:sz w:val="22"/>
          <w:szCs w:val="22"/>
        </w:rPr>
        <w:t xml:space="preserve">to making </w:t>
      </w:r>
      <w:r w:rsidR="00E14098" w:rsidRPr="0061488A">
        <w:rPr>
          <w:sz w:val="22"/>
          <w:szCs w:val="22"/>
        </w:rPr>
        <w:t xml:space="preserve">the </w:t>
      </w:r>
      <w:r w:rsidR="00A35F92" w:rsidRPr="0061488A">
        <w:rPr>
          <w:sz w:val="22"/>
          <w:szCs w:val="22"/>
        </w:rPr>
        <w:t xml:space="preserve">impact. </w:t>
      </w:r>
      <w:r w:rsidR="00776EFB" w:rsidRPr="0061488A">
        <w:rPr>
          <w:sz w:val="22"/>
          <w:szCs w:val="22"/>
        </w:rPr>
        <w:t>They are captured in Key Performance Indicators (KPIs)</w:t>
      </w:r>
      <w:r w:rsidR="00EC3C70" w:rsidRPr="0061488A">
        <w:rPr>
          <w:sz w:val="22"/>
          <w:szCs w:val="22"/>
        </w:rPr>
        <w:t xml:space="preserve"> that will be collected by </w:t>
      </w:r>
      <w:r w:rsidR="00707789" w:rsidRPr="0061488A">
        <w:rPr>
          <w:sz w:val="22"/>
          <w:szCs w:val="22"/>
        </w:rPr>
        <w:t>co</w:t>
      </w:r>
      <w:r w:rsidR="00AB37A9" w:rsidRPr="0061488A">
        <w:rPr>
          <w:sz w:val="22"/>
          <w:szCs w:val="22"/>
        </w:rPr>
        <w:t>nducting</w:t>
      </w:r>
      <w:r w:rsidR="00707789" w:rsidRPr="0061488A">
        <w:rPr>
          <w:sz w:val="22"/>
          <w:szCs w:val="22"/>
        </w:rPr>
        <w:t xml:space="preserve"> </w:t>
      </w:r>
      <w:r w:rsidR="004D1C33" w:rsidRPr="0061488A">
        <w:rPr>
          <w:sz w:val="22"/>
          <w:szCs w:val="22"/>
        </w:rPr>
        <w:t>field</w:t>
      </w:r>
      <w:r w:rsidR="00776EFB" w:rsidRPr="0061488A">
        <w:rPr>
          <w:sz w:val="22"/>
          <w:szCs w:val="22"/>
        </w:rPr>
        <w:t xml:space="preserve"> visit, focus group discussion</w:t>
      </w:r>
      <w:r w:rsidR="00744182" w:rsidRPr="0061488A">
        <w:rPr>
          <w:sz w:val="22"/>
          <w:szCs w:val="22"/>
        </w:rPr>
        <w:t>s</w:t>
      </w:r>
      <w:r w:rsidR="00776EFB" w:rsidRPr="0061488A">
        <w:rPr>
          <w:sz w:val="22"/>
          <w:szCs w:val="22"/>
        </w:rPr>
        <w:t xml:space="preserve"> </w:t>
      </w:r>
      <w:r w:rsidR="004D1C33" w:rsidRPr="0061488A">
        <w:rPr>
          <w:sz w:val="22"/>
          <w:szCs w:val="22"/>
        </w:rPr>
        <w:t>and workshop</w:t>
      </w:r>
      <w:r w:rsidR="00744182" w:rsidRPr="0061488A">
        <w:rPr>
          <w:sz w:val="22"/>
          <w:szCs w:val="22"/>
        </w:rPr>
        <w:t>s</w:t>
      </w:r>
      <w:r w:rsidR="004D1C33" w:rsidRPr="0061488A">
        <w:rPr>
          <w:sz w:val="22"/>
          <w:szCs w:val="22"/>
        </w:rPr>
        <w:t>.</w:t>
      </w:r>
      <w:r w:rsidR="008C35AB" w:rsidRPr="0061488A">
        <w:rPr>
          <w:sz w:val="22"/>
          <w:szCs w:val="22"/>
        </w:rPr>
        <w:t xml:space="preserve"> There are t</w:t>
      </w:r>
      <w:r w:rsidR="00776EFB" w:rsidRPr="0061488A">
        <w:rPr>
          <w:sz w:val="22"/>
          <w:szCs w:val="22"/>
        </w:rPr>
        <w:t>wo</w:t>
      </w:r>
      <w:r w:rsidR="004D1C33" w:rsidRPr="0061488A">
        <w:rPr>
          <w:sz w:val="22"/>
          <w:szCs w:val="22"/>
        </w:rPr>
        <w:t xml:space="preserve"> schemes of monitoring</w:t>
      </w:r>
      <w:r w:rsidR="00776EFB" w:rsidRPr="0061488A">
        <w:rPr>
          <w:sz w:val="22"/>
          <w:szCs w:val="22"/>
        </w:rPr>
        <w:t xml:space="preserve"> </w:t>
      </w:r>
      <w:r w:rsidR="00707789" w:rsidRPr="0061488A">
        <w:rPr>
          <w:sz w:val="22"/>
          <w:szCs w:val="22"/>
        </w:rPr>
        <w:t xml:space="preserve">that </w:t>
      </w:r>
      <w:r w:rsidR="00776EFB" w:rsidRPr="0061488A">
        <w:rPr>
          <w:sz w:val="22"/>
          <w:szCs w:val="22"/>
        </w:rPr>
        <w:t xml:space="preserve">will be used for </w:t>
      </w:r>
      <w:r w:rsidR="00707789" w:rsidRPr="0061488A">
        <w:rPr>
          <w:sz w:val="22"/>
          <w:szCs w:val="22"/>
        </w:rPr>
        <w:t xml:space="preserve">assessing </w:t>
      </w:r>
      <w:r w:rsidR="00776EFB" w:rsidRPr="0061488A">
        <w:rPr>
          <w:sz w:val="22"/>
          <w:szCs w:val="22"/>
        </w:rPr>
        <w:t xml:space="preserve">KPIs: </w:t>
      </w:r>
      <w:r w:rsidR="004D1C33" w:rsidRPr="0061488A">
        <w:rPr>
          <w:sz w:val="22"/>
          <w:szCs w:val="22"/>
        </w:rPr>
        <w:t>a) internal monitoring</w:t>
      </w:r>
      <w:r w:rsidR="00776EFB" w:rsidRPr="0061488A">
        <w:rPr>
          <w:sz w:val="22"/>
          <w:szCs w:val="22"/>
        </w:rPr>
        <w:t xml:space="preserve"> </w:t>
      </w:r>
      <w:r w:rsidR="004D1C33" w:rsidRPr="0061488A">
        <w:rPr>
          <w:sz w:val="22"/>
          <w:szCs w:val="22"/>
        </w:rPr>
        <w:t xml:space="preserve">by </w:t>
      </w:r>
      <w:r w:rsidR="00707789" w:rsidRPr="0061488A">
        <w:rPr>
          <w:sz w:val="22"/>
          <w:szCs w:val="22"/>
        </w:rPr>
        <w:t xml:space="preserve">a </w:t>
      </w:r>
      <w:r w:rsidR="004D1C33" w:rsidRPr="0061488A">
        <w:rPr>
          <w:sz w:val="22"/>
          <w:szCs w:val="22"/>
        </w:rPr>
        <w:t xml:space="preserve">project implementer including </w:t>
      </w:r>
      <w:r w:rsidR="00707789" w:rsidRPr="0061488A">
        <w:rPr>
          <w:sz w:val="22"/>
          <w:szCs w:val="22"/>
        </w:rPr>
        <w:t xml:space="preserve">a </w:t>
      </w:r>
      <w:r w:rsidR="004D1C33" w:rsidRPr="0061488A">
        <w:rPr>
          <w:sz w:val="22"/>
          <w:szCs w:val="22"/>
        </w:rPr>
        <w:t xml:space="preserve">partner organization and b) external monitoring by GCF </w:t>
      </w:r>
      <w:r w:rsidR="00D25B32" w:rsidRPr="0061488A">
        <w:rPr>
          <w:sz w:val="22"/>
          <w:szCs w:val="22"/>
        </w:rPr>
        <w:t>and UNDP</w:t>
      </w:r>
      <w:r w:rsidR="004D1C33" w:rsidRPr="0061488A">
        <w:rPr>
          <w:sz w:val="22"/>
          <w:szCs w:val="22"/>
        </w:rPr>
        <w:t xml:space="preserve"> as main </w:t>
      </w:r>
      <w:r w:rsidR="00DC508C" w:rsidRPr="0061488A">
        <w:rPr>
          <w:sz w:val="22"/>
          <w:szCs w:val="22"/>
        </w:rPr>
        <w:t xml:space="preserve">project </w:t>
      </w:r>
      <w:r w:rsidR="004D1C33" w:rsidRPr="0061488A">
        <w:rPr>
          <w:sz w:val="22"/>
          <w:szCs w:val="22"/>
        </w:rPr>
        <w:t>supporter</w:t>
      </w:r>
      <w:r w:rsidR="00707789" w:rsidRPr="0061488A">
        <w:rPr>
          <w:sz w:val="22"/>
          <w:szCs w:val="22"/>
        </w:rPr>
        <w:t>s</w:t>
      </w:r>
      <w:r w:rsidR="004D1C33" w:rsidRPr="0061488A">
        <w:rPr>
          <w:sz w:val="22"/>
          <w:szCs w:val="22"/>
        </w:rPr>
        <w:t xml:space="preserve">. The monitoring will be organized by </w:t>
      </w:r>
      <w:r w:rsidR="00707789" w:rsidRPr="0061488A">
        <w:rPr>
          <w:sz w:val="22"/>
          <w:szCs w:val="22"/>
        </w:rPr>
        <w:t xml:space="preserve">a </w:t>
      </w:r>
      <w:r w:rsidR="004D1C33" w:rsidRPr="0061488A">
        <w:rPr>
          <w:sz w:val="22"/>
          <w:szCs w:val="22"/>
        </w:rPr>
        <w:t xml:space="preserve">project monitoring </w:t>
      </w:r>
      <w:r w:rsidR="00E14098" w:rsidRPr="0061488A">
        <w:rPr>
          <w:sz w:val="22"/>
          <w:szCs w:val="22"/>
        </w:rPr>
        <w:t>team that will</w:t>
      </w:r>
      <w:r w:rsidR="004D1C33" w:rsidRPr="0061488A">
        <w:rPr>
          <w:sz w:val="22"/>
          <w:szCs w:val="22"/>
        </w:rPr>
        <w:t>:</w:t>
      </w:r>
      <w:r w:rsidR="00D25B32" w:rsidRPr="0061488A">
        <w:rPr>
          <w:sz w:val="22"/>
          <w:szCs w:val="22"/>
        </w:rPr>
        <w:t xml:space="preserve"> a) </w:t>
      </w:r>
      <w:r w:rsidR="00131BF9" w:rsidRPr="0061488A">
        <w:rPr>
          <w:sz w:val="22"/>
          <w:szCs w:val="22"/>
        </w:rPr>
        <w:t>i</w:t>
      </w:r>
      <w:r w:rsidR="004D1C33" w:rsidRPr="0061488A">
        <w:rPr>
          <w:sz w:val="22"/>
          <w:szCs w:val="22"/>
        </w:rPr>
        <w:t>dentify the purpose and scope of the monitoring system</w:t>
      </w:r>
      <w:r w:rsidR="00131BF9" w:rsidRPr="0061488A">
        <w:rPr>
          <w:sz w:val="22"/>
          <w:szCs w:val="22"/>
        </w:rPr>
        <w:t>, b) p</w:t>
      </w:r>
      <w:r w:rsidR="004D1C33" w:rsidRPr="0061488A">
        <w:rPr>
          <w:sz w:val="22"/>
          <w:szCs w:val="22"/>
        </w:rPr>
        <w:t>lan for data collection and management</w:t>
      </w:r>
      <w:r w:rsidR="00D25B32" w:rsidRPr="0061488A">
        <w:rPr>
          <w:sz w:val="22"/>
          <w:szCs w:val="22"/>
        </w:rPr>
        <w:t xml:space="preserve">, c) </w:t>
      </w:r>
      <w:r w:rsidR="00131BF9" w:rsidRPr="0061488A">
        <w:rPr>
          <w:sz w:val="22"/>
          <w:szCs w:val="22"/>
        </w:rPr>
        <w:t>p</w:t>
      </w:r>
      <w:r w:rsidR="004D1C33" w:rsidRPr="0061488A">
        <w:rPr>
          <w:sz w:val="22"/>
          <w:szCs w:val="22"/>
        </w:rPr>
        <w:t>lan for data analysis</w:t>
      </w:r>
      <w:r w:rsidR="00D25B32" w:rsidRPr="0061488A">
        <w:rPr>
          <w:sz w:val="22"/>
          <w:szCs w:val="22"/>
        </w:rPr>
        <w:t xml:space="preserve">, d) </w:t>
      </w:r>
      <w:r w:rsidR="00131BF9" w:rsidRPr="0061488A">
        <w:rPr>
          <w:sz w:val="22"/>
          <w:szCs w:val="22"/>
        </w:rPr>
        <w:t>p</w:t>
      </w:r>
      <w:r w:rsidR="004D1C33" w:rsidRPr="0061488A">
        <w:rPr>
          <w:sz w:val="22"/>
          <w:szCs w:val="22"/>
        </w:rPr>
        <w:t>lan for information reporting and utilization</w:t>
      </w:r>
      <w:r w:rsidR="00D25B32" w:rsidRPr="0061488A">
        <w:rPr>
          <w:sz w:val="22"/>
          <w:szCs w:val="22"/>
        </w:rPr>
        <w:t xml:space="preserve">, e) </w:t>
      </w:r>
      <w:r w:rsidR="00131BF9" w:rsidRPr="0061488A">
        <w:rPr>
          <w:sz w:val="22"/>
          <w:szCs w:val="22"/>
        </w:rPr>
        <w:t>p</w:t>
      </w:r>
      <w:r w:rsidR="004D1C33" w:rsidRPr="0061488A">
        <w:rPr>
          <w:sz w:val="22"/>
          <w:szCs w:val="22"/>
        </w:rPr>
        <w:t>lan for monitoring human resource</w:t>
      </w:r>
      <w:r w:rsidR="004A5040" w:rsidRPr="0061488A">
        <w:rPr>
          <w:sz w:val="22"/>
          <w:szCs w:val="22"/>
        </w:rPr>
        <w:t xml:space="preserve">s and capacity building. </w:t>
      </w:r>
      <w:r w:rsidR="00131BF9" w:rsidRPr="0061488A">
        <w:rPr>
          <w:sz w:val="22"/>
          <w:szCs w:val="22"/>
        </w:rPr>
        <w:t xml:space="preserve">The </w:t>
      </w:r>
      <w:r w:rsidR="00E14098" w:rsidRPr="0061488A">
        <w:rPr>
          <w:sz w:val="22"/>
          <w:szCs w:val="22"/>
        </w:rPr>
        <w:t>monitoring</w:t>
      </w:r>
      <w:r w:rsidR="004D1C33" w:rsidRPr="0061488A">
        <w:rPr>
          <w:sz w:val="22"/>
          <w:szCs w:val="22"/>
        </w:rPr>
        <w:t xml:space="preserve"> will </w:t>
      </w:r>
      <w:r w:rsidR="00707789" w:rsidRPr="0061488A">
        <w:rPr>
          <w:sz w:val="22"/>
          <w:szCs w:val="22"/>
        </w:rPr>
        <w:t xml:space="preserve">be </w:t>
      </w:r>
      <w:r w:rsidR="004D1C33" w:rsidRPr="0061488A">
        <w:rPr>
          <w:sz w:val="22"/>
          <w:szCs w:val="22"/>
        </w:rPr>
        <w:t>conduct</w:t>
      </w:r>
      <w:r w:rsidR="00707789" w:rsidRPr="0061488A">
        <w:rPr>
          <w:sz w:val="22"/>
          <w:szCs w:val="22"/>
        </w:rPr>
        <w:t>ed</w:t>
      </w:r>
      <w:r w:rsidR="004D1C33" w:rsidRPr="0061488A">
        <w:rPr>
          <w:sz w:val="22"/>
          <w:szCs w:val="22"/>
        </w:rPr>
        <w:t xml:space="preserve"> </w:t>
      </w:r>
      <w:r w:rsidR="00E14098" w:rsidRPr="0061488A">
        <w:rPr>
          <w:sz w:val="22"/>
          <w:szCs w:val="22"/>
        </w:rPr>
        <w:t>monthly</w:t>
      </w:r>
      <w:r w:rsidR="004D1C33" w:rsidRPr="0061488A">
        <w:rPr>
          <w:sz w:val="22"/>
          <w:szCs w:val="22"/>
        </w:rPr>
        <w:t xml:space="preserve">. </w:t>
      </w:r>
      <w:r w:rsidR="00131BF9" w:rsidRPr="0061488A">
        <w:rPr>
          <w:sz w:val="22"/>
          <w:szCs w:val="22"/>
        </w:rPr>
        <w:t>D</w:t>
      </w:r>
      <w:r w:rsidR="004D1C33" w:rsidRPr="0061488A">
        <w:rPr>
          <w:sz w:val="22"/>
          <w:szCs w:val="22"/>
        </w:rPr>
        <w:t xml:space="preserve">ata </w:t>
      </w:r>
      <w:r w:rsidR="00131BF9" w:rsidRPr="0061488A">
        <w:rPr>
          <w:sz w:val="22"/>
          <w:szCs w:val="22"/>
        </w:rPr>
        <w:t xml:space="preserve">that </w:t>
      </w:r>
      <w:r w:rsidR="00707789" w:rsidRPr="0061488A">
        <w:rPr>
          <w:sz w:val="22"/>
          <w:szCs w:val="22"/>
        </w:rPr>
        <w:t xml:space="preserve">are </w:t>
      </w:r>
      <w:r w:rsidR="00131BF9" w:rsidRPr="0061488A">
        <w:rPr>
          <w:sz w:val="22"/>
          <w:szCs w:val="22"/>
        </w:rPr>
        <w:t xml:space="preserve">collected </w:t>
      </w:r>
      <w:r w:rsidR="004D1C33" w:rsidRPr="0061488A">
        <w:rPr>
          <w:sz w:val="22"/>
          <w:szCs w:val="22"/>
        </w:rPr>
        <w:t xml:space="preserve">in monitoring process will be discussed </w:t>
      </w:r>
      <w:r w:rsidR="00707789" w:rsidRPr="0061488A">
        <w:rPr>
          <w:sz w:val="22"/>
          <w:szCs w:val="22"/>
        </w:rPr>
        <w:t xml:space="preserve">with </w:t>
      </w:r>
      <w:r w:rsidR="00131BF9" w:rsidRPr="0061488A">
        <w:rPr>
          <w:sz w:val="22"/>
          <w:szCs w:val="22"/>
        </w:rPr>
        <w:t xml:space="preserve">project implementer </w:t>
      </w:r>
      <w:r w:rsidR="004A5040" w:rsidRPr="0061488A">
        <w:rPr>
          <w:sz w:val="22"/>
          <w:szCs w:val="22"/>
        </w:rPr>
        <w:t>and stakeholder</w:t>
      </w:r>
      <w:r w:rsidR="00707789" w:rsidRPr="0061488A">
        <w:rPr>
          <w:sz w:val="22"/>
          <w:szCs w:val="22"/>
        </w:rPr>
        <w:t>s</w:t>
      </w:r>
      <w:r w:rsidR="004A5040" w:rsidRPr="0061488A">
        <w:rPr>
          <w:sz w:val="22"/>
          <w:szCs w:val="22"/>
        </w:rPr>
        <w:t xml:space="preserve"> </w:t>
      </w:r>
      <w:r w:rsidR="00707789" w:rsidRPr="0061488A">
        <w:rPr>
          <w:sz w:val="22"/>
          <w:szCs w:val="22"/>
        </w:rPr>
        <w:t xml:space="preserve">so that </w:t>
      </w:r>
      <w:r w:rsidR="004A5040" w:rsidRPr="0061488A">
        <w:rPr>
          <w:sz w:val="22"/>
          <w:szCs w:val="22"/>
        </w:rPr>
        <w:t xml:space="preserve">implementation </w:t>
      </w:r>
      <w:r w:rsidR="00707789" w:rsidRPr="0061488A">
        <w:rPr>
          <w:sz w:val="22"/>
          <w:szCs w:val="22"/>
        </w:rPr>
        <w:t xml:space="preserve">can be improved </w:t>
      </w:r>
      <w:r w:rsidR="004A5040" w:rsidRPr="0061488A">
        <w:rPr>
          <w:sz w:val="22"/>
          <w:szCs w:val="22"/>
        </w:rPr>
        <w:t>in the future</w:t>
      </w:r>
      <w:r w:rsidR="004D1C33" w:rsidRPr="0061488A">
        <w:rPr>
          <w:sz w:val="22"/>
          <w:szCs w:val="22"/>
        </w:rPr>
        <w:t>.</w:t>
      </w:r>
      <w:r w:rsidR="00EC3C70" w:rsidRPr="0061488A">
        <w:rPr>
          <w:sz w:val="22"/>
          <w:szCs w:val="22"/>
        </w:rPr>
        <w:t xml:space="preserve"> </w:t>
      </w:r>
      <w:r w:rsidR="009E689F" w:rsidRPr="0061488A">
        <w:rPr>
          <w:sz w:val="22"/>
          <w:szCs w:val="22"/>
        </w:rPr>
        <w:t xml:space="preserve">To have credible </w:t>
      </w:r>
      <w:r w:rsidR="004D1C33" w:rsidRPr="0061488A">
        <w:rPr>
          <w:sz w:val="22"/>
          <w:szCs w:val="22"/>
        </w:rPr>
        <w:t xml:space="preserve">financial </w:t>
      </w:r>
      <w:r w:rsidR="009E689F" w:rsidRPr="0061488A">
        <w:rPr>
          <w:sz w:val="22"/>
          <w:szCs w:val="22"/>
        </w:rPr>
        <w:t>assessment</w:t>
      </w:r>
      <w:r w:rsidR="004A5040" w:rsidRPr="0061488A">
        <w:rPr>
          <w:sz w:val="22"/>
          <w:szCs w:val="22"/>
        </w:rPr>
        <w:t xml:space="preserve">, </w:t>
      </w:r>
      <w:r w:rsidR="004D1C33" w:rsidRPr="0061488A">
        <w:rPr>
          <w:sz w:val="22"/>
          <w:szCs w:val="22"/>
        </w:rPr>
        <w:t xml:space="preserve">independent auditors </w:t>
      </w:r>
      <w:r w:rsidR="004A5040" w:rsidRPr="0061488A">
        <w:rPr>
          <w:sz w:val="22"/>
          <w:szCs w:val="22"/>
        </w:rPr>
        <w:t xml:space="preserve">will </w:t>
      </w:r>
      <w:r w:rsidR="00E14098" w:rsidRPr="0061488A">
        <w:rPr>
          <w:sz w:val="22"/>
          <w:szCs w:val="22"/>
        </w:rPr>
        <w:t xml:space="preserve">be </w:t>
      </w:r>
      <w:r w:rsidR="004A5040" w:rsidRPr="0061488A">
        <w:rPr>
          <w:sz w:val="22"/>
          <w:szCs w:val="22"/>
        </w:rPr>
        <w:t>invite</w:t>
      </w:r>
      <w:r w:rsidR="00E14098" w:rsidRPr="0061488A">
        <w:rPr>
          <w:sz w:val="22"/>
          <w:szCs w:val="22"/>
        </w:rPr>
        <w:t>d</w:t>
      </w:r>
      <w:r w:rsidR="004A5040" w:rsidRPr="0061488A">
        <w:rPr>
          <w:sz w:val="22"/>
          <w:szCs w:val="22"/>
        </w:rPr>
        <w:t xml:space="preserve"> </w:t>
      </w:r>
      <w:r w:rsidR="004D1C33" w:rsidRPr="0061488A">
        <w:rPr>
          <w:sz w:val="22"/>
          <w:szCs w:val="22"/>
        </w:rPr>
        <w:t xml:space="preserve">to review </w:t>
      </w:r>
      <w:r w:rsidR="00E14098" w:rsidRPr="0061488A">
        <w:rPr>
          <w:sz w:val="22"/>
          <w:szCs w:val="22"/>
        </w:rPr>
        <w:t xml:space="preserve">the </w:t>
      </w:r>
      <w:r w:rsidR="004D1C33" w:rsidRPr="0061488A">
        <w:rPr>
          <w:sz w:val="22"/>
          <w:szCs w:val="22"/>
        </w:rPr>
        <w:t xml:space="preserve">financial report </w:t>
      </w:r>
      <w:r w:rsidR="000B2632" w:rsidRPr="0061488A">
        <w:rPr>
          <w:sz w:val="22"/>
          <w:szCs w:val="22"/>
        </w:rPr>
        <w:t>towards transparency and accountability</w:t>
      </w:r>
      <w:r w:rsidR="004D1C33" w:rsidRPr="0061488A">
        <w:rPr>
          <w:sz w:val="22"/>
          <w:szCs w:val="22"/>
        </w:rPr>
        <w:t>.</w:t>
      </w:r>
    </w:p>
    <w:p w14:paraId="459C8737" w14:textId="10ACC9AB" w:rsidR="00AB6278" w:rsidRPr="0061488A" w:rsidRDefault="00EC3C70" w:rsidP="0061488A">
      <w:pPr>
        <w:pStyle w:val="NormalWeb"/>
        <w:jc w:val="both"/>
        <w:rPr>
          <w:sz w:val="22"/>
          <w:szCs w:val="22"/>
        </w:rPr>
      </w:pPr>
      <w:r w:rsidRPr="0061488A">
        <w:rPr>
          <w:rFonts w:eastAsiaTheme="minorHAnsi"/>
          <w:sz w:val="22"/>
          <w:szCs w:val="22"/>
          <w:lang w:val="en-US"/>
        </w:rPr>
        <w:t xml:space="preserve">In addition to RMF, as an organization, YIDH has impact themes that include gender, smallholders, living wages and we have implemented the interventions that would ensure such impact themes to be seriously taken into account. We believe women are key to drive growth and sustainability. However, the possibilities for women to engage in supply </w:t>
      </w:r>
      <w:r w:rsidRPr="0061488A">
        <w:rPr>
          <w:rFonts w:eastAsiaTheme="minorHAnsi"/>
          <w:sz w:val="22"/>
          <w:szCs w:val="22"/>
          <w:lang w:val="en-US"/>
        </w:rPr>
        <w:lastRenderedPageBreak/>
        <w:t xml:space="preserve">chains is currently limited. To address this concern, IDH has developed the Gender Toolkit and YIDH </w:t>
      </w:r>
      <w:r w:rsidR="00A54912" w:rsidRPr="0061488A">
        <w:rPr>
          <w:rFonts w:eastAsiaTheme="minorHAnsi"/>
          <w:sz w:val="22"/>
          <w:szCs w:val="22"/>
          <w:lang w:val="en-US"/>
        </w:rPr>
        <w:t>is adopting</w:t>
      </w:r>
      <w:r w:rsidRPr="0061488A">
        <w:rPr>
          <w:rFonts w:eastAsiaTheme="minorHAnsi"/>
          <w:sz w:val="22"/>
          <w:szCs w:val="22"/>
          <w:lang w:val="en-US"/>
        </w:rPr>
        <w:t xml:space="preserve"> this in Indonesia</w:t>
      </w:r>
      <w:r w:rsidR="00A54912" w:rsidRPr="0061488A">
        <w:rPr>
          <w:rFonts w:eastAsiaTheme="minorHAnsi"/>
          <w:sz w:val="22"/>
          <w:szCs w:val="22"/>
          <w:lang w:val="en-US"/>
        </w:rPr>
        <w:t xml:space="preserve"> context</w:t>
      </w:r>
      <w:r w:rsidRPr="0061488A">
        <w:rPr>
          <w:rFonts w:eastAsiaTheme="minorHAnsi"/>
          <w:sz w:val="22"/>
          <w:szCs w:val="22"/>
          <w:lang w:val="en-US"/>
        </w:rPr>
        <w:t xml:space="preserve">. This resource aims to raise awareness, encourage, and inspire to integrate gender aspects into supply chain </w:t>
      </w:r>
      <w:r w:rsidR="00A54912" w:rsidRPr="0061488A">
        <w:rPr>
          <w:rFonts w:eastAsiaTheme="minorHAnsi"/>
          <w:sz w:val="22"/>
          <w:szCs w:val="22"/>
          <w:lang w:val="en-US"/>
        </w:rPr>
        <w:t xml:space="preserve">and other YIDH </w:t>
      </w:r>
      <w:r w:rsidRPr="0061488A">
        <w:rPr>
          <w:rFonts w:eastAsiaTheme="minorHAnsi"/>
          <w:sz w:val="22"/>
          <w:szCs w:val="22"/>
          <w:lang w:val="en-US"/>
        </w:rPr>
        <w:t xml:space="preserve">approaches. Please see https://www.idhsustainabletrade.com/news/gender-toolkit-inspire-integrating-gender-aspects-supply-chain-approaches/). </w:t>
      </w:r>
      <w:r w:rsidR="00A54912" w:rsidRPr="0061488A">
        <w:rPr>
          <w:rFonts w:eastAsiaTheme="minorHAnsi"/>
          <w:sz w:val="22"/>
          <w:szCs w:val="22"/>
          <w:lang w:val="en-US"/>
        </w:rPr>
        <w:t xml:space="preserve">This project will deploy a gender specialist to </w:t>
      </w:r>
      <w:r w:rsidR="00090F8C" w:rsidRPr="0061488A">
        <w:rPr>
          <w:rFonts w:eastAsiaTheme="minorHAnsi"/>
          <w:sz w:val="22"/>
          <w:szCs w:val="22"/>
          <w:lang w:val="en-US"/>
        </w:rPr>
        <w:t>develop specific indicator for gender-related activities in the project and explore the use of this toolkit</w:t>
      </w:r>
      <w:r w:rsidR="005054FA" w:rsidRPr="0061488A">
        <w:rPr>
          <w:rFonts w:eastAsiaTheme="minorHAnsi"/>
          <w:sz w:val="22"/>
          <w:szCs w:val="22"/>
          <w:lang w:val="en-US"/>
        </w:rPr>
        <w:t xml:space="preserve"> </w:t>
      </w:r>
      <w:r w:rsidR="00090F8C" w:rsidRPr="0061488A">
        <w:rPr>
          <w:rFonts w:eastAsiaTheme="minorHAnsi"/>
          <w:sz w:val="22"/>
          <w:szCs w:val="22"/>
          <w:lang w:val="en-US"/>
        </w:rPr>
        <w:t>monitoring</w:t>
      </w:r>
      <w:r w:rsidR="005054FA" w:rsidRPr="0061488A">
        <w:rPr>
          <w:rFonts w:eastAsiaTheme="minorHAnsi"/>
          <w:sz w:val="22"/>
          <w:szCs w:val="22"/>
          <w:lang w:val="en-US"/>
        </w:rPr>
        <w:t xml:space="preserve"> the indicator.</w:t>
      </w:r>
    </w:p>
    <w:p w14:paraId="396A903C" w14:textId="77777777" w:rsidR="00FA1191" w:rsidRPr="00411B28" w:rsidRDefault="00FA1191" w:rsidP="0061488A">
      <w:pPr>
        <w:pStyle w:val="ListParagraph"/>
        <w:numPr>
          <w:ilvl w:val="1"/>
          <w:numId w:val="6"/>
        </w:numPr>
        <w:spacing w:after="0" w:line="276" w:lineRule="auto"/>
        <w:ind w:left="567" w:hanging="567"/>
        <w:contextualSpacing w:val="0"/>
        <w:rPr>
          <w:rFonts w:ascii="Times New Roman" w:hAnsi="Times New Roman" w:cs="Times New Roman"/>
          <w:b/>
        </w:rPr>
      </w:pPr>
      <w:r w:rsidRPr="00411B28">
        <w:rPr>
          <w:rFonts w:ascii="Times New Roman" w:hAnsi="Times New Roman" w:cs="Times New Roman"/>
          <w:b/>
        </w:rPr>
        <w:t>Sustainability of Results</w:t>
      </w:r>
    </w:p>
    <w:p w14:paraId="482C0FBC" w14:textId="15380D11" w:rsidR="00EC21BD" w:rsidRPr="0061488A" w:rsidRDefault="000049A2" w:rsidP="00EC21BD">
      <w:pPr>
        <w:jc w:val="both"/>
        <w:rPr>
          <w:sz w:val="22"/>
          <w:szCs w:val="22"/>
        </w:rPr>
      </w:pPr>
      <w:r w:rsidRPr="0061488A">
        <w:rPr>
          <w:sz w:val="22"/>
          <w:szCs w:val="22"/>
        </w:rPr>
        <w:t xml:space="preserve">A robust </w:t>
      </w:r>
      <w:r w:rsidR="00EC21BD" w:rsidRPr="0061488A">
        <w:rPr>
          <w:sz w:val="22"/>
          <w:szCs w:val="22"/>
        </w:rPr>
        <w:t>regulatory</w:t>
      </w:r>
      <w:r w:rsidRPr="0061488A">
        <w:rPr>
          <w:sz w:val="22"/>
          <w:szCs w:val="22"/>
        </w:rPr>
        <w:t xml:space="preserve"> and policy framework on sub-national emission target</w:t>
      </w:r>
      <w:r w:rsidR="009E689F" w:rsidRPr="0061488A">
        <w:rPr>
          <w:sz w:val="22"/>
          <w:szCs w:val="22"/>
        </w:rPr>
        <w:t>s</w:t>
      </w:r>
      <w:r w:rsidRPr="0061488A">
        <w:rPr>
          <w:sz w:val="22"/>
          <w:szCs w:val="22"/>
        </w:rPr>
        <w:t>, institution</w:t>
      </w:r>
      <w:r w:rsidR="009E689F" w:rsidRPr="0061488A">
        <w:rPr>
          <w:sz w:val="22"/>
          <w:szCs w:val="22"/>
        </w:rPr>
        <w:t>s</w:t>
      </w:r>
      <w:r w:rsidRPr="0061488A">
        <w:rPr>
          <w:sz w:val="22"/>
          <w:szCs w:val="22"/>
        </w:rPr>
        <w:t xml:space="preserve">, REDD+ finance/investment, and sectoral issue are key </w:t>
      </w:r>
      <w:r w:rsidR="009E689F" w:rsidRPr="0061488A">
        <w:rPr>
          <w:sz w:val="22"/>
          <w:szCs w:val="22"/>
        </w:rPr>
        <w:t xml:space="preserve">deliverables </w:t>
      </w:r>
      <w:r w:rsidRPr="0061488A">
        <w:rPr>
          <w:sz w:val="22"/>
          <w:szCs w:val="22"/>
        </w:rPr>
        <w:t xml:space="preserve">to ensure sustainability of jurisdictional strategies and investment planning processes. To achieve these, </w:t>
      </w:r>
      <w:r w:rsidR="009E689F" w:rsidRPr="0061488A">
        <w:rPr>
          <w:sz w:val="22"/>
          <w:szCs w:val="22"/>
        </w:rPr>
        <w:t xml:space="preserve">crucial </w:t>
      </w:r>
      <w:r w:rsidRPr="0061488A">
        <w:rPr>
          <w:sz w:val="22"/>
          <w:szCs w:val="22"/>
        </w:rPr>
        <w:t>s</w:t>
      </w:r>
      <w:r w:rsidR="00A0319B" w:rsidRPr="0061488A">
        <w:rPr>
          <w:sz w:val="22"/>
          <w:szCs w:val="22"/>
        </w:rPr>
        <w:t xml:space="preserve">teps </w:t>
      </w:r>
      <w:r w:rsidR="009E689F" w:rsidRPr="0061488A">
        <w:rPr>
          <w:sz w:val="22"/>
          <w:szCs w:val="22"/>
        </w:rPr>
        <w:t xml:space="preserve">need </w:t>
      </w:r>
      <w:r w:rsidR="00A0319B" w:rsidRPr="0061488A">
        <w:rPr>
          <w:sz w:val="22"/>
          <w:szCs w:val="22"/>
        </w:rPr>
        <w:t xml:space="preserve">to be taken </w:t>
      </w:r>
      <w:r w:rsidR="009E689F" w:rsidRPr="0061488A">
        <w:rPr>
          <w:sz w:val="22"/>
          <w:szCs w:val="22"/>
        </w:rPr>
        <w:t>that include</w:t>
      </w:r>
      <w:r w:rsidR="00FC0CA3" w:rsidRPr="0061488A">
        <w:rPr>
          <w:sz w:val="22"/>
          <w:szCs w:val="22"/>
        </w:rPr>
        <w:t xml:space="preserve">: </w:t>
      </w:r>
      <w:r w:rsidR="00EC21BD" w:rsidRPr="0061488A">
        <w:rPr>
          <w:sz w:val="22"/>
          <w:szCs w:val="22"/>
        </w:rPr>
        <w:t>a) identify existing sub-national, national and international regulatory and policy framework related to REDD+ and G</w:t>
      </w:r>
      <w:r w:rsidR="009E689F" w:rsidRPr="0061488A">
        <w:rPr>
          <w:sz w:val="22"/>
          <w:szCs w:val="22"/>
        </w:rPr>
        <w:t>GP</w:t>
      </w:r>
      <w:r w:rsidR="00EC21BD" w:rsidRPr="0061488A">
        <w:rPr>
          <w:sz w:val="22"/>
          <w:szCs w:val="22"/>
        </w:rPr>
        <w:t>, b) identify potential finance from sub-national</w:t>
      </w:r>
      <w:r w:rsidR="0020169B" w:rsidRPr="0061488A">
        <w:rPr>
          <w:sz w:val="22"/>
          <w:szCs w:val="22"/>
        </w:rPr>
        <w:t>, national and international</w:t>
      </w:r>
      <w:r w:rsidR="00EC21BD" w:rsidRPr="0061488A">
        <w:rPr>
          <w:sz w:val="22"/>
          <w:szCs w:val="22"/>
        </w:rPr>
        <w:t xml:space="preserve"> for REDD+</w:t>
      </w:r>
      <w:r w:rsidR="0020169B" w:rsidRPr="0061488A">
        <w:rPr>
          <w:sz w:val="22"/>
          <w:szCs w:val="22"/>
        </w:rPr>
        <w:t xml:space="preserve"> and GGP</w:t>
      </w:r>
      <w:r w:rsidR="00EC21BD" w:rsidRPr="0061488A">
        <w:rPr>
          <w:sz w:val="22"/>
          <w:szCs w:val="22"/>
        </w:rPr>
        <w:t>, c) i</w:t>
      </w:r>
      <w:r w:rsidR="00E942E9" w:rsidRPr="0061488A">
        <w:rPr>
          <w:sz w:val="22"/>
          <w:szCs w:val="22"/>
        </w:rPr>
        <w:t xml:space="preserve">dentify potential financial scheme for business </w:t>
      </w:r>
      <w:r w:rsidR="00C87EB6" w:rsidRPr="0061488A">
        <w:rPr>
          <w:sz w:val="22"/>
          <w:szCs w:val="22"/>
        </w:rPr>
        <w:t xml:space="preserve">and </w:t>
      </w:r>
      <w:r w:rsidR="00EC21BD" w:rsidRPr="0061488A">
        <w:rPr>
          <w:sz w:val="22"/>
          <w:szCs w:val="22"/>
        </w:rPr>
        <w:t xml:space="preserve">d) </w:t>
      </w:r>
      <w:r w:rsidR="00E942E9" w:rsidRPr="0061488A">
        <w:rPr>
          <w:sz w:val="22"/>
          <w:szCs w:val="22"/>
        </w:rPr>
        <w:t xml:space="preserve">secure </w:t>
      </w:r>
      <w:r w:rsidR="00EC21BD" w:rsidRPr="0061488A">
        <w:rPr>
          <w:sz w:val="22"/>
          <w:szCs w:val="22"/>
        </w:rPr>
        <w:t>stakeholder commitment for project objectives</w:t>
      </w:r>
      <w:r w:rsidR="00FC0CA3" w:rsidRPr="0061488A">
        <w:rPr>
          <w:sz w:val="22"/>
          <w:szCs w:val="22"/>
        </w:rPr>
        <w:t xml:space="preserve"> and outputs</w:t>
      </w:r>
      <w:r w:rsidR="00EC21BD" w:rsidRPr="0061488A">
        <w:rPr>
          <w:sz w:val="22"/>
          <w:szCs w:val="22"/>
        </w:rPr>
        <w:t xml:space="preserve">. </w:t>
      </w:r>
      <w:r w:rsidR="009E689F" w:rsidRPr="0061488A">
        <w:rPr>
          <w:sz w:val="22"/>
          <w:szCs w:val="22"/>
        </w:rPr>
        <w:t>D</w:t>
      </w:r>
      <w:r w:rsidR="00FC0CA3" w:rsidRPr="0061488A">
        <w:rPr>
          <w:sz w:val="22"/>
          <w:szCs w:val="22"/>
        </w:rPr>
        <w:t xml:space="preserve">uring </w:t>
      </w:r>
      <w:r w:rsidR="009E689F" w:rsidRPr="0061488A">
        <w:rPr>
          <w:sz w:val="22"/>
          <w:szCs w:val="22"/>
        </w:rPr>
        <w:t xml:space="preserve">the </w:t>
      </w:r>
      <w:r w:rsidR="00FC0CA3" w:rsidRPr="0061488A">
        <w:rPr>
          <w:sz w:val="22"/>
          <w:szCs w:val="22"/>
        </w:rPr>
        <w:t>implementation</w:t>
      </w:r>
      <w:r w:rsidR="009E689F" w:rsidRPr="0061488A">
        <w:rPr>
          <w:sz w:val="22"/>
          <w:szCs w:val="22"/>
        </w:rPr>
        <w:t>, further steps need to be taken such as</w:t>
      </w:r>
      <w:r w:rsidR="00FC0CA3" w:rsidRPr="0061488A">
        <w:rPr>
          <w:sz w:val="22"/>
          <w:szCs w:val="22"/>
        </w:rPr>
        <w:t>:</w:t>
      </w:r>
      <w:r w:rsidR="00EC21BD" w:rsidRPr="0061488A">
        <w:rPr>
          <w:sz w:val="22"/>
          <w:szCs w:val="22"/>
        </w:rPr>
        <w:t xml:space="preserve"> </w:t>
      </w:r>
      <w:r w:rsidR="00E2557F" w:rsidRPr="0061488A">
        <w:rPr>
          <w:sz w:val="22"/>
          <w:szCs w:val="22"/>
        </w:rPr>
        <w:t>a) i</w:t>
      </w:r>
      <w:r w:rsidR="00EC21BD" w:rsidRPr="0061488A">
        <w:rPr>
          <w:sz w:val="22"/>
          <w:szCs w:val="22"/>
        </w:rPr>
        <w:t>ncrease communication and coordination on regulation and policy</w:t>
      </w:r>
      <w:r w:rsidR="00E2557F" w:rsidRPr="0061488A">
        <w:rPr>
          <w:sz w:val="22"/>
          <w:szCs w:val="22"/>
        </w:rPr>
        <w:t>, b) e</w:t>
      </w:r>
      <w:r w:rsidR="00EC21BD" w:rsidRPr="0061488A">
        <w:rPr>
          <w:sz w:val="22"/>
          <w:szCs w:val="22"/>
        </w:rPr>
        <w:t xml:space="preserve">nsure regulatory and policy framework </w:t>
      </w:r>
      <w:r w:rsidR="00973C0F" w:rsidRPr="0061488A">
        <w:rPr>
          <w:sz w:val="22"/>
          <w:szCs w:val="22"/>
        </w:rPr>
        <w:t>linking to</w:t>
      </w:r>
      <w:r w:rsidR="00EC21BD" w:rsidRPr="0061488A">
        <w:rPr>
          <w:sz w:val="22"/>
          <w:szCs w:val="22"/>
        </w:rPr>
        <w:t xml:space="preserve"> Regional Regulation (PERDA) or Governor Regulation (PERGUB)</w:t>
      </w:r>
      <w:r w:rsidR="00E2557F" w:rsidRPr="0061488A">
        <w:rPr>
          <w:sz w:val="22"/>
          <w:szCs w:val="22"/>
        </w:rPr>
        <w:t xml:space="preserve">, </w:t>
      </w:r>
      <w:r w:rsidR="00121960" w:rsidRPr="0061488A">
        <w:rPr>
          <w:sz w:val="22"/>
          <w:szCs w:val="22"/>
        </w:rPr>
        <w:t>c) submi</w:t>
      </w:r>
      <w:r w:rsidR="00E942E9" w:rsidRPr="0061488A">
        <w:rPr>
          <w:sz w:val="22"/>
          <w:szCs w:val="22"/>
        </w:rPr>
        <w:t xml:space="preserve">ssion of potential pipeline for </w:t>
      </w:r>
      <w:r w:rsidR="00121960" w:rsidRPr="0061488A">
        <w:rPr>
          <w:sz w:val="22"/>
          <w:szCs w:val="22"/>
        </w:rPr>
        <w:t xml:space="preserve">interested green investors, d) </w:t>
      </w:r>
      <w:r w:rsidR="00F13E14" w:rsidRPr="0061488A">
        <w:rPr>
          <w:sz w:val="22"/>
          <w:szCs w:val="22"/>
        </w:rPr>
        <w:t>link</w:t>
      </w:r>
      <w:r w:rsidR="00A47768" w:rsidRPr="0061488A">
        <w:rPr>
          <w:sz w:val="22"/>
          <w:szCs w:val="22"/>
        </w:rPr>
        <w:t xml:space="preserve"> the </w:t>
      </w:r>
      <w:r w:rsidR="00F13E14" w:rsidRPr="0061488A">
        <w:rPr>
          <w:sz w:val="22"/>
          <w:szCs w:val="22"/>
        </w:rPr>
        <w:t>sub-national SRAP REDD+, FREL</w:t>
      </w:r>
      <w:r w:rsidR="00973C0F" w:rsidRPr="0061488A">
        <w:rPr>
          <w:sz w:val="22"/>
          <w:szCs w:val="22"/>
        </w:rPr>
        <w:t>,</w:t>
      </w:r>
      <w:r w:rsidR="00F13E14" w:rsidRPr="0061488A">
        <w:rPr>
          <w:sz w:val="22"/>
          <w:szCs w:val="22"/>
        </w:rPr>
        <w:t xml:space="preserve"> MRV</w:t>
      </w:r>
      <w:r w:rsidR="00973C0F" w:rsidRPr="0061488A">
        <w:rPr>
          <w:sz w:val="22"/>
          <w:szCs w:val="22"/>
        </w:rPr>
        <w:t xml:space="preserve"> and GGP</w:t>
      </w:r>
      <w:r w:rsidR="00F13E14" w:rsidRPr="0061488A">
        <w:rPr>
          <w:sz w:val="22"/>
          <w:szCs w:val="22"/>
        </w:rPr>
        <w:t xml:space="preserve"> to national</w:t>
      </w:r>
      <w:r w:rsidR="00FC0CA3" w:rsidRPr="0061488A">
        <w:rPr>
          <w:sz w:val="22"/>
          <w:szCs w:val="22"/>
        </w:rPr>
        <w:t xml:space="preserve"> standard</w:t>
      </w:r>
      <w:r w:rsidR="00E942E9" w:rsidRPr="0061488A">
        <w:rPr>
          <w:sz w:val="22"/>
          <w:szCs w:val="22"/>
        </w:rPr>
        <w:t>, global</w:t>
      </w:r>
      <w:r w:rsidR="00FC0CA3" w:rsidRPr="0061488A">
        <w:rPr>
          <w:sz w:val="22"/>
          <w:szCs w:val="22"/>
        </w:rPr>
        <w:t xml:space="preserve"> and sectoral implementation/investment plan, </w:t>
      </w:r>
      <w:r w:rsidR="00A8167A" w:rsidRPr="0061488A">
        <w:rPr>
          <w:sz w:val="22"/>
          <w:szCs w:val="22"/>
        </w:rPr>
        <w:t xml:space="preserve">e) </w:t>
      </w:r>
      <w:r w:rsidR="00E942E9" w:rsidRPr="0061488A">
        <w:rPr>
          <w:sz w:val="22"/>
          <w:szCs w:val="22"/>
        </w:rPr>
        <w:t>ensure equal stakeholder involvement in</w:t>
      </w:r>
      <w:r w:rsidR="00A8167A" w:rsidRPr="0061488A">
        <w:rPr>
          <w:sz w:val="22"/>
          <w:szCs w:val="22"/>
        </w:rPr>
        <w:t xml:space="preserve"> multi-stakeholder forum platform. </w:t>
      </w:r>
    </w:p>
    <w:p w14:paraId="5D647324" w14:textId="77777777" w:rsidR="00D46A0D" w:rsidRPr="00C80F34" w:rsidRDefault="00D46A0D" w:rsidP="00D46A0D"/>
    <w:p w14:paraId="71A20FBB" w14:textId="77777777" w:rsidR="00FA1191" w:rsidRPr="00C80F34" w:rsidRDefault="00FA1191" w:rsidP="00776872">
      <w:pPr>
        <w:pStyle w:val="ListParagraph"/>
        <w:numPr>
          <w:ilvl w:val="0"/>
          <w:numId w:val="6"/>
        </w:numPr>
        <w:spacing w:after="0" w:line="240" w:lineRule="auto"/>
        <w:ind w:left="426" w:hanging="426"/>
        <w:contextualSpacing w:val="0"/>
        <w:rPr>
          <w:rFonts w:ascii="Times New Roman" w:hAnsi="Times New Roman" w:cs="Times New Roman"/>
          <w:b/>
        </w:rPr>
      </w:pPr>
      <w:r w:rsidRPr="00C80F34">
        <w:rPr>
          <w:rFonts w:ascii="Times New Roman" w:hAnsi="Times New Roman" w:cs="Times New Roman"/>
          <w:b/>
        </w:rPr>
        <w:t>Budget</w:t>
      </w:r>
    </w:p>
    <w:p w14:paraId="71426919" w14:textId="77777777" w:rsidR="001C1BF3" w:rsidRPr="00C80F34" w:rsidRDefault="00D46A0D" w:rsidP="00A8167A">
      <w:pPr>
        <w:pStyle w:val="ListParagraph"/>
        <w:spacing w:after="0" w:line="240" w:lineRule="auto"/>
        <w:ind w:left="426"/>
        <w:contextualSpacing w:val="0"/>
        <w:rPr>
          <w:rFonts w:ascii="Times New Roman" w:hAnsi="Times New Roman" w:cs="Times New Roman"/>
          <w:i/>
        </w:rPr>
      </w:pPr>
      <w:r w:rsidRPr="00C80F34">
        <w:rPr>
          <w:rFonts w:ascii="Times New Roman" w:hAnsi="Times New Roman" w:cs="Times New Roman"/>
          <w:i/>
        </w:rPr>
        <w:t>Attached</w:t>
      </w:r>
    </w:p>
    <w:p w14:paraId="1BC6E124" w14:textId="77777777" w:rsidR="00F3611A" w:rsidRPr="00C80F34" w:rsidRDefault="00F3611A">
      <w:pPr>
        <w:pStyle w:val="ListParagraph"/>
        <w:spacing w:after="0" w:line="240" w:lineRule="auto"/>
        <w:ind w:left="426"/>
        <w:contextualSpacing w:val="0"/>
        <w:rPr>
          <w:rFonts w:ascii="Times New Roman" w:hAnsi="Times New Roman" w:cs="Times New Roman"/>
          <w:i/>
        </w:rPr>
      </w:pPr>
    </w:p>
    <w:sectPr w:rsidR="00F3611A" w:rsidRPr="00C80F34" w:rsidSect="001C1BF3">
      <w:pgSz w:w="11907" w:h="16839" w:code="9"/>
      <w:pgMar w:top="720" w:right="720" w:bottom="720" w:left="720" w:header="1134" w:footer="6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352F"/>
    <w:multiLevelType w:val="multilevel"/>
    <w:tmpl w:val="CC38FAA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264440A5"/>
    <w:multiLevelType w:val="hybridMultilevel"/>
    <w:tmpl w:val="2CB819A6"/>
    <w:lvl w:ilvl="0" w:tplc="539848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45CB3"/>
    <w:multiLevelType w:val="multilevel"/>
    <w:tmpl w:val="1E2AA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925D4F"/>
    <w:multiLevelType w:val="hybridMultilevel"/>
    <w:tmpl w:val="CCC0739E"/>
    <w:lvl w:ilvl="0" w:tplc="0409000F">
      <w:start w:val="1"/>
      <w:numFmt w:val="decimal"/>
      <w:lvlText w:val="%1."/>
      <w:lvlJc w:val="left"/>
      <w:pPr>
        <w:ind w:left="720" w:hanging="360"/>
      </w:pPr>
      <w:rPr>
        <w:rFonts w:hint="default"/>
      </w:rPr>
    </w:lvl>
    <w:lvl w:ilvl="1" w:tplc="0CB870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B5F36"/>
    <w:multiLevelType w:val="hybridMultilevel"/>
    <w:tmpl w:val="7A849466"/>
    <w:lvl w:ilvl="0" w:tplc="53984830">
      <w:start w:val="1"/>
      <w:numFmt w:val="decimal"/>
      <w:lvlText w:val="%1."/>
      <w:lvlJc w:val="left"/>
      <w:pPr>
        <w:ind w:left="720" w:hanging="360"/>
      </w:pPr>
      <w:rPr>
        <w:rFonts w:hint="default"/>
        <w:b w:val="0"/>
      </w:rPr>
    </w:lvl>
    <w:lvl w:ilvl="1" w:tplc="79DA0F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E53F8"/>
    <w:multiLevelType w:val="hybridMultilevel"/>
    <w:tmpl w:val="2142260E"/>
    <w:lvl w:ilvl="0" w:tplc="6E1ED4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D3162"/>
    <w:multiLevelType w:val="hybridMultilevel"/>
    <w:tmpl w:val="4F02846C"/>
    <w:lvl w:ilvl="0" w:tplc="244027BA">
      <w:start w:val="1"/>
      <w:numFmt w:val="lowerLetter"/>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34C4BCF"/>
    <w:multiLevelType w:val="hybridMultilevel"/>
    <w:tmpl w:val="2C58B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5"/>
  </w:num>
  <w:num w:numId="6">
    <w:abstractNumId w:val="2"/>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91"/>
    <w:rsid w:val="00001714"/>
    <w:rsid w:val="00001E11"/>
    <w:rsid w:val="00003511"/>
    <w:rsid w:val="000049A2"/>
    <w:rsid w:val="00004B9B"/>
    <w:rsid w:val="0001001C"/>
    <w:rsid w:val="0001160D"/>
    <w:rsid w:val="000173EE"/>
    <w:rsid w:val="00017CDE"/>
    <w:rsid w:val="000206C0"/>
    <w:rsid w:val="000208A6"/>
    <w:rsid w:val="00021F20"/>
    <w:rsid w:val="0002270F"/>
    <w:rsid w:val="000252F6"/>
    <w:rsid w:val="00026371"/>
    <w:rsid w:val="000263CA"/>
    <w:rsid w:val="00027D5D"/>
    <w:rsid w:val="00030351"/>
    <w:rsid w:val="00031876"/>
    <w:rsid w:val="0003234E"/>
    <w:rsid w:val="00033AEB"/>
    <w:rsid w:val="00036875"/>
    <w:rsid w:val="0003737F"/>
    <w:rsid w:val="00041C88"/>
    <w:rsid w:val="00044CC2"/>
    <w:rsid w:val="00044FE9"/>
    <w:rsid w:val="00045F14"/>
    <w:rsid w:val="00056521"/>
    <w:rsid w:val="000565E1"/>
    <w:rsid w:val="00057419"/>
    <w:rsid w:val="000614C2"/>
    <w:rsid w:val="00066FA2"/>
    <w:rsid w:val="000705B8"/>
    <w:rsid w:val="0007145B"/>
    <w:rsid w:val="000731C5"/>
    <w:rsid w:val="0007342A"/>
    <w:rsid w:val="00075CDD"/>
    <w:rsid w:val="00076358"/>
    <w:rsid w:val="00076551"/>
    <w:rsid w:val="000769E4"/>
    <w:rsid w:val="000776D1"/>
    <w:rsid w:val="000806FD"/>
    <w:rsid w:val="00081820"/>
    <w:rsid w:val="00083991"/>
    <w:rsid w:val="00084C0F"/>
    <w:rsid w:val="000858A4"/>
    <w:rsid w:val="000871D6"/>
    <w:rsid w:val="00087431"/>
    <w:rsid w:val="00090AC0"/>
    <w:rsid w:val="00090F8C"/>
    <w:rsid w:val="00091192"/>
    <w:rsid w:val="00091D50"/>
    <w:rsid w:val="000922E6"/>
    <w:rsid w:val="000959B7"/>
    <w:rsid w:val="000A4D19"/>
    <w:rsid w:val="000A66A3"/>
    <w:rsid w:val="000B2632"/>
    <w:rsid w:val="000B2A82"/>
    <w:rsid w:val="000B3772"/>
    <w:rsid w:val="000B38A6"/>
    <w:rsid w:val="000B6561"/>
    <w:rsid w:val="000C195A"/>
    <w:rsid w:val="000C7D60"/>
    <w:rsid w:val="000D044E"/>
    <w:rsid w:val="000D0B4D"/>
    <w:rsid w:val="000D60B0"/>
    <w:rsid w:val="000E13B7"/>
    <w:rsid w:val="000E2331"/>
    <w:rsid w:val="000E5A20"/>
    <w:rsid w:val="000E6AA8"/>
    <w:rsid w:val="000E6CE3"/>
    <w:rsid w:val="000F0228"/>
    <w:rsid w:val="000F0E93"/>
    <w:rsid w:val="000F2910"/>
    <w:rsid w:val="000F3BF7"/>
    <w:rsid w:val="000F5CD7"/>
    <w:rsid w:val="000F613A"/>
    <w:rsid w:val="001001DE"/>
    <w:rsid w:val="00100385"/>
    <w:rsid w:val="0010296A"/>
    <w:rsid w:val="00110912"/>
    <w:rsid w:val="0011098A"/>
    <w:rsid w:val="00111272"/>
    <w:rsid w:val="00111AA8"/>
    <w:rsid w:val="001166D0"/>
    <w:rsid w:val="00120E74"/>
    <w:rsid w:val="00121960"/>
    <w:rsid w:val="0012320B"/>
    <w:rsid w:val="0012322D"/>
    <w:rsid w:val="0012587D"/>
    <w:rsid w:val="001259E0"/>
    <w:rsid w:val="0012610B"/>
    <w:rsid w:val="001276D9"/>
    <w:rsid w:val="00131709"/>
    <w:rsid w:val="00131BF9"/>
    <w:rsid w:val="001323FA"/>
    <w:rsid w:val="00133905"/>
    <w:rsid w:val="00136CAA"/>
    <w:rsid w:val="001403F0"/>
    <w:rsid w:val="00141053"/>
    <w:rsid w:val="00146457"/>
    <w:rsid w:val="0014731F"/>
    <w:rsid w:val="00147F04"/>
    <w:rsid w:val="001517DA"/>
    <w:rsid w:val="001517F5"/>
    <w:rsid w:val="00152F6F"/>
    <w:rsid w:val="00161C97"/>
    <w:rsid w:val="0016326E"/>
    <w:rsid w:val="0016433B"/>
    <w:rsid w:val="0016516A"/>
    <w:rsid w:val="001674EA"/>
    <w:rsid w:val="0016796F"/>
    <w:rsid w:val="0017680D"/>
    <w:rsid w:val="00177F6D"/>
    <w:rsid w:val="00181422"/>
    <w:rsid w:val="00193C79"/>
    <w:rsid w:val="001975A5"/>
    <w:rsid w:val="001A185F"/>
    <w:rsid w:val="001A3C5C"/>
    <w:rsid w:val="001B0CE7"/>
    <w:rsid w:val="001B1377"/>
    <w:rsid w:val="001B3BC6"/>
    <w:rsid w:val="001B5F68"/>
    <w:rsid w:val="001B6601"/>
    <w:rsid w:val="001C1BF3"/>
    <w:rsid w:val="001C1C93"/>
    <w:rsid w:val="001C545D"/>
    <w:rsid w:val="001C7796"/>
    <w:rsid w:val="001C7EE9"/>
    <w:rsid w:val="001D47D4"/>
    <w:rsid w:val="001D7050"/>
    <w:rsid w:val="001D720B"/>
    <w:rsid w:val="001E023F"/>
    <w:rsid w:val="001E1945"/>
    <w:rsid w:val="001E276F"/>
    <w:rsid w:val="001E5600"/>
    <w:rsid w:val="001F05F2"/>
    <w:rsid w:val="001F29B8"/>
    <w:rsid w:val="001F34EB"/>
    <w:rsid w:val="001F3CF0"/>
    <w:rsid w:val="001F5B9C"/>
    <w:rsid w:val="00200D84"/>
    <w:rsid w:val="0020169B"/>
    <w:rsid w:val="00201B1F"/>
    <w:rsid w:val="0020320F"/>
    <w:rsid w:val="002035C0"/>
    <w:rsid w:val="00211D95"/>
    <w:rsid w:val="00211E82"/>
    <w:rsid w:val="00213C13"/>
    <w:rsid w:val="00213EB4"/>
    <w:rsid w:val="00213F7A"/>
    <w:rsid w:val="0021423E"/>
    <w:rsid w:val="002148AB"/>
    <w:rsid w:val="00215ED6"/>
    <w:rsid w:val="00216A0B"/>
    <w:rsid w:val="002172F1"/>
    <w:rsid w:val="00220518"/>
    <w:rsid w:val="00221B38"/>
    <w:rsid w:val="00223EBA"/>
    <w:rsid w:val="00224C71"/>
    <w:rsid w:val="00226455"/>
    <w:rsid w:val="002316A3"/>
    <w:rsid w:val="00232889"/>
    <w:rsid w:val="00233056"/>
    <w:rsid w:val="002353AC"/>
    <w:rsid w:val="00235F5D"/>
    <w:rsid w:val="0023636B"/>
    <w:rsid w:val="00236C58"/>
    <w:rsid w:val="00237626"/>
    <w:rsid w:val="00240968"/>
    <w:rsid w:val="00243067"/>
    <w:rsid w:val="00246E40"/>
    <w:rsid w:val="002548A3"/>
    <w:rsid w:val="00255BE6"/>
    <w:rsid w:val="00255FD4"/>
    <w:rsid w:val="00256D47"/>
    <w:rsid w:val="00274032"/>
    <w:rsid w:val="00275A99"/>
    <w:rsid w:val="00277AD1"/>
    <w:rsid w:val="002831E8"/>
    <w:rsid w:val="0028337F"/>
    <w:rsid w:val="00285375"/>
    <w:rsid w:val="00285FEC"/>
    <w:rsid w:val="00291358"/>
    <w:rsid w:val="0029203B"/>
    <w:rsid w:val="002960BD"/>
    <w:rsid w:val="00297C04"/>
    <w:rsid w:val="002A63A9"/>
    <w:rsid w:val="002B13EE"/>
    <w:rsid w:val="002B1FC0"/>
    <w:rsid w:val="002B23A5"/>
    <w:rsid w:val="002B4306"/>
    <w:rsid w:val="002B5486"/>
    <w:rsid w:val="002B61DC"/>
    <w:rsid w:val="002C057A"/>
    <w:rsid w:val="002C3FED"/>
    <w:rsid w:val="002C7E89"/>
    <w:rsid w:val="002D0D0B"/>
    <w:rsid w:val="002D0FF4"/>
    <w:rsid w:val="002D1310"/>
    <w:rsid w:val="002D4684"/>
    <w:rsid w:val="002E38D1"/>
    <w:rsid w:val="002E3B01"/>
    <w:rsid w:val="002E6D52"/>
    <w:rsid w:val="002F0E78"/>
    <w:rsid w:val="002F68BA"/>
    <w:rsid w:val="002F6D6E"/>
    <w:rsid w:val="00302CDA"/>
    <w:rsid w:val="0030451E"/>
    <w:rsid w:val="003065E5"/>
    <w:rsid w:val="003105C6"/>
    <w:rsid w:val="00312504"/>
    <w:rsid w:val="003140D8"/>
    <w:rsid w:val="00314A6A"/>
    <w:rsid w:val="00316FEE"/>
    <w:rsid w:val="003216D6"/>
    <w:rsid w:val="003225DF"/>
    <w:rsid w:val="00323BF8"/>
    <w:rsid w:val="00326F4E"/>
    <w:rsid w:val="00332910"/>
    <w:rsid w:val="00336A21"/>
    <w:rsid w:val="003401CB"/>
    <w:rsid w:val="00340972"/>
    <w:rsid w:val="00341EC7"/>
    <w:rsid w:val="003447AC"/>
    <w:rsid w:val="0034722B"/>
    <w:rsid w:val="00351196"/>
    <w:rsid w:val="00351EBA"/>
    <w:rsid w:val="00355963"/>
    <w:rsid w:val="00356541"/>
    <w:rsid w:val="00357728"/>
    <w:rsid w:val="00362C7C"/>
    <w:rsid w:val="00363446"/>
    <w:rsid w:val="003656DC"/>
    <w:rsid w:val="0036669D"/>
    <w:rsid w:val="003677AE"/>
    <w:rsid w:val="00373227"/>
    <w:rsid w:val="00373D0E"/>
    <w:rsid w:val="00374A50"/>
    <w:rsid w:val="003753A0"/>
    <w:rsid w:val="003821B7"/>
    <w:rsid w:val="003854B4"/>
    <w:rsid w:val="0038572A"/>
    <w:rsid w:val="00390385"/>
    <w:rsid w:val="00390E09"/>
    <w:rsid w:val="00391E7C"/>
    <w:rsid w:val="00393800"/>
    <w:rsid w:val="00394AB8"/>
    <w:rsid w:val="00395340"/>
    <w:rsid w:val="00396267"/>
    <w:rsid w:val="003A1844"/>
    <w:rsid w:val="003B0E73"/>
    <w:rsid w:val="003B37DD"/>
    <w:rsid w:val="003C07ED"/>
    <w:rsid w:val="003C1636"/>
    <w:rsid w:val="003C4C97"/>
    <w:rsid w:val="003C79B0"/>
    <w:rsid w:val="003D3737"/>
    <w:rsid w:val="003D613C"/>
    <w:rsid w:val="003D7AE3"/>
    <w:rsid w:val="003D7E43"/>
    <w:rsid w:val="003E3089"/>
    <w:rsid w:val="003E3AB8"/>
    <w:rsid w:val="003E4C8E"/>
    <w:rsid w:val="003E67F7"/>
    <w:rsid w:val="003F37E9"/>
    <w:rsid w:val="003F3C36"/>
    <w:rsid w:val="003F3F2D"/>
    <w:rsid w:val="003F40A4"/>
    <w:rsid w:val="003F50D8"/>
    <w:rsid w:val="003F5307"/>
    <w:rsid w:val="00401A77"/>
    <w:rsid w:val="00404B19"/>
    <w:rsid w:val="004058A1"/>
    <w:rsid w:val="00405B64"/>
    <w:rsid w:val="00406011"/>
    <w:rsid w:val="0041033D"/>
    <w:rsid w:val="004108F9"/>
    <w:rsid w:val="00411B28"/>
    <w:rsid w:val="0041294A"/>
    <w:rsid w:val="0041479E"/>
    <w:rsid w:val="00421195"/>
    <w:rsid w:val="00421534"/>
    <w:rsid w:val="00422118"/>
    <w:rsid w:val="004233FC"/>
    <w:rsid w:val="00424784"/>
    <w:rsid w:val="004347D4"/>
    <w:rsid w:val="004369D9"/>
    <w:rsid w:val="00440F17"/>
    <w:rsid w:val="00441E5D"/>
    <w:rsid w:val="00444A10"/>
    <w:rsid w:val="00446B36"/>
    <w:rsid w:val="00450F29"/>
    <w:rsid w:val="00452BEA"/>
    <w:rsid w:val="00454FB5"/>
    <w:rsid w:val="004558F0"/>
    <w:rsid w:val="00456560"/>
    <w:rsid w:val="00461FAA"/>
    <w:rsid w:val="004633FE"/>
    <w:rsid w:val="00465B4A"/>
    <w:rsid w:val="00466914"/>
    <w:rsid w:val="0046730A"/>
    <w:rsid w:val="004716F5"/>
    <w:rsid w:val="004736E9"/>
    <w:rsid w:val="0047442B"/>
    <w:rsid w:val="00475DC5"/>
    <w:rsid w:val="00480207"/>
    <w:rsid w:val="0048069D"/>
    <w:rsid w:val="00481221"/>
    <w:rsid w:val="00486244"/>
    <w:rsid w:val="004913D0"/>
    <w:rsid w:val="00492570"/>
    <w:rsid w:val="00492FCE"/>
    <w:rsid w:val="004966AF"/>
    <w:rsid w:val="0049728D"/>
    <w:rsid w:val="004A0BB4"/>
    <w:rsid w:val="004A0E8C"/>
    <w:rsid w:val="004A370B"/>
    <w:rsid w:val="004A398F"/>
    <w:rsid w:val="004A4511"/>
    <w:rsid w:val="004A5040"/>
    <w:rsid w:val="004A53AB"/>
    <w:rsid w:val="004B03E7"/>
    <w:rsid w:val="004B5406"/>
    <w:rsid w:val="004B5A53"/>
    <w:rsid w:val="004B5BE9"/>
    <w:rsid w:val="004C644A"/>
    <w:rsid w:val="004C6A95"/>
    <w:rsid w:val="004D080E"/>
    <w:rsid w:val="004D1A2C"/>
    <w:rsid w:val="004D1C33"/>
    <w:rsid w:val="004D5C70"/>
    <w:rsid w:val="004D6052"/>
    <w:rsid w:val="004D6FBD"/>
    <w:rsid w:val="004E0107"/>
    <w:rsid w:val="004E1359"/>
    <w:rsid w:val="004E2E9F"/>
    <w:rsid w:val="004E3106"/>
    <w:rsid w:val="004E40A2"/>
    <w:rsid w:val="004E6F1B"/>
    <w:rsid w:val="004E7CCB"/>
    <w:rsid w:val="004F02FE"/>
    <w:rsid w:val="004F4A7F"/>
    <w:rsid w:val="004F63D8"/>
    <w:rsid w:val="004F7854"/>
    <w:rsid w:val="004F7C30"/>
    <w:rsid w:val="0050045D"/>
    <w:rsid w:val="0050270B"/>
    <w:rsid w:val="0050335D"/>
    <w:rsid w:val="005054FA"/>
    <w:rsid w:val="005061BF"/>
    <w:rsid w:val="00506495"/>
    <w:rsid w:val="00511A46"/>
    <w:rsid w:val="00514E18"/>
    <w:rsid w:val="00520863"/>
    <w:rsid w:val="00524314"/>
    <w:rsid w:val="00524BD1"/>
    <w:rsid w:val="00525768"/>
    <w:rsid w:val="00526A83"/>
    <w:rsid w:val="00530E58"/>
    <w:rsid w:val="00530F98"/>
    <w:rsid w:val="00535C3C"/>
    <w:rsid w:val="005402A2"/>
    <w:rsid w:val="005410D4"/>
    <w:rsid w:val="005425FD"/>
    <w:rsid w:val="0054398A"/>
    <w:rsid w:val="005451B3"/>
    <w:rsid w:val="00545A45"/>
    <w:rsid w:val="005460F6"/>
    <w:rsid w:val="0054664D"/>
    <w:rsid w:val="00550896"/>
    <w:rsid w:val="00556B8C"/>
    <w:rsid w:val="00557FDB"/>
    <w:rsid w:val="00561907"/>
    <w:rsid w:val="0056379A"/>
    <w:rsid w:val="005649DB"/>
    <w:rsid w:val="00575D76"/>
    <w:rsid w:val="00583BB9"/>
    <w:rsid w:val="00585237"/>
    <w:rsid w:val="00585C07"/>
    <w:rsid w:val="00590508"/>
    <w:rsid w:val="00591659"/>
    <w:rsid w:val="00591A83"/>
    <w:rsid w:val="00592A83"/>
    <w:rsid w:val="00594888"/>
    <w:rsid w:val="005A13F8"/>
    <w:rsid w:val="005A15B8"/>
    <w:rsid w:val="005A1717"/>
    <w:rsid w:val="005A24AB"/>
    <w:rsid w:val="005A36BD"/>
    <w:rsid w:val="005B12B1"/>
    <w:rsid w:val="005B5E65"/>
    <w:rsid w:val="005B746E"/>
    <w:rsid w:val="005C0179"/>
    <w:rsid w:val="005C25AD"/>
    <w:rsid w:val="005C46DD"/>
    <w:rsid w:val="005D17C0"/>
    <w:rsid w:val="005D2BD3"/>
    <w:rsid w:val="005D366E"/>
    <w:rsid w:val="005D4148"/>
    <w:rsid w:val="005D4D19"/>
    <w:rsid w:val="005D65B1"/>
    <w:rsid w:val="005D6A31"/>
    <w:rsid w:val="005E17EE"/>
    <w:rsid w:val="005E6912"/>
    <w:rsid w:val="005E7D13"/>
    <w:rsid w:val="005E7EB8"/>
    <w:rsid w:val="005F4F0C"/>
    <w:rsid w:val="005F5009"/>
    <w:rsid w:val="00600F9C"/>
    <w:rsid w:val="00603025"/>
    <w:rsid w:val="00603299"/>
    <w:rsid w:val="00605CD5"/>
    <w:rsid w:val="00611388"/>
    <w:rsid w:val="00613AD2"/>
    <w:rsid w:val="00613ECF"/>
    <w:rsid w:val="0061488A"/>
    <w:rsid w:val="00616578"/>
    <w:rsid w:val="00621C12"/>
    <w:rsid w:val="006231A6"/>
    <w:rsid w:val="00625DA5"/>
    <w:rsid w:val="00635679"/>
    <w:rsid w:val="00636EA6"/>
    <w:rsid w:val="00640EFA"/>
    <w:rsid w:val="0064311C"/>
    <w:rsid w:val="006446E3"/>
    <w:rsid w:val="00650B23"/>
    <w:rsid w:val="00656300"/>
    <w:rsid w:val="00662BBA"/>
    <w:rsid w:val="00665228"/>
    <w:rsid w:val="0067006E"/>
    <w:rsid w:val="00670547"/>
    <w:rsid w:val="00673405"/>
    <w:rsid w:val="00676B1F"/>
    <w:rsid w:val="006801AD"/>
    <w:rsid w:val="00681C71"/>
    <w:rsid w:val="00681F30"/>
    <w:rsid w:val="00681F91"/>
    <w:rsid w:val="0068477A"/>
    <w:rsid w:val="00684998"/>
    <w:rsid w:val="00684DB3"/>
    <w:rsid w:val="00685248"/>
    <w:rsid w:val="00686668"/>
    <w:rsid w:val="00687C9E"/>
    <w:rsid w:val="00687D8E"/>
    <w:rsid w:val="00690B18"/>
    <w:rsid w:val="006911E3"/>
    <w:rsid w:val="0069289F"/>
    <w:rsid w:val="0069444A"/>
    <w:rsid w:val="00695E0E"/>
    <w:rsid w:val="0069690E"/>
    <w:rsid w:val="006A0204"/>
    <w:rsid w:val="006A2141"/>
    <w:rsid w:val="006A2B89"/>
    <w:rsid w:val="006A312C"/>
    <w:rsid w:val="006A4A11"/>
    <w:rsid w:val="006A6E46"/>
    <w:rsid w:val="006B010C"/>
    <w:rsid w:val="006B1608"/>
    <w:rsid w:val="006B238F"/>
    <w:rsid w:val="006B3803"/>
    <w:rsid w:val="006B4219"/>
    <w:rsid w:val="006B4DAA"/>
    <w:rsid w:val="006B6EE1"/>
    <w:rsid w:val="006B7FC4"/>
    <w:rsid w:val="006C0AD5"/>
    <w:rsid w:val="006C28E0"/>
    <w:rsid w:val="006C3015"/>
    <w:rsid w:val="006C51BC"/>
    <w:rsid w:val="006C60CB"/>
    <w:rsid w:val="006C61CC"/>
    <w:rsid w:val="006D2948"/>
    <w:rsid w:val="006D2DF4"/>
    <w:rsid w:val="006D2FA3"/>
    <w:rsid w:val="006D4B86"/>
    <w:rsid w:val="006D4BB4"/>
    <w:rsid w:val="006D5EFE"/>
    <w:rsid w:val="006D6603"/>
    <w:rsid w:val="006D7562"/>
    <w:rsid w:val="006E0435"/>
    <w:rsid w:val="006E10C0"/>
    <w:rsid w:val="006E187C"/>
    <w:rsid w:val="006E2F83"/>
    <w:rsid w:val="006E3719"/>
    <w:rsid w:val="006E406F"/>
    <w:rsid w:val="006E5416"/>
    <w:rsid w:val="006E7E35"/>
    <w:rsid w:val="006F3625"/>
    <w:rsid w:val="006F38DC"/>
    <w:rsid w:val="006F4559"/>
    <w:rsid w:val="006F48AE"/>
    <w:rsid w:val="00700207"/>
    <w:rsid w:val="0070064B"/>
    <w:rsid w:val="00701E5F"/>
    <w:rsid w:val="00701EBA"/>
    <w:rsid w:val="00702F2B"/>
    <w:rsid w:val="00703058"/>
    <w:rsid w:val="00704975"/>
    <w:rsid w:val="0070523C"/>
    <w:rsid w:val="007066FF"/>
    <w:rsid w:val="0070722A"/>
    <w:rsid w:val="00707789"/>
    <w:rsid w:val="00710B51"/>
    <w:rsid w:val="007117E7"/>
    <w:rsid w:val="00712629"/>
    <w:rsid w:val="0071605E"/>
    <w:rsid w:val="0071731B"/>
    <w:rsid w:val="007178AB"/>
    <w:rsid w:val="007225B4"/>
    <w:rsid w:val="00722EE8"/>
    <w:rsid w:val="0072344E"/>
    <w:rsid w:val="00724E35"/>
    <w:rsid w:val="00726FF7"/>
    <w:rsid w:val="0073187D"/>
    <w:rsid w:val="0073191F"/>
    <w:rsid w:val="00731A5C"/>
    <w:rsid w:val="007338DA"/>
    <w:rsid w:val="00736CD2"/>
    <w:rsid w:val="007371E2"/>
    <w:rsid w:val="00740569"/>
    <w:rsid w:val="00743E6A"/>
    <w:rsid w:val="00744182"/>
    <w:rsid w:val="0074628E"/>
    <w:rsid w:val="0074650B"/>
    <w:rsid w:val="007471D8"/>
    <w:rsid w:val="0074743C"/>
    <w:rsid w:val="00752696"/>
    <w:rsid w:val="00753F1F"/>
    <w:rsid w:val="00756226"/>
    <w:rsid w:val="00756311"/>
    <w:rsid w:val="00757120"/>
    <w:rsid w:val="00757700"/>
    <w:rsid w:val="00757BFC"/>
    <w:rsid w:val="00761745"/>
    <w:rsid w:val="00766E86"/>
    <w:rsid w:val="00767615"/>
    <w:rsid w:val="00774634"/>
    <w:rsid w:val="007757E1"/>
    <w:rsid w:val="00776872"/>
    <w:rsid w:val="00776B99"/>
    <w:rsid w:val="00776EFB"/>
    <w:rsid w:val="00777F97"/>
    <w:rsid w:val="007818B1"/>
    <w:rsid w:val="0078243E"/>
    <w:rsid w:val="007831B2"/>
    <w:rsid w:val="007841CA"/>
    <w:rsid w:val="0078683D"/>
    <w:rsid w:val="00786B30"/>
    <w:rsid w:val="00787D31"/>
    <w:rsid w:val="007916D1"/>
    <w:rsid w:val="00793971"/>
    <w:rsid w:val="00795A2E"/>
    <w:rsid w:val="007A06FD"/>
    <w:rsid w:val="007A28D5"/>
    <w:rsid w:val="007A2E3D"/>
    <w:rsid w:val="007B2581"/>
    <w:rsid w:val="007B25BD"/>
    <w:rsid w:val="007B34F5"/>
    <w:rsid w:val="007B48F3"/>
    <w:rsid w:val="007B590C"/>
    <w:rsid w:val="007B6A2A"/>
    <w:rsid w:val="007B6BD0"/>
    <w:rsid w:val="007B7FFD"/>
    <w:rsid w:val="007C0D57"/>
    <w:rsid w:val="007C33EC"/>
    <w:rsid w:val="007C4447"/>
    <w:rsid w:val="007C4FB4"/>
    <w:rsid w:val="007C6ABA"/>
    <w:rsid w:val="007D0DFC"/>
    <w:rsid w:val="007D460B"/>
    <w:rsid w:val="007D5DE1"/>
    <w:rsid w:val="007D749D"/>
    <w:rsid w:val="007E656C"/>
    <w:rsid w:val="007E6B80"/>
    <w:rsid w:val="007E6CD0"/>
    <w:rsid w:val="007E7D10"/>
    <w:rsid w:val="007F0E68"/>
    <w:rsid w:val="007F148C"/>
    <w:rsid w:val="007F1F91"/>
    <w:rsid w:val="007F2CF0"/>
    <w:rsid w:val="007F43F0"/>
    <w:rsid w:val="007F7E47"/>
    <w:rsid w:val="00801D27"/>
    <w:rsid w:val="00803382"/>
    <w:rsid w:val="0080346E"/>
    <w:rsid w:val="00804D8C"/>
    <w:rsid w:val="008063BD"/>
    <w:rsid w:val="00807FF7"/>
    <w:rsid w:val="00810679"/>
    <w:rsid w:val="00811EDD"/>
    <w:rsid w:val="00813F5D"/>
    <w:rsid w:val="00814F24"/>
    <w:rsid w:val="0081595A"/>
    <w:rsid w:val="008226E6"/>
    <w:rsid w:val="00833F28"/>
    <w:rsid w:val="00836020"/>
    <w:rsid w:val="00836A86"/>
    <w:rsid w:val="00841753"/>
    <w:rsid w:val="00841D20"/>
    <w:rsid w:val="00843056"/>
    <w:rsid w:val="008440AB"/>
    <w:rsid w:val="00846321"/>
    <w:rsid w:val="008465B2"/>
    <w:rsid w:val="00850E08"/>
    <w:rsid w:val="00851113"/>
    <w:rsid w:val="008529B1"/>
    <w:rsid w:val="00852BBE"/>
    <w:rsid w:val="00855114"/>
    <w:rsid w:val="00857B96"/>
    <w:rsid w:val="00861EBC"/>
    <w:rsid w:val="00865A16"/>
    <w:rsid w:val="00865CA2"/>
    <w:rsid w:val="00870FF9"/>
    <w:rsid w:val="00873394"/>
    <w:rsid w:val="0087343B"/>
    <w:rsid w:val="008773F7"/>
    <w:rsid w:val="00881CA5"/>
    <w:rsid w:val="00885A7D"/>
    <w:rsid w:val="0089099C"/>
    <w:rsid w:val="00890E67"/>
    <w:rsid w:val="00890F78"/>
    <w:rsid w:val="0089180E"/>
    <w:rsid w:val="008921FB"/>
    <w:rsid w:val="008929EF"/>
    <w:rsid w:val="008A1124"/>
    <w:rsid w:val="008A56A8"/>
    <w:rsid w:val="008A6B03"/>
    <w:rsid w:val="008B1073"/>
    <w:rsid w:val="008B13CF"/>
    <w:rsid w:val="008B39A2"/>
    <w:rsid w:val="008B503B"/>
    <w:rsid w:val="008C35AB"/>
    <w:rsid w:val="008C4A96"/>
    <w:rsid w:val="008C506D"/>
    <w:rsid w:val="008C6549"/>
    <w:rsid w:val="008C65A7"/>
    <w:rsid w:val="008D18D5"/>
    <w:rsid w:val="008D1A3B"/>
    <w:rsid w:val="008D4617"/>
    <w:rsid w:val="008D4653"/>
    <w:rsid w:val="008D5E32"/>
    <w:rsid w:val="008E3990"/>
    <w:rsid w:val="008E449D"/>
    <w:rsid w:val="008E6933"/>
    <w:rsid w:val="008E71E0"/>
    <w:rsid w:val="008E78B4"/>
    <w:rsid w:val="008F0E74"/>
    <w:rsid w:val="008F42A1"/>
    <w:rsid w:val="008F485D"/>
    <w:rsid w:val="00900604"/>
    <w:rsid w:val="00900A7C"/>
    <w:rsid w:val="00901626"/>
    <w:rsid w:val="009029F3"/>
    <w:rsid w:val="0090463C"/>
    <w:rsid w:val="0090632A"/>
    <w:rsid w:val="009078C6"/>
    <w:rsid w:val="00907BEB"/>
    <w:rsid w:val="00910BBD"/>
    <w:rsid w:val="00910F77"/>
    <w:rsid w:val="00914A9A"/>
    <w:rsid w:val="00917E9F"/>
    <w:rsid w:val="00920525"/>
    <w:rsid w:val="009205BA"/>
    <w:rsid w:val="00923E80"/>
    <w:rsid w:val="009259E4"/>
    <w:rsid w:val="00925A8B"/>
    <w:rsid w:val="009272EF"/>
    <w:rsid w:val="0093159E"/>
    <w:rsid w:val="00932BEA"/>
    <w:rsid w:val="0093490E"/>
    <w:rsid w:val="0093702C"/>
    <w:rsid w:val="00941950"/>
    <w:rsid w:val="0094389F"/>
    <w:rsid w:val="0095031E"/>
    <w:rsid w:val="0095093E"/>
    <w:rsid w:val="00951389"/>
    <w:rsid w:val="00954483"/>
    <w:rsid w:val="00954E11"/>
    <w:rsid w:val="0095510F"/>
    <w:rsid w:val="00955D98"/>
    <w:rsid w:val="00956723"/>
    <w:rsid w:val="00956D31"/>
    <w:rsid w:val="00961568"/>
    <w:rsid w:val="0096471D"/>
    <w:rsid w:val="00965302"/>
    <w:rsid w:val="00966F46"/>
    <w:rsid w:val="0096717C"/>
    <w:rsid w:val="00967849"/>
    <w:rsid w:val="00971766"/>
    <w:rsid w:val="0097185C"/>
    <w:rsid w:val="00973930"/>
    <w:rsid w:val="00973C0F"/>
    <w:rsid w:val="00980BC4"/>
    <w:rsid w:val="00983CE5"/>
    <w:rsid w:val="00984D9D"/>
    <w:rsid w:val="0098508C"/>
    <w:rsid w:val="00985AE0"/>
    <w:rsid w:val="00987634"/>
    <w:rsid w:val="00991484"/>
    <w:rsid w:val="00992648"/>
    <w:rsid w:val="009930AE"/>
    <w:rsid w:val="00993A56"/>
    <w:rsid w:val="00995B57"/>
    <w:rsid w:val="009A0A02"/>
    <w:rsid w:val="009A2FCF"/>
    <w:rsid w:val="009A48CC"/>
    <w:rsid w:val="009A62F3"/>
    <w:rsid w:val="009A64CB"/>
    <w:rsid w:val="009A6C66"/>
    <w:rsid w:val="009B2330"/>
    <w:rsid w:val="009B2EE7"/>
    <w:rsid w:val="009B3D6C"/>
    <w:rsid w:val="009B4B5A"/>
    <w:rsid w:val="009B4B7D"/>
    <w:rsid w:val="009B5FC0"/>
    <w:rsid w:val="009B6FC2"/>
    <w:rsid w:val="009C1385"/>
    <w:rsid w:val="009C1826"/>
    <w:rsid w:val="009C3E82"/>
    <w:rsid w:val="009C4A76"/>
    <w:rsid w:val="009C558E"/>
    <w:rsid w:val="009D368A"/>
    <w:rsid w:val="009D48EB"/>
    <w:rsid w:val="009D6A46"/>
    <w:rsid w:val="009E4EBF"/>
    <w:rsid w:val="009E4F3F"/>
    <w:rsid w:val="009E5747"/>
    <w:rsid w:val="009E689F"/>
    <w:rsid w:val="009E714A"/>
    <w:rsid w:val="009E7213"/>
    <w:rsid w:val="009F339E"/>
    <w:rsid w:val="00A01175"/>
    <w:rsid w:val="00A01CD3"/>
    <w:rsid w:val="00A0319B"/>
    <w:rsid w:val="00A104B8"/>
    <w:rsid w:val="00A10E04"/>
    <w:rsid w:val="00A10F35"/>
    <w:rsid w:val="00A12700"/>
    <w:rsid w:val="00A13CF9"/>
    <w:rsid w:val="00A21B77"/>
    <w:rsid w:val="00A234A6"/>
    <w:rsid w:val="00A23A38"/>
    <w:rsid w:val="00A241F8"/>
    <w:rsid w:val="00A27C78"/>
    <w:rsid w:val="00A350BB"/>
    <w:rsid w:val="00A35F92"/>
    <w:rsid w:val="00A36714"/>
    <w:rsid w:val="00A41F20"/>
    <w:rsid w:val="00A4330A"/>
    <w:rsid w:val="00A467B4"/>
    <w:rsid w:val="00A47227"/>
    <w:rsid w:val="00A47335"/>
    <w:rsid w:val="00A476BF"/>
    <w:rsid w:val="00A47768"/>
    <w:rsid w:val="00A47C4B"/>
    <w:rsid w:val="00A512DB"/>
    <w:rsid w:val="00A53850"/>
    <w:rsid w:val="00A53E52"/>
    <w:rsid w:val="00A54912"/>
    <w:rsid w:val="00A57DC2"/>
    <w:rsid w:val="00A60174"/>
    <w:rsid w:val="00A612D0"/>
    <w:rsid w:val="00A63321"/>
    <w:rsid w:val="00A705D8"/>
    <w:rsid w:val="00A715F6"/>
    <w:rsid w:val="00A71650"/>
    <w:rsid w:val="00A71B9B"/>
    <w:rsid w:val="00A72801"/>
    <w:rsid w:val="00A73E6F"/>
    <w:rsid w:val="00A7550F"/>
    <w:rsid w:val="00A76AAC"/>
    <w:rsid w:val="00A779FC"/>
    <w:rsid w:val="00A800DA"/>
    <w:rsid w:val="00A8167A"/>
    <w:rsid w:val="00A84C99"/>
    <w:rsid w:val="00A85D52"/>
    <w:rsid w:val="00A90477"/>
    <w:rsid w:val="00A90536"/>
    <w:rsid w:val="00A90547"/>
    <w:rsid w:val="00A94D35"/>
    <w:rsid w:val="00A9598F"/>
    <w:rsid w:val="00A96769"/>
    <w:rsid w:val="00A96DCC"/>
    <w:rsid w:val="00A9747C"/>
    <w:rsid w:val="00AA07F7"/>
    <w:rsid w:val="00AA1D1F"/>
    <w:rsid w:val="00AA5845"/>
    <w:rsid w:val="00AB37A9"/>
    <w:rsid w:val="00AB4201"/>
    <w:rsid w:val="00AB4C63"/>
    <w:rsid w:val="00AB6278"/>
    <w:rsid w:val="00AB64A1"/>
    <w:rsid w:val="00AC0480"/>
    <w:rsid w:val="00AC51FD"/>
    <w:rsid w:val="00AD0D4D"/>
    <w:rsid w:val="00AD1BF8"/>
    <w:rsid w:val="00AD23D1"/>
    <w:rsid w:val="00AD5026"/>
    <w:rsid w:val="00AD5734"/>
    <w:rsid w:val="00AE0D76"/>
    <w:rsid w:val="00AE0E18"/>
    <w:rsid w:val="00AE3042"/>
    <w:rsid w:val="00AE4A26"/>
    <w:rsid w:val="00AE6BB5"/>
    <w:rsid w:val="00AF0415"/>
    <w:rsid w:val="00AF0EE4"/>
    <w:rsid w:val="00AF2D7C"/>
    <w:rsid w:val="00AF5A39"/>
    <w:rsid w:val="00AF5F07"/>
    <w:rsid w:val="00B00138"/>
    <w:rsid w:val="00B0170C"/>
    <w:rsid w:val="00B02A46"/>
    <w:rsid w:val="00B05CF4"/>
    <w:rsid w:val="00B0737B"/>
    <w:rsid w:val="00B11A28"/>
    <w:rsid w:val="00B1233F"/>
    <w:rsid w:val="00B12AE0"/>
    <w:rsid w:val="00B12EA2"/>
    <w:rsid w:val="00B144CD"/>
    <w:rsid w:val="00B1724C"/>
    <w:rsid w:val="00B17543"/>
    <w:rsid w:val="00B1787D"/>
    <w:rsid w:val="00B21B57"/>
    <w:rsid w:val="00B22E3A"/>
    <w:rsid w:val="00B26D53"/>
    <w:rsid w:val="00B27CA7"/>
    <w:rsid w:val="00B30D53"/>
    <w:rsid w:val="00B32499"/>
    <w:rsid w:val="00B33045"/>
    <w:rsid w:val="00B3421D"/>
    <w:rsid w:val="00B35567"/>
    <w:rsid w:val="00B37EB9"/>
    <w:rsid w:val="00B40DF9"/>
    <w:rsid w:val="00B4220B"/>
    <w:rsid w:val="00B43EB4"/>
    <w:rsid w:val="00B45D73"/>
    <w:rsid w:val="00B46630"/>
    <w:rsid w:val="00B47698"/>
    <w:rsid w:val="00B52FBE"/>
    <w:rsid w:val="00B53223"/>
    <w:rsid w:val="00B53D83"/>
    <w:rsid w:val="00B55E70"/>
    <w:rsid w:val="00B56368"/>
    <w:rsid w:val="00B5699E"/>
    <w:rsid w:val="00B606D3"/>
    <w:rsid w:val="00B65A6C"/>
    <w:rsid w:val="00B65CBE"/>
    <w:rsid w:val="00B66760"/>
    <w:rsid w:val="00B71B3E"/>
    <w:rsid w:val="00B7253D"/>
    <w:rsid w:val="00B75FA5"/>
    <w:rsid w:val="00B87F7D"/>
    <w:rsid w:val="00B908FA"/>
    <w:rsid w:val="00B940EC"/>
    <w:rsid w:val="00B97BEE"/>
    <w:rsid w:val="00BA0B88"/>
    <w:rsid w:val="00BA1D72"/>
    <w:rsid w:val="00BA5D01"/>
    <w:rsid w:val="00BA686B"/>
    <w:rsid w:val="00BA70EB"/>
    <w:rsid w:val="00BB0F72"/>
    <w:rsid w:val="00BB1155"/>
    <w:rsid w:val="00BB1390"/>
    <w:rsid w:val="00BB3BAA"/>
    <w:rsid w:val="00BB6771"/>
    <w:rsid w:val="00BC0124"/>
    <w:rsid w:val="00BC2DD9"/>
    <w:rsid w:val="00BC739E"/>
    <w:rsid w:val="00BD5005"/>
    <w:rsid w:val="00BD6102"/>
    <w:rsid w:val="00BE07E6"/>
    <w:rsid w:val="00BE0877"/>
    <w:rsid w:val="00BE1219"/>
    <w:rsid w:val="00BE5863"/>
    <w:rsid w:val="00BF5137"/>
    <w:rsid w:val="00BF6B07"/>
    <w:rsid w:val="00BF71EC"/>
    <w:rsid w:val="00C00C8A"/>
    <w:rsid w:val="00C02D95"/>
    <w:rsid w:val="00C05FF9"/>
    <w:rsid w:val="00C07F7F"/>
    <w:rsid w:val="00C10258"/>
    <w:rsid w:val="00C12B6E"/>
    <w:rsid w:val="00C14ACE"/>
    <w:rsid w:val="00C14C4F"/>
    <w:rsid w:val="00C1662E"/>
    <w:rsid w:val="00C16FB8"/>
    <w:rsid w:val="00C20017"/>
    <w:rsid w:val="00C22218"/>
    <w:rsid w:val="00C223ED"/>
    <w:rsid w:val="00C22F2A"/>
    <w:rsid w:val="00C259CD"/>
    <w:rsid w:val="00C26272"/>
    <w:rsid w:val="00C30339"/>
    <w:rsid w:val="00C323E4"/>
    <w:rsid w:val="00C330C5"/>
    <w:rsid w:val="00C339A6"/>
    <w:rsid w:val="00C35580"/>
    <w:rsid w:val="00C3778B"/>
    <w:rsid w:val="00C37AAB"/>
    <w:rsid w:val="00C420B1"/>
    <w:rsid w:val="00C425D5"/>
    <w:rsid w:val="00C42F97"/>
    <w:rsid w:val="00C4543B"/>
    <w:rsid w:val="00C45A96"/>
    <w:rsid w:val="00C50474"/>
    <w:rsid w:val="00C6059C"/>
    <w:rsid w:val="00C64BFB"/>
    <w:rsid w:val="00C731F1"/>
    <w:rsid w:val="00C7540B"/>
    <w:rsid w:val="00C76D3C"/>
    <w:rsid w:val="00C805C4"/>
    <w:rsid w:val="00C80CF6"/>
    <w:rsid w:val="00C80F34"/>
    <w:rsid w:val="00C81649"/>
    <w:rsid w:val="00C82176"/>
    <w:rsid w:val="00C87EB6"/>
    <w:rsid w:val="00C87F8E"/>
    <w:rsid w:val="00C904FD"/>
    <w:rsid w:val="00C910F0"/>
    <w:rsid w:val="00C911C8"/>
    <w:rsid w:val="00C929B1"/>
    <w:rsid w:val="00CA0B12"/>
    <w:rsid w:val="00CA1730"/>
    <w:rsid w:val="00CA53C4"/>
    <w:rsid w:val="00CA5D47"/>
    <w:rsid w:val="00CA7ED2"/>
    <w:rsid w:val="00CB186A"/>
    <w:rsid w:val="00CB28C8"/>
    <w:rsid w:val="00CB70A6"/>
    <w:rsid w:val="00CC0BD5"/>
    <w:rsid w:val="00CC47EF"/>
    <w:rsid w:val="00CC52BC"/>
    <w:rsid w:val="00CC639A"/>
    <w:rsid w:val="00CC7E72"/>
    <w:rsid w:val="00CD7A1B"/>
    <w:rsid w:val="00CE0676"/>
    <w:rsid w:val="00CE0C5F"/>
    <w:rsid w:val="00CE3E0C"/>
    <w:rsid w:val="00CE7182"/>
    <w:rsid w:val="00CF0AE8"/>
    <w:rsid w:val="00CF428D"/>
    <w:rsid w:val="00D00DA7"/>
    <w:rsid w:val="00D01998"/>
    <w:rsid w:val="00D02B71"/>
    <w:rsid w:val="00D038FE"/>
    <w:rsid w:val="00D06045"/>
    <w:rsid w:val="00D10E38"/>
    <w:rsid w:val="00D116D1"/>
    <w:rsid w:val="00D151C7"/>
    <w:rsid w:val="00D1692E"/>
    <w:rsid w:val="00D230AD"/>
    <w:rsid w:val="00D25653"/>
    <w:rsid w:val="00D25B32"/>
    <w:rsid w:val="00D31629"/>
    <w:rsid w:val="00D32F7E"/>
    <w:rsid w:val="00D3380C"/>
    <w:rsid w:val="00D361D2"/>
    <w:rsid w:val="00D3649D"/>
    <w:rsid w:val="00D40F7D"/>
    <w:rsid w:val="00D44EB8"/>
    <w:rsid w:val="00D455F2"/>
    <w:rsid w:val="00D46A0D"/>
    <w:rsid w:val="00D52FB0"/>
    <w:rsid w:val="00D530C7"/>
    <w:rsid w:val="00D53B56"/>
    <w:rsid w:val="00D56CDA"/>
    <w:rsid w:val="00D645B8"/>
    <w:rsid w:val="00D666B4"/>
    <w:rsid w:val="00D712BB"/>
    <w:rsid w:val="00D71FED"/>
    <w:rsid w:val="00D7615F"/>
    <w:rsid w:val="00D80B2C"/>
    <w:rsid w:val="00D80F76"/>
    <w:rsid w:val="00D820ED"/>
    <w:rsid w:val="00D82A06"/>
    <w:rsid w:val="00D9117F"/>
    <w:rsid w:val="00D9720B"/>
    <w:rsid w:val="00DA039A"/>
    <w:rsid w:val="00DA1399"/>
    <w:rsid w:val="00DA41C7"/>
    <w:rsid w:val="00DA47A8"/>
    <w:rsid w:val="00DB0418"/>
    <w:rsid w:val="00DB2311"/>
    <w:rsid w:val="00DB299E"/>
    <w:rsid w:val="00DB3307"/>
    <w:rsid w:val="00DB5B61"/>
    <w:rsid w:val="00DB6953"/>
    <w:rsid w:val="00DB6C0A"/>
    <w:rsid w:val="00DC1096"/>
    <w:rsid w:val="00DC3D36"/>
    <w:rsid w:val="00DC508C"/>
    <w:rsid w:val="00DC5E83"/>
    <w:rsid w:val="00DC5FE5"/>
    <w:rsid w:val="00DC739B"/>
    <w:rsid w:val="00DD1B4F"/>
    <w:rsid w:val="00DD2CAE"/>
    <w:rsid w:val="00DD4082"/>
    <w:rsid w:val="00DE0D04"/>
    <w:rsid w:val="00DE0F82"/>
    <w:rsid w:val="00DE36E4"/>
    <w:rsid w:val="00DE3F0F"/>
    <w:rsid w:val="00DE576C"/>
    <w:rsid w:val="00DE58B6"/>
    <w:rsid w:val="00DF1206"/>
    <w:rsid w:val="00DF2642"/>
    <w:rsid w:val="00DF2C95"/>
    <w:rsid w:val="00DF2F84"/>
    <w:rsid w:val="00DF2F8E"/>
    <w:rsid w:val="00DF3558"/>
    <w:rsid w:val="00DF4B87"/>
    <w:rsid w:val="00DF4F22"/>
    <w:rsid w:val="00DF6783"/>
    <w:rsid w:val="00DF7BE1"/>
    <w:rsid w:val="00E0138C"/>
    <w:rsid w:val="00E03989"/>
    <w:rsid w:val="00E04507"/>
    <w:rsid w:val="00E07028"/>
    <w:rsid w:val="00E0726F"/>
    <w:rsid w:val="00E07A09"/>
    <w:rsid w:val="00E14098"/>
    <w:rsid w:val="00E1475F"/>
    <w:rsid w:val="00E15A26"/>
    <w:rsid w:val="00E16CC0"/>
    <w:rsid w:val="00E208E8"/>
    <w:rsid w:val="00E20E1F"/>
    <w:rsid w:val="00E24443"/>
    <w:rsid w:val="00E24A29"/>
    <w:rsid w:val="00E2557F"/>
    <w:rsid w:val="00E26284"/>
    <w:rsid w:val="00E3033B"/>
    <w:rsid w:val="00E30610"/>
    <w:rsid w:val="00E321E5"/>
    <w:rsid w:val="00E32D5D"/>
    <w:rsid w:val="00E34D0C"/>
    <w:rsid w:val="00E35633"/>
    <w:rsid w:val="00E36861"/>
    <w:rsid w:val="00E36E43"/>
    <w:rsid w:val="00E46F6B"/>
    <w:rsid w:val="00E472F9"/>
    <w:rsid w:val="00E4739F"/>
    <w:rsid w:val="00E50330"/>
    <w:rsid w:val="00E62699"/>
    <w:rsid w:val="00E638A1"/>
    <w:rsid w:val="00E658CD"/>
    <w:rsid w:val="00E67531"/>
    <w:rsid w:val="00E71F2C"/>
    <w:rsid w:val="00E722F9"/>
    <w:rsid w:val="00E73B6D"/>
    <w:rsid w:val="00E76DC2"/>
    <w:rsid w:val="00E77940"/>
    <w:rsid w:val="00E77AFF"/>
    <w:rsid w:val="00E8293C"/>
    <w:rsid w:val="00E87A44"/>
    <w:rsid w:val="00E9279F"/>
    <w:rsid w:val="00E94090"/>
    <w:rsid w:val="00E942E9"/>
    <w:rsid w:val="00E9448D"/>
    <w:rsid w:val="00E94DAF"/>
    <w:rsid w:val="00EA026A"/>
    <w:rsid w:val="00EA0D11"/>
    <w:rsid w:val="00EA3C54"/>
    <w:rsid w:val="00EA780C"/>
    <w:rsid w:val="00EB22D9"/>
    <w:rsid w:val="00EB75A7"/>
    <w:rsid w:val="00EC01D7"/>
    <w:rsid w:val="00EC1D7C"/>
    <w:rsid w:val="00EC21BD"/>
    <w:rsid w:val="00EC3C70"/>
    <w:rsid w:val="00ED0C9D"/>
    <w:rsid w:val="00ED2D11"/>
    <w:rsid w:val="00ED34F1"/>
    <w:rsid w:val="00ED5AB1"/>
    <w:rsid w:val="00ED7F9E"/>
    <w:rsid w:val="00EE10B7"/>
    <w:rsid w:val="00EE1A6D"/>
    <w:rsid w:val="00EE43E5"/>
    <w:rsid w:val="00EE4D9C"/>
    <w:rsid w:val="00EE5892"/>
    <w:rsid w:val="00EE6FE2"/>
    <w:rsid w:val="00EF0B98"/>
    <w:rsid w:val="00EF217B"/>
    <w:rsid w:val="00EF2CAA"/>
    <w:rsid w:val="00EF3C9A"/>
    <w:rsid w:val="00F0527B"/>
    <w:rsid w:val="00F05349"/>
    <w:rsid w:val="00F11095"/>
    <w:rsid w:val="00F12A8F"/>
    <w:rsid w:val="00F1339C"/>
    <w:rsid w:val="00F13E14"/>
    <w:rsid w:val="00F1463C"/>
    <w:rsid w:val="00F15050"/>
    <w:rsid w:val="00F21279"/>
    <w:rsid w:val="00F30237"/>
    <w:rsid w:val="00F3611A"/>
    <w:rsid w:val="00F3708F"/>
    <w:rsid w:val="00F42ACE"/>
    <w:rsid w:val="00F4382A"/>
    <w:rsid w:val="00F43CE1"/>
    <w:rsid w:val="00F4780E"/>
    <w:rsid w:val="00F51D02"/>
    <w:rsid w:val="00F54E6E"/>
    <w:rsid w:val="00F61B93"/>
    <w:rsid w:val="00F64057"/>
    <w:rsid w:val="00F64C5F"/>
    <w:rsid w:val="00F64D07"/>
    <w:rsid w:val="00F66F54"/>
    <w:rsid w:val="00F70D04"/>
    <w:rsid w:val="00F7166F"/>
    <w:rsid w:val="00F73191"/>
    <w:rsid w:val="00F731E1"/>
    <w:rsid w:val="00F759E3"/>
    <w:rsid w:val="00F76BDB"/>
    <w:rsid w:val="00F776F8"/>
    <w:rsid w:val="00F8164C"/>
    <w:rsid w:val="00F845F3"/>
    <w:rsid w:val="00F87467"/>
    <w:rsid w:val="00F90508"/>
    <w:rsid w:val="00F92C13"/>
    <w:rsid w:val="00F96536"/>
    <w:rsid w:val="00FA0B38"/>
    <w:rsid w:val="00FA1191"/>
    <w:rsid w:val="00FA2D7E"/>
    <w:rsid w:val="00FA2D9F"/>
    <w:rsid w:val="00FA43FB"/>
    <w:rsid w:val="00FA5304"/>
    <w:rsid w:val="00FB1817"/>
    <w:rsid w:val="00FB4324"/>
    <w:rsid w:val="00FC0CA3"/>
    <w:rsid w:val="00FC1AF0"/>
    <w:rsid w:val="00FC5D00"/>
    <w:rsid w:val="00FD074B"/>
    <w:rsid w:val="00FD0A40"/>
    <w:rsid w:val="00FD1EC6"/>
    <w:rsid w:val="00FD3606"/>
    <w:rsid w:val="00FD49FF"/>
    <w:rsid w:val="00FD580E"/>
    <w:rsid w:val="00FD7469"/>
    <w:rsid w:val="00FE6CFA"/>
    <w:rsid w:val="00FE739C"/>
    <w:rsid w:val="00FF0F79"/>
    <w:rsid w:val="00FF26DB"/>
    <w:rsid w:val="00FF56F3"/>
    <w:rsid w:val="00FF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66A6"/>
  <w15:chartTrackingRefBased/>
  <w15:docId w15:val="{7CCC5442-B6D2-4485-9295-7A492A0D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ED2"/>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191"/>
    <w:pPr>
      <w:spacing w:after="160" w:line="259"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7B6A2A"/>
    <w:rPr>
      <w:color w:val="0563C1" w:themeColor="hyperlink"/>
      <w:u w:val="single"/>
    </w:rPr>
  </w:style>
  <w:style w:type="paragraph" w:styleId="NormalWeb">
    <w:name w:val="Normal (Web)"/>
    <w:basedOn w:val="Normal"/>
    <w:uiPriority w:val="99"/>
    <w:unhideWhenUsed/>
    <w:rsid w:val="000769E4"/>
    <w:pPr>
      <w:spacing w:before="100" w:beforeAutospacing="1" w:after="100" w:afterAutospacing="1"/>
    </w:pPr>
    <w:rPr>
      <w:rFonts w:eastAsiaTheme="minorEastAsia"/>
      <w:lang w:val="en-GB" w:eastAsia="en-GB"/>
    </w:rPr>
  </w:style>
  <w:style w:type="character" w:styleId="CommentReference">
    <w:name w:val="annotation reference"/>
    <w:basedOn w:val="DefaultParagraphFont"/>
    <w:uiPriority w:val="99"/>
    <w:semiHidden/>
    <w:unhideWhenUsed/>
    <w:rsid w:val="004C6A95"/>
    <w:rPr>
      <w:sz w:val="16"/>
      <w:szCs w:val="16"/>
    </w:rPr>
  </w:style>
  <w:style w:type="paragraph" w:styleId="CommentText">
    <w:name w:val="annotation text"/>
    <w:basedOn w:val="Normal"/>
    <w:link w:val="CommentTextChar"/>
    <w:uiPriority w:val="99"/>
    <w:semiHidden/>
    <w:unhideWhenUsed/>
    <w:rsid w:val="004C6A95"/>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4C6A95"/>
    <w:rPr>
      <w:sz w:val="20"/>
      <w:szCs w:val="20"/>
    </w:rPr>
  </w:style>
  <w:style w:type="paragraph" w:styleId="CommentSubject">
    <w:name w:val="annotation subject"/>
    <w:basedOn w:val="CommentText"/>
    <w:next w:val="CommentText"/>
    <w:link w:val="CommentSubjectChar"/>
    <w:uiPriority w:val="99"/>
    <w:semiHidden/>
    <w:unhideWhenUsed/>
    <w:rsid w:val="004C6A95"/>
    <w:rPr>
      <w:b/>
      <w:bCs/>
    </w:rPr>
  </w:style>
  <w:style w:type="character" w:customStyle="1" w:styleId="CommentSubjectChar">
    <w:name w:val="Comment Subject Char"/>
    <w:basedOn w:val="CommentTextChar"/>
    <w:link w:val="CommentSubject"/>
    <w:uiPriority w:val="99"/>
    <w:semiHidden/>
    <w:rsid w:val="004C6A95"/>
    <w:rPr>
      <w:b/>
      <w:bCs/>
      <w:sz w:val="20"/>
      <w:szCs w:val="20"/>
    </w:rPr>
  </w:style>
  <w:style w:type="paragraph" w:styleId="BalloonText">
    <w:name w:val="Balloon Text"/>
    <w:basedOn w:val="Normal"/>
    <w:link w:val="BalloonTextChar"/>
    <w:uiPriority w:val="99"/>
    <w:semiHidden/>
    <w:unhideWhenUsed/>
    <w:rsid w:val="004C6A95"/>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4C6A95"/>
    <w:rPr>
      <w:rFonts w:ascii="Segoe UI" w:hAnsi="Segoe UI" w:cs="Segoe UI"/>
      <w:sz w:val="18"/>
      <w:szCs w:val="18"/>
    </w:rPr>
  </w:style>
  <w:style w:type="paragraph" w:styleId="Caption">
    <w:name w:val="caption"/>
    <w:basedOn w:val="Normal"/>
    <w:next w:val="Normal"/>
    <w:uiPriority w:val="35"/>
    <w:semiHidden/>
    <w:unhideWhenUsed/>
    <w:qFormat/>
    <w:rsid w:val="00475DC5"/>
    <w:pPr>
      <w:spacing w:after="200"/>
    </w:pPr>
    <w:rPr>
      <w:rFonts w:asciiTheme="minorHAnsi" w:eastAsiaTheme="minorHAnsi" w:hAnsiTheme="minorHAnsi" w:cstheme="minorBidi"/>
      <w:i/>
      <w:iCs/>
      <w:color w:val="44546A" w:themeColor="text2"/>
      <w:sz w:val="18"/>
      <w:szCs w:val="18"/>
      <w:lang w:val="en-US"/>
    </w:rPr>
  </w:style>
  <w:style w:type="character" w:customStyle="1" w:styleId="apple-converted-space">
    <w:name w:val="apple-converted-space"/>
    <w:basedOn w:val="DefaultParagraphFont"/>
    <w:rsid w:val="006B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98985">
      <w:bodyDiv w:val="1"/>
      <w:marLeft w:val="0"/>
      <w:marRight w:val="0"/>
      <w:marTop w:val="0"/>
      <w:marBottom w:val="0"/>
      <w:divBdr>
        <w:top w:val="none" w:sz="0" w:space="0" w:color="auto"/>
        <w:left w:val="none" w:sz="0" w:space="0" w:color="auto"/>
        <w:bottom w:val="none" w:sz="0" w:space="0" w:color="auto"/>
        <w:right w:val="none" w:sz="0" w:space="0" w:color="auto"/>
      </w:divBdr>
    </w:div>
    <w:div w:id="616791232">
      <w:bodyDiv w:val="1"/>
      <w:marLeft w:val="0"/>
      <w:marRight w:val="0"/>
      <w:marTop w:val="0"/>
      <w:marBottom w:val="0"/>
      <w:divBdr>
        <w:top w:val="none" w:sz="0" w:space="0" w:color="auto"/>
        <w:left w:val="none" w:sz="0" w:space="0" w:color="auto"/>
        <w:bottom w:val="none" w:sz="0" w:space="0" w:color="auto"/>
        <w:right w:val="none" w:sz="0" w:space="0" w:color="auto"/>
      </w:divBdr>
    </w:div>
    <w:div w:id="674262107">
      <w:bodyDiv w:val="1"/>
      <w:marLeft w:val="0"/>
      <w:marRight w:val="0"/>
      <w:marTop w:val="0"/>
      <w:marBottom w:val="0"/>
      <w:divBdr>
        <w:top w:val="none" w:sz="0" w:space="0" w:color="auto"/>
        <w:left w:val="none" w:sz="0" w:space="0" w:color="auto"/>
        <w:bottom w:val="none" w:sz="0" w:space="0" w:color="auto"/>
        <w:right w:val="none" w:sz="0" w:space="0" w:color="auto"/>
      </w:divBdr>
    </w:div>
    <w:div w:id="745805449">
      <w:bodyDiv w:val="1"/>
      <w:marLeft w:val="0"/>
      <w:marRight w:val="0"/>
      <w:marTop w:val="0"/>
      <w:marBottom w:val="0"/>
      <w:divBdr>
        <w:top w:val="none" w:sz="0" w:space="0" w:color="auto"/>
        <w:left w:val="none" w:sz="0" w:space="0" w:color="auto"/>
        <w:bottom w:val="none" w:sz="0" w:space="0" w:color="auto"/>
        <w:right w:val="none" w:sz="0" w:space="0" w:color="auto"/>
      </w:divBdr>
    </w:div>
    <w:div w:id="1174998484">
      <w:bodyDiv w:val="1"/>
      <w:marLeft w:val="0"/>
      <w:marRight w:val="0"/>
      <w:marTop w:val="0"/>
      <w:marBottom w:val="0"/>
      <w:divBdr>
        <w:top w:val="none" w:sz="0" w:space="0" w:color="auto"/>
        <w:left w:val="none" w:sz="0" w:space="0" w:color="auto"/>
        <w:bottom w:val="none" w:sz="0" w:space="0" w:color="auto"/>
        <w:right w:val="none" w:sz="0" w:space="0" w:color="auto"/>
      </w:divBdr>
    </w:div>
    <w:div w:id="1253050356">
      <w:bodyDiv w:val="1"/>
      <w:marLeft w:val="0"/>
      <w:marRight w:val="0"/>
      <w:marTop w:val="0"/>
      <w:marBottom w:val="0"/>
      <w:divBdr>
        <w:top w:val="none" w:sz="0" w:space="0" w:color="auto"/>
        <w:left w:val="none" w:sz="0" w:space="0" w:color="auto"/>
        <w:bottom w:val="none" w:sz="0" w:space="0" w:color="auto"/>
        <w:right w:val="none" w:sz="0" w:space="0" w:color="auto"/>
      </w:divBdr>
      <w:divsChild>
        <w:div w:id="1731615128">
          <w:marLeft w:val="0"/>
          <w:marRight w:val="0"/>
          <w:marTop w:val="0"/>
          <w:marBottom w:val="0"/>
          <w:divBdr>
            <w:top w:val="none" w:sz="0" w:space="0" w:color="auto"/>
            <w:left w:val="none" w:sz="0" w:space="0" w:color="auto"/>
            <w:bottom w:val="none" w:sz="0" w:space="0" w:color="auto"/>
            <w:right w:val="none" w:sz="0" w:space="0" w:color="auto"/>
          </w:divBdr>
          <w:divsChild>
            <w:div w:id="1845777904">
              <w:marLeft w:val="0"/>
              <w:marRight w:val="0"/>
              <w:marTop w:val="0"/>
              <w:marBottom w:val="0"/>
              <w:divBdr>
                <w:top w:val="none" w:sz="0" w:space="0" w:color="auto"/>
                <w:left w:val="none" w:sz="0" w:space="0" w:color="auto"/>
                <w:bottom w:val="none" w:sz="0" w:space="0" w:color="auto"/>
                <w:right w:val="none" w:sz="0" w:space="0" w:color="auto"/>
              </w:divBdr>
              <w:divsChild>
                <w:div w:id="549850256">
                  <w:marLeft w:val="0"/>
                  <w:marRight w:val="0"/>
                  <w:marTop w:val="0"/>
                  <w:marBottom w:val="0"/>
                  <w:divBdr>
                    <w:top w:val="none" w:sz="0" w:space="0" w:color="auto"/>
                    <w:left w:val="none" w:sz="0" w:space="0" w:color="auto"/>
                    <w:bottom w:val="none" w:sz="0" w:space="0" w:color="auto"/>
                    <w:right w:val="none" w:sz="0" w:space="0" w:color="auto"/>
                  </w:divBdr>
                  <w:divsChild>
                    <w:div w:id="17301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jaya@idhtrade.org" TargetMode="External"/><Relationship Id="rId13" Type="http://schemas.openxmlformats.org/officeDocument/2006/relationships/hyperlink" Target="https://goo.gl/kAz3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goo.gl/15RNn3" TargetMode="External"/><Relationship Id="rId17"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goo.gl/kzR1gw" TargetMode="External"/><Relationship Id="rId5" Type="http://schemas.openxmlformats.org/officeDocument/2006/relationships/webSettings" Target="webSettings.xml"/><Relationship Id="rId15" Type="http://schemas.openxmlformats.org/officeDocument/2006/relationships/hyperlink" Target="https://goo.gl/waUoju" TargetMode="External"/><Relationship Id="rId10" Type="http://schemas.openxmlformats.org/officeDocument/2006/relationships/hyperlink" Target="mailto:adiyani200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sti.hardiansyah@gmail.com" TargetMode="External"/><Relationship Id="rId14" Type="http://schemas.openxmlformats.org/officeDocument/2006/relationships/hyperlink" Target="https://goo.gl/Yt56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8984-517E-6549-8325-158A7A5B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9711</Words>
  <Characters>55354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UNDP REDD+ Team</cp:lastModifiedBy>
  <cp:revision>2</cp:revision>
  <cp:lastPrinted>2018-04-30T03:44:00Z</cp:lastPrinted>
  <dcterms:created xsi:type="dcterms:W3CDTF">2018-11-08T16:53:00Z</dcterms:created>
  <dcterms:modified xsi:type="dcterms:W3CDTF">2018-11-08T16:53:00Z</dcterms:modified>
</cp:coreProperties>
</file>