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CA489" w14:textId="77777777" w:rsidR="00EA0A65" w:rsidRDefault="00EA0A65">
      <w:pPr>
        <w:widowControl w:val="0"/>
        <w:pBdr>
          <w:top w:val="nil"/>
          <w:left w:val="nil"/>
          <w:bottom w:val="nil"/>
          <w:right w:val="nil"/>
          <w:between w:val="nil"/>
        </w:pBdr>
        <w:spacing w:line="276" w:lineRule="auto"/>
        <w:rPr>
          <w:rFonts w:ascii="Arial" w:eastAsia="Arial" w:hAnsi="Arial" w:cs="Arial"/>
          <w:color w:val="000000"/>
          <w:sz w:val="22"/>
          <w:szCs w:val="22"/>
        </w:rPr>
      </w:pPr>
      <w:bookmarkStart w:id="0" w:name="_GoBack"/>
      <w:bookmarkEnd w:id="0"/>
    </w:p>
    <w:tbl>
      <w:tblPr>
        <w:tblStyle w:val="a"/>
        <w:tblW w:w="9072" w:type="dxa"/>
        <w:tblBorders>
          <w:top w:val="nil"/>
          <w:left w:val="nil"/>
          <w:bottom w:val="nil"/>
          <w:right w:val="nil"/>
          <w:insideH w:val="nil"/>
          <w:insideV w:val="nil"/>
        </w:tblBorders>
        <w:tblLayout w:type="fixed"/>
        <w:tblLook w:val="0400" w:firstRow="0" w:lastRow="0" w:firstColumn="0" w:lastColumn="0" w:noHBand="0" w:noVBand="1"/>
      </w:tblPr>
      <w:tblGrid>
        <w:gridCol w:w="4962"/>
        <w:gridCol w:w="1925"/>
        <w:gridCol w:w="2185"/>
      </w:tblGrid>
      <w:tr w:rsidR="00EA0A65" w14:paraId="73942136" w14:textId="77777777">
        <w:tc>
          <w:tcPr>
            <w:tcW w:w="4962" w:type="dxa"/>
          </w:tcPr>
          <w:p w14:paraId="4B9104F8" w14:textId="77777777" w:rsidR="00EA0A65" w:rsidRDefault="002959E9">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w:t>
            </w:r>
            <w:r>
              <w:rPr>
                <w:rFonts w:ascii="Arial Narrow" w:eastAsia="Arial Narrow" w:hAnsi="Arial Narrow" w:cs="Arial Narrow"/>
                <w:b/>
                <w:noProof/>
                <w:sz w:val="20"/>
                <w:szCs w:val="20"/>
                <w:lang w:val="es-ES_tradnl" w:eastAsia="es-ES_tradnl"/>
              </w:rPr>
              <w:drawing>
                <wp:inline distT="0" distB="0" distL="0" distR="0" wp14:anchorId="6233B697" wp14:editId="74F0A188">
                  <wp:extent cx="2859856" cy="1041345"/>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859856" cy="1041345"/>
                          </a:xfrm>
                          <a:prstGeom prst="rect">
                            <a:avLst/>
                          </a:prstGeom>
                          <a:ln/>
                        </pic:spPr>
                      </pic:pic>
                    </a:graphicData>
                  </a:graphic>
                </wp:inline>
              </w:drawing>
            </w:r>
          </w:p>
        </w:tc>
        <w:tc>
          <w:tcPr>
            <w:tcW w:w="1925" w:type="dxa"/>
          </w:tcPr>
          <w:p w14:paraId="157878D6" w14:textId="77777777" w:rsidR="00EA0A65" w:rsidRDefault="002959E9">
            <w:pPr>
              <w:widowControl w:val="0"/>
              <w:jc w:val="center"/>
              <w:rPr>
                <w:rFonts w:ascii="Arial Narrow" w:eastAsia="Arial Narrow" w:hAnsi="Arial Narrow" w:cs="Arial Narrow"/>
                <w:sz w:val="20"/>
                <w:szCs w:val="20"/>
              </w:rPr>
            </w:pPr>
            <w:r>
              <w:rPr>
                <w:rFonts w:ascii="Arial Narrow" w:eastAsia="Arial Narrow" w:hAnsi="Arial Narrow" w:cs="Arial Narrow"/>
                <w:b/>
                <w:noProof/>
                <w:sz w:val="20"/>
                <w:szCs w:val="20"/>
                <w:lang w:val="es-ES_tradnl" w:eastAsia="es-ES_tradnl"/>
              </w:rPr>
              <w:drawing>
                <wp:inline distT="0" distB="0" distL="0" distR="0" wp14:anchorId="4E71E713" wp14:editId="02BAA9BC">
                  <wp:extent cx="970108" cy="1578691"/>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70108" cy="1578691"/>
                          </a:xfrm>
                          <a:prstGeom prst="rect">
                            <a:avLst/>
                          </a:prstGeom>
                          <a:ln/>
                        </pic:spPr>
                      </pic:pic>
                    </a:graphicData>
                  </a:graphic>
                </wp:inline>
              </w:drawing>
            </w:r>
          </w:p>
        </w:tc>
        <w:tc>
          <w:tcPr>
            <w:tcW w:w="2185" w:type="dxa"/>
          </w:tcPr>
          <w:p w14:paraId="49C05BF2" w14:textId="77777777" w:rsidR="00EA0A65" w:rsidRDefault="002959E9">
            <w:pPr>
              <w:widowControl w:val="0"/>
              <w:jc w:val="center"/>
              <w:rPr>
                <w:rFonts w:ascii="Arial Narrow" w:eastAsia="Arial Narrow" w:hAnsi="Arial Narrow" w:cs="Arial Narrow"/>
                <w:sz w:val="20"/>
                <w:szCs w:val="20"/>
              </w:rPr>
            </w:pPr>
            <w:r>
              <w:rPr>
                <w:rFonts w:ascii="Arial Narrow" w:eastAsia="Arial Narrow" w:hAnsi="Arial Narrow" w:cs="Arial Narrow"/>
                <w:noProof/>
                <w:sz w:val="20"/>
                <w:szCs w:val="20"/>
                <w:lang w:val="es-ES_tradnl" w:eastAsia="es-ES_tradnl"/>
              </w:rPr>
              <w:drawing>
                <wp:inline distT="0" distB="0" distL="0" distR="0" wp14:anchorId="4E0E3F01" wp14:editId="1393DB91">
                  <wp:extent cx="1109120" cy="1377789"/>
                  <wp:effectExtent l="0" t="0" r="0" b="0"/>
                  <wp:docPr id="2" name="image5.png" descr="http://www.regionamazonas.gob.pe/docs/portal/entidad/2/logo_gra.png"/>
                  <wp:cNvGraphicFramePr/>
                  <a:graphic xmlns:a="http://schemas.openxmlformats.org/drawingml/2006/main">
                    <a:graphicData uri="http://schemas.openxmlformats.org/drawingml/2006/picture">
                      <pic:pic xmlns:pic="http://schemas.openxmlformats.org/drawingml/2006/picture">
                        <pic:nvPicPr>
                          <pic:cNvPr id="0" name="image5.png" descr="http://www.regionamazonas.gob.pe/docs/portal/entidad/2/logo_gra.png"/>
                          <pic:cNvPicPr preferRelativeResize="0"/>
                        </pic:nvPicPr>
                        <pic:blipFill>
                          <a:blip r:embed="rId10"/>
                          <a:srcRect/>
                          <a:stretch>
                            <a:fillRect/>
                          </a:stretch>
                        </pic:blipFill>
                        <pic:spPr>
                          <a:xfrm>
                            <a:off x="0" y="0"/>
                            <a:ext cx="1109120" cy="1377789"/>
                          </a:xfrm>
                          <a:prstGeom prst="rect">
                            <a:avLst/>
                          </a:prstGeom>
                          <a:ln/>
                        </pic:spPr>
                      </pic:pic>
                    </a:graphicData>
                  </a:graphic>
                </wp:inline>
              </w:drawing>
            </w:r>
          </w:p>
        </w:tc>
      </w:tr>
    </w:tbl>
    <w:p w14:paraId="14CB0DB4" w14:textId="77777777" w:rsidR="00EA0A65" w:rsidRDefault="00EA0A65">
      <w:pPr>
        <w:widowControl w:val="0"/>
        <w:rPr>
          <w:rFonts w:ascii="Arial Narrow" w:eastAsia="Arial Narrow" w:hAnsi="Arial Narrow" w:cs="Arial Narrow"/>
          <w:sz w:val="20"/>
          <w:szCs w:val="20"/>
        </w:rPr>
      </w:pPr>
    </w:p>
    <w:p w14:paraId="4CD97A3F" w14:textId="77777777" w:rsidR="00EA0A65" w:rsidRDefault="002959E9">
      <w:pPr>
        <w:widowControl w:val="0"/>
        <w:jc w:val="center"/>
        <w:rPr>
          <w:rFonts w:ascii="Arial Narrow" w:eastAsia="Arial Narrow" w:hAnsi="Arial Narrow" w:cs="Arial Narrow"/>
          <w:b/>
          <w:sz w:val="20"/>
          <w:szCs w:val="20"/>
        </w:rPr>
      </w:pPr>
      <w:bookmarkStart w:id="1" w:name="_gjdgxs" w:colFirst="0" w:colLast="0"/>
      <w:bookmarkEnd w:id="1"/>
      <w:r>
        <w:rPr>
          <w:rFonts w:ascii="Arial Narrow" w:eastAsia="Arial Narrow" w:hAnsi="Arial Narrow" w:cs="Arial Narrow"/>
          <w:b/>
          <w:sz w:val="20"/>
          <w:szCs w:val="20"/>
        </w:rPr>
        <w:t>Concertando el desarrollo rural bajo en emisiones: diseño participativo de una estrategia y plan de inversiones para promover el desarrollo rural bajo en emisiones y reducir la deforestación en la Región Amazonas.</w:t>
      </w:r>
    </w:p>
    <w:p w14:paraId="4E33A425" w14:textId="77777777" w:rsidR="00EA0A65" w:rsidRDefault="00EA0A65">
      <w:pPr>
        <w:widowControl w:val="0"/>
        <w:rPr>
          <w:rFonts w:ascii="Arial Narrow" w:eastAsia="Arial Narrow" w:hAnsi="Arial Narrow" w:cs="Arial Narrow"/>
          <w:sz w:val="20"/>
          <w:szCs w:val="20"/>
        </w:rPr>
      </w:pPr>
    </w:p>
    <w:p w14:paraId="2E2CF071"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b/>
          <w:sz w:val="20"/>
          <w:szCs w:val="20"/>
        </w:rPr>
      </w:pPr>
      <w:r>
        <w:rPr>
          <w:rFonts w:ascii="Arial Narrow" w:eastAsia="Arial Narrow" w:hAnsi="Arial Narrow" w:cs="Arial Narrow"/>
          <w:b/>
          <w:sz w:val="20"/>
          <w:szCs w:val="20"/>
        </w:rPr>
        <w:t>Información general</w:t>
      </w:r>
    </w:p>
    <w:p w14:paraId="0D10E018"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b/>
          <w:sz w:val="20"/>
          <w:szCs w:val="20"/>
        </w:rPr>
      </w:pPr>
    </w:p>
    <w:p w14:paraId="5B719F4E"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Solicitante:</w:t>
      </w:r>
      <w:r>
        <w:rPr>
          <w:rFonts w:ascii="Arial Narrow" w:eastAsia="Arial Narrow" w:hAnsi="Arial Narrow" w:cs="Arial Narrow"/>
          <w:sz w:val="20"/>
          <w:szCs w:val="20"/>
        </w:rPr>
        <w:tab/>
        <w:t xml:space="preserve">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color w:val="000000"/>
          <w:sz w:val="20"/>
          <w:szCs w:val="20"/>
        </w:rPr>
        <w:t>Earth Innovation Institute (EII)</w:t>
      </w:r>
    </w:p>
    <w:p w14:paraId="30F96215" w14:textId="77777777" w:rsidR="00EA0A65" w:rsidRPr="00E32333"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Jurisdicción: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sidRPr="00E32333">
        <w:rPr>
          <w:rFonts w:ascii="Arial Narrow" w:eastAsia="Arial Narrow" w:hAnsi="Arial Narrow" w:cs="Arial Narrow"/>
          <w:sz w:val="20"/>
          <w:szCs w:val="20"/>
        </w:rPr>
        <w:t>Amazonas</w:t>
      </w:r>
    </w:p>
    <w:p w14:paraId="6A3484EF" w14:textId="77777777" w:rsidR="00EA0A65" w:rsidRPr="00E32333" w:rsidRDefault="002959E9">
      <w:pPr>
        <w:widowControl w:val="0"/>
        <w:pBdr>
          <w:top w:val="single" w:sz="4" w:space="1" w:color="000000"/>
          <w:left w:val="single" w:sz="4" w:space="4" w:color="000000"/>
          <w:bottom w:val="single" w:sz="4" w:space="1" w:color="000000"/>
          <w:right w:val="single" w:sz="4" w:space="4" w:color="000000"/>
        </w:pBdr>
        <w:ind w:left="2880" w:hanging="2880"/>
        <w:jc w:val="both"/>
        <w:rPr>
          <w:rFonts w:ascii="Arial Narrow" w:eastAsia="Arial Narrow" w:hAnsi="Arial Narrow" w:cs="Arial Narrow"/>
          <w:b/>
          <w:sz w:val="20"/>
          <w:szCs w:val="20"/>
          <w:u w:val="single"/>
        </w:rPr>
      </w:pPr>
      <w:r w:rsidRPr="00E32333">
        <w:rPr>
          <w:rFonts w:ascii="Arial Narrow" w:eastAsia="Arial Narrow" w:hAnsi="Arial Narrow" w:cs="Arial Narrow"/>
          <w:sz w:val="20"/>
          <w:szCs w:val="20"/>
        </w:rPr>
        <w:t xml:space="preserve">Título del proyecto: </w:t>
      </w:r>
      <w:r w:rsidRPr="00E32333">
        <w:rPr>
          <w:rFonts w:ascii="Arial Narrow" w:eastAsia="Arial Narrow" w:hAnsi="Arial Narrow" w:cs="Arial Narrow"/>
          <w:sz w:val="20"/>
          <w:szCs w:val="20"/>
        </w:rPr>
        <w:tab/>
        <w:t>Concertando el desarrollo rural bajo en emisiones: diseño participativo de una estrategia y plan de inversiones para promover el desarrollo rural bajo en emisiones y reducir la deforestación en la Región Amazonas</w:t>
      </w:r>
      <w:r w:rsidRPr="00E32333">
        <w:rPr>
          <w:rFonts w:ascii="Arial Narrow" w:eastAsia="Arial Narrow" w:hAnsi="Arial Narrow" w:cs="Arial Narrow"/>
          <w:b/>
          <w:sz w:val="20"/>
          <w:szCs w:val="20"/>
        </w:rPr>
        <w:t>.</w:t>
      </w:r>
    </w:p>
    <w:p w14:paraId="7BDCC5B3" w14:textId="77777777" w:rsidR="00EA0A65" w:rsidRPr="00E32333"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sidRPr="00E32333">
        <w:rPr>
          <w:rFonts w:ascii="Arial Narrow" w:eastAsia="Arial Narrow" w:hAnsi="Arial Narrow" w:cs="Arial Narrow"/>
          <w:sz w:val="20"/>
          <w:szCs w:val="20"/>
        </w:rPr>
        <w:t xml:space="preserve">Fecha de inicio propuesta: </w:t>
      </w:r>
      <w:r w:rsidRPr="00E32333">
        <w:rPr>
          <w:rFonts w:ascii="Arial Narrow" w:eastAsia="Arial Narrow" w:hAnsi="Arial Narrow" w:cs="Arial Narrow"/>
          <w:sz w:val="20"/>
          <w:szCs w:val="20"/>
        </w:rPr>
        <w:tab/>
      </w:r>
      <w:r w:rsidRPr="00E32333">
        <w:rPr>
          <w:rFonts w:ascii="Arial Narrow" w:eastAsia="Arial Narrow" w:hAnsi="Arial Narrow" w:cs="Arial Narrow"/>
          <w:sz w:val="20"/>
          <w:szCs w:val="20"/>
        </w:rPr>
        <w:tab/>
        <w:t>1 octubre 2018</w:t>
      </w:r>
    </w:p>
    <w:p w14:paraId="5F994E0D" w14:textId="30F6C258" w:rsidR="00EA0A65" w:rsidRPr="00E32333" w:rsidRDefault="002959E9" w:rsidP="00E32333">
      <w:pPr>
        <w:widowControl w:val="0"/>
        <w:pBdr>
          <w:top w:val="single" w:sz="4" w:space="1" w:color="000000"/>
          <w:left w:val="single" w:sz="4" w:space="4" w:color="000000"/>
          <w:bottom w:val="single" w:sz="4" w:space="1" w:color="000000"/>
          <w:right w:val="single" w:sz="4" w:space="4" w:color="000000"/>
        </w:pBdr>
        <w:tabs>
          <w:tab w:val="left" w:pos="720"/>
          <w:tab w:val="left" w:pos="1440"/>
          <w:tab w:val="left" w:pos="2160"/>
          <w:tab w:val="left" w:pos="2880"/>
          <w:tab w:val="left" w:pos="3600"/>
          <w:tab w:val="left" w:pos="4054"/>
        </w:tabs>
        <w:rPr>
          <w:rFonts w:ascii="Arial Narrow" w:eastAsia="Arial Narrow" w:hAnsi="Arial Narrow" w:cs="Arial Narrow"/>
          <w:sz w:val="20"/>
          <w:szCs w:val="20"/>
        </w:rPr>
      </w:pPr>
      <w:r w:rsidRPr="00E32333">
        <w:rPr>
          <w:rFonts w:ascii="Arial Narrow" w:eastAsia="Arial Narrow" w:hAnsi="Arial Narrow" w:cs="Arial Narrow"/>
          <w:sz w:val="20"/>
          <w:szCs w:val="20"/>
        </w:rPr>
        <w:t xml:space="preserve">Duración propuesta: </w:t>
      </w:r>
      <w:r w:rsidRPr="00E32333">
        <w:rPr>
          <w:rFonts w:ascii="Arial Narrow" w:eastAsia="Arial Narrow" w:hAnsi="Arial Narrow" w:cs="Arial Narrow"/>
          <w:sz w:val="20"/>
          <w:szCs w:val="20"/>
        </w:rPr>
        <w:tab/>
      </w:r>
      <w:r w:rsidRPr="00E32333">
        <w:rPr>
          <w:rFonts w:ascii="Arial Narrow" w:eastAsia="Arial Narrow" w:hAnsi="Arial Narrow" w:cs="Arial Narrow"/>
          <w:sz w:val="20"/>
          <w:szCs w:val="20"/>
        </w:rPr>
        <w:tab/>
        <w:t>18 meses</w:t>
      </w:r>
      <w:r w:rsidR="00E32333" w:rsidRPr="00E32333">
        <w:rPr>
          <w:rFonts w:ascii="Arial Narrow" w:eastAsia="Arial Narrow" w:hAnsi="Arial Narrow" w:cs="Arial Narrow"/>
          <w:sz w:val="20"/>
          <w:szCs w:val="20"/>
        </w:rPr>
        <w:tab/>
      </w:r>
    </w:p>
    <w:p w14:paraId="17542377" w14:textId="331B184D"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sidRPr="00E32333">
        <w:rPr>
          <w:rFonts w:ascii="Arial Narrow" w:eastAsia="Arial Narrow" w:hAnsi="Arial Narrow" w:cs="Arial Narrow"/>
          <w:sz w:val="20"/>
          <w:szCs w:val="20"/>
        </w:rPr>
        <w:t xml:space="preserve">Solicitud total en USD :  </w:t>
      </w:r>
      <w:r w:rsidRPr="00E32333">
        <w:rPr>
          <w:rFonts w:ascii="Arial Narrow" w:eastAsia="Arial Narrow" w:hAnsi="Arial Narrow" w:cs="Arial Narrow"/>
          <w:sz w:val="20"/>
          <w:szCs w:val="20"/>
        </w:rPr>
        <w:tab/>
      </w:r>
      <w:r w:rsidRPr="00E32333">
        <w:rPr>
          <w:rFonts w:ascii="Arial Narrow" w:eastAsia="Arial Narrow" w:hAnsi="Arial Narrow" w:cs="Arial Narrow"/>
          <w:sz w:val="20"/>
          <w:szCs w:val="20"/>
        </w:rPr>
        <w:tab/>
        <w:t>USD</w:t>
      </w:r>
      <w:r w:rsidR="00E32333" w:rsidRPr="00E32333">
        <w:rPr>
          <w:rFonts w:ascii="Arial Narrow" w:eastAsia="Arial Narrow" w:hAnsi="Arial Narrow" w:cs="Arial Narrow"/>
          <w:sz w:val="20"/>
          <w:szCs w:val="20"/>
        </w:rPr>
        <w:t xml:space="preserve"> 389,99</w:t>
      </w:r>
      <w:r w:rsidR="0037402A">
        <w:rPr>
          <w:rFonts w:ascii="Arial Narrow" w:eastAsia="Arial Narrow" w:hAnsi="Arial Narrow" w:cs="Arial Narrow"/>
          <w:sz w:val="20"/>
          <w:szCs w:val="20"/>
        </w:rPr>
        <w:t>6</w:t>
      </w:r>
      <w:r w:rsidR="00E32333" w:rsidRPr="00E32333">
        <w:rPr>
          <w:rFonts w:ascii="Arial Narrow" w:eastAsia="Arial Narrow" w:hAnsi="Arial Narrow" w:cs="Arial Narrow"/>
          <w:sz w:val="20"/>
          <w:szCs w:val="20"/>
        </w:rPr>
        <w:t>,00</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p>
    <w:p w14:paraId="11E13E70"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p>
    <w:p w14:paraId="0924F6A1" w14:textId="77777777" w:rsidR="00EA0A65" w:rsidRDefault="00EA0A65">
      <w:pPr>
        <w:widowControl w:val="0"/>
        <w:rPr>
          <w:rFonts w:ascii="Arial Narrow" w:eastAsia="Arial Narrow" w:hAnsi="Arial Narrow" w:cs="Arial Narrow"/>
          <w:sz w:val="20"/>
          <w:szCs w:val="20"/>
        </w:rPr>
      </w:pPr>
    </w:p>
    <w:p w14:paraId="6A162AD8"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b/>
          <w:sz w:val="20"/>
          <w:szCs w:val="20"/>
        </w:rPr>
      </w:pPr>
      <w:r>
        <w:rPr>
          <w:rFonts w:ascii="Arial Narrow" w:eastAsia="Arial Narrow" w:hAnsi="Arial Narrow" w:cs="Arial Narrow"/>
          <w:b/>
          <w:sz w:val="20"/>
          <w:szCs w:val="20"/>
        </w:rPr>
        <w:t>Datos de contacto del solicitante</w:t>
      </w:r>
    </w:p>
    <w:p w14:paraId="6F768EB0"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b/>
          <w:sz w:val="20"/>
          <w:szCs w:val="20"/>
        </w:rPr>
      </w:pPr>
    </w:p>
    <w:p w14:paraId="324CD732"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b/>
          <w:sz w:val="20"/>
          <w:szCs w:val="20"/>
        </w:rPr>
      </w:pPr>
    </w:p>
    <w:p w14:paraId="48E86A50"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Nombre del contacto: </w:t>
      </w:r>
      <w:r>
        <w:rPr>
          <w:rFonts w:ascii="Arial Narrow" w:eastAsia="Arial Narrow" w:hAnsi="Arial Narrow" w:cs="Arial Narrow"/>
          <w:sz w:val="20"/>
          <w:szCs w:val="20"/>
        </w:rPr>
        <w:tab/>
      </w:r>
      <w:r>
        <w:rPr>
          <w:rFonts w:ascii="Arial Narrow" w:eastAsia="Arial Narrow" w:hAnsi="Arial Narrow" w:cs="Arial Narrow"/>
          <w:sz w:val="20"/>
          <w:szCs w:val="20"/>
        </w:rPr>
        <w:tab/>
        <w:t>Gilmer Wilson Horna Corrales</w:t>
      </w:r>
    </w:p>
    <w:p w14:paraId="17434E0A"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Título: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Gobernador Regional</w:t>
      </w:r>
    </w:p>
    <w:p w14:paraId="0C159A58"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Organización: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Gobierno Regional de Amazonas</w:t>
      </w:r>
    </w:p>
    <w:p w14:paraId="33CEEB1A"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Dirección:</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Jr. Ortiz Arrieta 1250 Chachapoyas. Amazonas </w:t>
      </w:r>
    </w:p>
    <w:p w14:paraId="241E02B6"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Teléfono: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color w:val="333333"/>
          <w:sz w:val="20"/>
          <w:szCs w:val="20"/>
          <w:highlight w:val="white"/>
        </w:rPr>
        <w:t>(</w:t>
      </w:r>
      <w:r>
        <w:rPr>
          <w:rFonts w:ascii="Arial Narrow" w:eastAsia="Arial Narrow" w:hAnsi="Arial Narrow" w:cs="Arial Narrow"/>
          <w:sz w:val="20"/>
          <w:szCs w:val="20"/>
        </w:rPr>
        <w:t xml:space="preserve">51) 041-478131 </w:t>
      </w:r>
    </w:p>
    <w:p w14:paraId="2E5AD7C9"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Correo electrónico: </w:t>
      </w:r>
      <w:r>
        <w:rPr>
          <w:rFonts w:ascii="Arial Narrow" w:eastAsia="Arial Narrow" w:hAnsi="Arial Narrow" w:cs="Arial Narrow"/>
          <w:sz w:val="20"/>
          <w:szCs w:val="20"/>
        </w:rPr>
        <w:tab/>
      </w:r>
      <w:r>
        <w:rPr>
          <w:rFonts w:ascii="Arial Narrow" w:eastAsia="Arial Narrow" w:hAnsi="Arial Narrow" w:cs="Arial Narrow"/>
          <w:color w:val="0563C1"/>
          <w:sz w:val="20"/>
          <w:szCs w:val="20"/>
        </w:rPr>
        <w:t xml:space="preserve">                                </w:t>
      </w:r>
      <w:hyperlink r:id="rId11">
        <w:r>
          <w:rPr>
            <w:rFonts w:ascii="Arial Narrow" w:eastAsia="Arial Narrow" w:hAnsi="Arial Narrow" w:cs="Arial Narrow"/>
            <w:color w:val="0563C1"/>
            <w:sz w:val="20"/>
            <w:szCs w:val="20"/>
            <w:u w:val="single"/>
          </w:rPr>
          <w:t>ghorna@regionamazonas.gob.pe</w:t>
        </w:r>
      </w:hyperlink>
      <w:r>
        <w:rPr>
          <w:rFonts w:ascii="Arial Narrow" w:eastAsia="Arial Narrow" w:hAnsi="Arial Narrow" w:cs="Arial Narrow"/>
          <w:color w:val="0563C1"/>
          <w:sz w:val="20"/>
          <w:szCs w:val="20"/>
          <w:u w:val="single"/>
        </w:rPr>
        <w:t xml:space="preserve"> </w:t>
      </w:r>
    </w:p>
    <w:p w14:paraId="6E15016C"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b/>
          <w:sz w:val="20"/>
          <w:szCs w:val="20"/>
        </w:rPr>
      </w:pPr>
    </w:p>
    <w:p w14:paraId="36E49069"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Nombre del contacto: </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Daniel Nepstad </w:t>
      </w:r>
    </w:p>
    <w:p w14:paraId="7984CF80"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Título: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Director Ejecutivo</w:t>
      </w:r>
    </w:p>
    <w:p w14:paraId="77196D03" w14:textId="77777777" w:rsidR="00EA0A65" w:rsidRPr="00723292"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lang w:val="en-AU"/>
        </w:rPr>
      </w:pPr>
      <w:r w:rsidRPr="00723292">
        <w:rPr>
          <w:rFonts w:ascii="Arial Narrow" w:eastAsia="Arial Narrow" w:hAnsi="Arial Narrow" w:cs="Arial Narrow"/>
          <w:sz w:val="20"/>
          <w:szCs w:val="20"/>
          <w:lang w:val="en-AU"/>
        </w:rPr>
        <w:t xml:space="preserve">Organización: </w:t>
      </w:r>
      <w:r w:rsidRPr="00723292">
        <w:rPr>
          <w:rFonts w:ascii="Arial Narrow" w:eastAsia="Arial Narrow" w:hAnsi="Arial Narrow" w:cs="Arial Narrow"/>
          <w:sz w:val="20"/>
          <w:szCs w:val="20"/>
          <w:lang w:val="en-AU"/>
        </w:rPr>
        <w:tab/>
      </w:r>
      <w:r w:rsidRPr="00723292">
        <w:rPr>
          <w:rFonts w:ascii="Arial Narrow" w:eastAsia="Arial Narrow" w:hAnsi="Arial Narrow" w:cs="Arial Narrow"/>
          <w:sz w:val="20"/>
          <w:szCs w:val="20"/>
          <w:lang w:val="en-AU"/>
        </w:rPr>
        <w:tab/>
      </w:r>
      <w:r w:rsidRPr="00723292">
        <w:rPr>
          <w:rFonts w:ascii="Arial Narrow" w:eastAsia="Arial Narrow" w:hAnsi="Arial Narrow" w:cs="Arial Narrow"/>
          <w:sz w:val="20"/>
          <w:szCs w:val="20"/>
          <w:lang w:val="en-AU"/>
        </w:rPr>
        <w:tab/>
        <w:t>Earth Innovation Institute</w:t>
      </w:r>
    </w:p>
    <w:p w14:paraId="257814B0" w14:textId="77777777" w:rsidR="00EA0A65" w:rsidRPr="002959E9"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lang w:val="en-US"/>
        </w:rPr>
      </w:pPr>
      <w:r w:rsidRPr="002959E9">
        <w:rPr>
          <w:rFonts w:ascii="Arial Narrow" w:eastAsia="Arial Narrow" w:hAnsi="Arial Narrow" w:cs="Arial Narrow"/>
          <w:sz w:val="20"/>
          <w:szCs w:val="20"/>
          <w:lang w:val="en-US"/>
        </w:rPr>
        <w:t>Dirección:</w:t>
      </w:r>
      <w:r w:rsidRPr="002959E9">
        <w:rPr>
          <w:rFonts w:ascii="Arial Narrow" w:eastAsia="Arial Narrow" w:hAnsi="Arial Narrow" w:cs="Arial Narrow"/>
          <w:sz w:val="20"/>
          <w:szCs w:val="20"/>
          <w:lang w:val="en-US"/>
        </w:rPr>
        <w:tab/>
      </w:r>
      <w:r w:rsidRPr="002959E9">
        <w:rPr>
          <w:rFonts w:ascii="Arial Narrow" w:eastAsia="Arial Narrow" w:hAnsi="Arial Narrow" w:cs="Arial Narrow"/>
          <w:sz w:val="20"/>
          <w:szCs w:val="20"/>
          <w:lang w:val="en-US"/>
        </w:rPr>
        <w:tab/>
      </w:r>
      <w:r w:rsidRPr="002959E9">
        <w:rPr>
          <w:rFonts w:ascii="Arial Narrow" w:eastAsia="Arial Narrow" w:hAnsi="Arial Narrow" w:cs="Arial Narrow"/>
          <w:sz w:val="20"/>
          <w:szCs w:val="20"/>
          <w:lang w:val="en-US"/>
        </w:rPr>
        <w:tab/>
        <w:t>98 Battery Street, Suite 250, San Francisco, CA 94111</w:t>
      </w:r>
    </w:p>
    <w:p w14:paraId="0ABE5C83"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Teléfono: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(415) 449-9900</w:t>
      </w:r>
    </w:p>
    <w:p w14:paraId="43EFC663"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Correo electrónico: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hyperlink r:id="rId12">
        <w:r>
          <w:rPr>
            <w:rFonts w:ascii="Arial Narrow" w:eastAsia="Arial Narrow" w:hAnsi="Arial Narrow" w:cs="Arial Narrow"/>
            <w:color w:val="0563C1"/>
            <w:sz w:val="20"/>
            <w:szCs w:val="20"/>
            <w:u w:val="single"/>
          </w:rPr>
          <w:t>dnepstad@earthinnovation.org</w:t>
        </w:r>
      </w:hyperlink>
    </w:p>
    <w:p w14:paraId="609A91AA"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p>
    <w:p w14:paraId="24D30E76"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p>
    <w:p w14:paraId="4FDE8754"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p>
    <w:p w14:paraId="26FA7FC7" w14:textId="77777777" w:rsidR="00EA0A65" w:rsidRDefault="00EA0A65">
      <w:pPr>
        <w:widowControl w:val="0"/>
        <w:rPr>
          <w:rFonts w:ascii="Arial Narrow" w:eastAsia="Arial Narrow" w:hAnsi="Arial Narrow" w:cs="Arial Narrow"/>
          <w:sz w:val="20"/>
          <w:szCs w:val="20"/>
        </w:rPr>
      </w:pPr>
    </w:p>
    <w:p w14:paraId="7304BC19"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b/>
          <w:sz w:val="20"/>
          <w:szCs w:val="20"/>
        </w:rPr>
      </w:pPr>
      <w:r>
        <w:rPr>
          <w:rFonts w:ascii="Arial Narrow" w:eastAsia="Arial Narrow" w:hAnsi="Arial Narrow" w:cs="Arial Narrow"/>
          <w:b/>
          <w:sz w:val="20"/>
          <w:szCs w:val="20"/>
        </w:rPr>
        <w:t>Datos de contacto del gobierno subnacional</w:t>
      </w:r>
    </w:p>
    <w:p w14:paraId="17B0FDE0"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b/>
          <w:i/>
          <w:sz w:val="20"/>
          <w:szCs w:val="20"/>
        </w:rPr>
      </w:pPr>
    </w:p>
    <w:p w14:paraId="7C083856"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b/>
          <w:i/>
          <w:sz w:val="20"/>
          <w:szCs w:val="20"/>
        </w:rPr>
      </w:pPr>
    </w:p>
    <w:p w14:paraId="626643C3"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Nombre del contacto:  </w:t>
      </w:r>
      <w:r>
        <w:rPr>
          <w:rFonts w:ascii="Arial Narrow" w:eastAsia="Arial Narrow" w:hAnsi="Arial Narrow" w:cs="Arial Narrow"/>
          <w:sz w:val="20"/>
          <w:szCs w:val="20"/>
        </w:rPr>
        <w:tab/>
      </w:r>
      <w:r>
        <w:rPr>
          <w:rFonts w:ascii="Arial Narrow" w:eastAsia="Arial Narrow" w:hAnsi="Arial Narrow" w:cs="Arial Narrow"/>
          <w:sz w:val="20"/>
          <w:szCs w:val="20"/>
        </w:rPr>
        <w:tab/>
        <w:t>Percy Oswaldo Chávez Escalante</w:t>
      </w:r>
    </w:p>
    <w:p w14:paraId="084267E2"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Título:</w:t>
      </w:r>
      <w:r>
        <w:rPr>
          <w:rFonts w:ascii="Arial Narrow" w:eastAsia="Arial Narrow" w:hAnsi="Arial Narrow" w:cs="Arial Narrow"/>
          <w:color w:val="333333"/>
          <w:sz w:val="20"/>
          <w:szCs w:val="20"/>
          <w:highlight w:val="white"/>
        </w:rPr>
        <w:t xml:space="preserve"> </w:t>
      </w:r>
      <w:r>
        <w:rPr>
          <w:rFonts w:ascii="Arial Narrow" w:eastAsia="Arial Narrow" w:hAnsi="Arial Narrow" w:cs="Arial Narrow"/>
          <w:color w:val="333333"/>
          <w:sz w:val="20"/>
          <w:szCs w:val="20"/>
          <w:highlight w:val="white"/>
        </w:rPr>
        <w:tab/>
      </w:r>
      <w:r>
        <w:rPr>
          <w:rFonts w:ascii="Arial Narrow" w:eastAsia="Arial Narrow" w:hAnsi="Arial Narrow" w:cs="Arial Narrow"/>
          <w:color w:val="333333"/>
          <w:sz w:val="20"/>
          <w:szCs w:val="20"/>
          <w:highlight w:val="white"/>
        </w:rPr>
        <w:tab/>
      </w:r>
      <w:r>
        <w:rPr>
          <w:rFonts w:ascii="Arial Narrow" w:eastAsia="Arial Narrow" w:hAnsi="Arial Narrow" w:cs="Arial Narrow"/>
          <w:color w:val="333333"/>
          <w:sz w:val="20"/>
          <w:szCs w:val="20"/>
          <w:highlight w:val="white"/>
        </w:rPr>
        <w:tab/>
      </w:r>
      <w:r>
        <w:rPr>
          <w:rFonts w:ascii="Arial Narrow" w:eastAsia="Arial Narrow" w:hAnsi="Arial Narrow" w:cs="Arial Narrow"/>
          <w:color w:val="333333"/>
          <w:sz w:val="20"/>
          <w:szCs w:val="20"/>
          <w:highlight w:val="white"/>
        </w:rPr>
        <w:tab/>
      </w:r>
      <w:r>
        <w:rPr>
          <w:rFonts w:ascii="Arial Narrow" w:eastAsia="Arial Narrow" w:hAnsi="Arial Narrow" w:cs="Arial Narrow"/>
          <w:sz w:val="20"/>
          <w:szCs w:val="20"/>
        </w:rPr>
        <w:t xml:space="preserve">Gerente Regional de la Autoridad Regional Ambiental </w:t>
      </w:r>
    </w:p>
    <w:p w14:paraId="76980CFC"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Departamento: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Amazonas</w:t>
      </w:r>
    </w:p>
    <w:p w14:paraId="42370F1E"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Dirección:</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Jr. Ortiz Arrieta 1250 Chachapoyas. Amazonas</w:t>
      </w:r>
    </w:p>
    <w:p w14:paraId="554BB735"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Teléfono:</w:t>
      </w:r>
      <w:r>
        <w:rPr>
          <w:rFonts w:ascii="Arial Narrow" w:eastAsia="Arial Narrow" w:hAnsi="Arial Narrow" w:cs="Arial Narrow"/>
          <w:color w:val="333333"/>
          <w:sz w:val="20"/>
          <w:szCs w:val="20"/>
          <w:highlight w:val="white"/>
        </w:rPr>
        <w:t xml:space="preserve">  </w:t>
      </w:r>
      <w:r>
        <w:rPr>
          <w:rFonts w:ascii="Arial Narrow" w:eastAsia="Arial Narrow" w:hAnsi="Arial Narrow" w:cs="Arial Narrow"/>
          <w:color w:val="333333"/>
          <w:sz w:val="20"/>
          <w:szCs w:val="20"/>
          <w:highlight w:val="white"/>
        </w:rPr>
        <w:tab/>
      </w:r>
      <w:r>
        <w:rPr>
          <w:rFonts w:ascii="Arial Narrow" w:eastAsia="Arial Narrow" w:hAnsi="Arial Narrow" w:cs="Arial Narrow"/>
          <w:color w:val="333333"/>
          <w:sz w:val="20"/>
          <w:szCs w:val="20"/>
          <w:highlight w:val="white"/>
        </w:rPr>
        <w:tab/>
      </w:r>
      <w:r>
        <w:rPr>
          <w:rFonts w:ascii="Arial Narrow" w:eastAsia="Arial Narrow" w:hAnsi="Arial Narrow" w:cs="Arial Narrow"/>
          <w:color w:val="333333"/>
          <w:sz w:val="20"/>
          <w:szCs w:val="20"/>
          <w:highlight w:val="white"/>
        </w:rPr>
        <w:tab/>
        <w:t>(</w:t>
      </w:r>
      <w:r>
        <w:rPr>
          <w:rFonts w:ascii="Arial Narrow" w:eastAsia="Arial Narrow" w:hAnsi="Arial Narrow" w:cs="Arial Narrow"/>
          <w:sz w:val="20"/>
          <w:szCs w:val="20"/>
        </w:rPr>
        <w:t>51) 041-479082</w:t>
      </w:r>
    </w:p>
    <w:p w14:paraId="54C046C4" w14:textId="77777777" w:rsidR="00EA0A65" w:rsidRDefault="002959E9">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r>
        <w:rPr>
          <w:rFonts w:ascii="Arial Narrow" w:eastAsia="Arial Narrow" w:hAnsi="Arial Narrow" w:cs="Arial Narrow"/>
          <w:sz w:val="20"/>
          <w:szCs w:val="20"/>
        </w:rPr>
        <w:t xml:space="preserve">Correo electrónico: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hyperlink r:id="rId13">
        <w:r>
          <w:rPr>
            <w:rFonts w:ascii="Arial Narrow" w:eastAsia="Arial Narrow" w:hAnsi="Arial Narrow" w:cs="Arial Narrow"/>
            <w:color w:val="0563C1"/>
            <w:sz w:val="20"/>
            <w:szCs w:val="20"/>
            <w:u w:val="single"/>
          </w:rPr>
          <w:t>pchavez@regionamazonas.gob.pe</w:t>
        </w:r>
      </w:hyperlink>
    </w:p>
    <w:p w14:paraId="6F67B739"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p>
    <w:p w14:paraId="78ED06BB" w14:textId="77777777" w:rsidR="00EA0A65" w:rsidRDefault="00EA0A65">
      <w:pPr>
        <w:widowControl w:val="0"/>
        <w:pBdr>
          <w:top w:val="single" w:sz="4" w:space="1" w:color="000000"/>
          <w:left w:val="single" w:sz="4" w:space="4" w:color="000000"/>
          <w:bottom w:val="single" w:sz="4" w:space="1" w:color="000000"/>
          <w:right w:val="single" w:sz="4" w:space="4" w:color="000000"/>
        </w:pBdr>
        <w:rPr>
          <w:rFonts w:ascii="Arial Narrow" w:eastAsia="Arial Narrow" w:hAnsi="Arial Narrow" w:cs="Arial Narrow"/>
          <w:sz w:val="20"/>
          <w:szCs w:val="20"/>
        </w:rPr>
      </w:pPr>
    </w:p>
    <w:p w14:paraId="38282C0B" w14:textId="77777777" w:rsidR="00EA0A65" w:rsidRDefault="00EA0A65">
      <w:pPr>
        <w:widowControl w:val="0"/>
        <w:rPr>
          <w:rFonts w:ascii="Arial Narrow" w:eastAsia="Arial Narrow" w:hAnsi="Arial Narrow" w:cs="Arial Narrow"/>
          <w:sz w:val="20"/>
          <w:szCs w:val="20"/>
        </w:rPr>
      </w:pPr>
    </w:p>
    <w:p w14:paraId="782E826D" w14:textId="77777777" w:rsidR="00EA0A65" w:rsidRDefault="00EA0A65">
      <w:pPr>
        <w:widowControl w:val="0"/>
        <w:rPr>
          <w:rFonts w:ascii="Arial Narrow" w:eastAsia="Arial Narrow" w:hAnsi="Arial Narrow" w:cs="Arial Narrow"/>
          <w:sz w:val="20"/>
          <w:szCs w:val="20"/>
        </w:rPr>
      </w:pPr>
    </w:p>
    <w:p w14:paraId="2B4E8709" w14:textId="77777777" w:rsidR="00EA0A65" w:rsidRDefault="002959E9">
      <w:pPr>
        <w:widowControl w:val="0"/>
        <w:rPr>
          <w:rFonts w:ascii="Arial Narrow" w:eastAsia="Arial Narrow" w:hAnsi="Arial Narrow" w:cs="Arial Narrow"/>
          <w:b/>
          <w:sz w:val="20"/>
          <w:szCs w:val="20"/>
        </w:rPr>
      </w:pPr>
      <w:r>
        <w:rPr>
          <w:rFonts w:ascii="Arial Narrow" w:eastAsia="Arial Narrow" w:hAnsi="Arial Narrow" w:cs="Arial Narrow"/>
          <w:b/>
          <w:sz w:val="20"/>
          <w:szCs w:val="20"/>
        </w:rPr>
        <w:t xml:space="preserve">INDICE  </w:t>
      </w:r>
    </w:p>
    <w:p w14:paraId="7E9F2C6C" w14:textId="77777777" w:rsidR="00EA0A65" w:rsidRDefault="00EA0A65">
      <w:pPr>
        <w:widowControl w:val="0"/>
        <w:rPr>
          <w:rFonts w:ascii="Arial Narrow" w:eastAsia="Arial Narrow" w:hAnsi="Arial Narrow" w:cs="Arial Narrow"/>
          <w:color w:val="4472C4"/>
          <w:sz w:val="20"/>
          <w:szCs w:val="20"/>
        </w:rPr>
      </w:pPr>
    </w:p>
    <w:tbl>
      <w:tblPr>
        <w:tblStyle w:val="a0"/>
        <w:tblW w:w="9200" w:type="dxa"/>
        <w:tblBorders>
          <w:top w:val="nil"/>
          <w:left w:val="nil"/>
          <w:bottom w:val="nil"/>
          <w:right w:val="nil"/>
          <w:insideH w:val="nil"/>
          <w:insideV w:val="nil"/>
        </w:tblBorders>
        <w:tblLayout w:type="fixed"/>
        <w:tblLook w:val="0400" w:firstRow="0" w:lastRow="0" w:firstColumn="0" w:lastColumn="0" w:noHBand="0" w:noVBand="1"/>
      </w:tblPr>
      <w:tblGrid>
        <w:gridCol w:w="7230"/>
        <w:gridCol w:w="1970"/>
      </w:tblGrid>
      <w:tr w:rsidR="00EA0A65" w14:paraId="51C1589D" w14:textId="77777777">
        <w:tc>
          <w:tcPr>
            <w:tcW w:w="7230" w:type="dxa"/>
          </w:tcPr>
          <w:p w14:paraId="3B78285E" w14:textId="77777777" w:rsidR="00EA0A65" w:rsidRDefault="002959E9">
            <w:pPr>
              <w:pStyle w:val="Heading2"/>
              <w:keepNext w:val="0"/>
              <w:keepLines w:val="0"/>
              <w:widowControl w:val="0"/>
              <w:numPr>
                <w:ilvl w:val="0"/>
                <w:numId w:val="18"/>
              </w:numPr>
              <w:spacing w:before="0"/>
              <w:ind w:left="596" w:hanging="567"/>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Fundamentos y enfoque </w:t>
            </w:r>
          </w:p>
          <w:p w14:paraId="0BB15ED1" w14:textId="77777777" w:rsidR="00EA0A65" w:rsidRDefault="00EA0A65">
            <w:pPr>
              <w:rPr>
                <w:rFonts w:ascii="Arial Narrow" w:eastAsia="Arial Narrow" w:hAnsi="Arial Narrow" w:cs="Arial Narrow"/>
                <w:sz w:val="20"/>
                <w:szCs w:val="20"/>
              </w:rPr>
            </w:pPr>
          </w:p>
          <w:p w14:paraId="2E8F2209"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Resumen Ejecutivo </w:t>
            </w:r>
          </w:p>
          <w:p w14:paraId="44199041"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Autoevaluación </w:t>
            </w:r>
          </w:p>
          <w:p w14:paraId="23BFF76A"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Oportunidades estratégicas</w:t>
            </w:r>
          </w:p>
          <w:p w14:paraId="16836345"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Objetivos y resultados esperados </w:t>
            </w:r>
          </w:p>
          <w:p w14:paraId="498405AA"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Descripción de las actividades del proyecto </w:t>
            </w:r>
          </w:p>
          <w:p w14:paraId="68DA1C0E"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Plan de implementación y plazos </w:t>
            </w:r>
          </w:p>
          <w:p w14:paraId="12732200"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Temas transversales</w:t>
            </w:r>
          </w:p>
          <w:p w14:paraId="65EC1677" w14:textId="77777777" w:rsidR="00EA0A65" w:rsidRDefault="00EA0A65">
            <w:pPr>
              <w:rPr>
                <w:rFonts w:ascii="Arial Narrow" w:eastAsia="Arial Narrow" w:hAnsi="Arial Narrow" w:cs="Arial Narrow"/>
                <w:sz w:val="20"/>
                <w:szCs w:val="20"/>
              </w:rPr>
            </w:pPr>
          </w:p>
        </w:tc>
        <w:tc>
          <w:tcPr>
            <w:tcW w:w="1970" w:type="dxa"/>
          </w:tcPr>
          <w:p w14:paraId="2D26C379" w14:textId="77777777" w:rsidR="00EA0A65" w:rsidRDefault="00EA0A65">
            <w:pPr>
              <w:widowControl w:val="0"/>
              <w:rPr>
                <w:rFonts w:ascii="Arial Narrow" w:eastAsia="Arial Narrow" w:hAnsi="Arial Narrow" w:cs="Arial Narrow"/>
                <w:sz w:val="20"/>
                <w:szCs w:val="20"/>
              </w:rPr>
            </w:pPr>
          </w:p>
          <w:p w14:paraId="4325D68B" w14:textId="77777777" w:rsidR="00EA0A65" w:rsidRDefault="00EA0A65">
            <w:pPr>
              <w:widowControl w:val="0"/>
              <w:rPr>
                <w:rFonts w:ascii="Arial Narrow" w:eastAsia="Arial Narrow" w:hAnsi="Arial Narrow" w:cs="Arial Narrow"/>
                <w:sz w:val="20"/>
                <w:szCs w:val="20"/>
              </w:rPr>
            </w:pPr>
          </w:p>
          <w:p w14:paraId="1DA46751" w14:textId="77777777" w:rsidR="00EA0A65" w:rsidRDefault="002959E9">
            <w:pPr>
              <w:widowControl w:val="0"/>
              <w:rPr>
                <w:rFonts w:ascii="Arial Narrow" w:eastAsia="Arial Narrow" w:hAnsi="Arial Narrow" w:cs="Arial Narrow"/>
                <w:sz w:val="20"/>
                <w:szCs w:val="20"/>
              </w:rPr>
            </w:pPr>
            <w:r>
              <w:rPr>
                <w:rFonts w:ascii="Arial Narrow" w:eastAsia="Arial Narrow" w:hAnsi="Arial Narrow" w:cs="Arial Narrow"/>
                <w:sz w:val="20"/>
                <w:szCs w:val="20"/>
              </w:rPr>
              <w:t>Pág. 03</w:t>
            </w:r>
          </w:p>
          <w:p w14:paraId="471C5994" w14:textId="77777777" w:rsidR="00EA0A65" w:rsidRDefault="002959E9">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Pág. 04 </w:t>
            </w:r>
          </w:p>
          <w:p w14:paraId="25A563BA" w14:textId="52CE59BC"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08</w:t>
            </w:r>
          </w:p>
          <w:p w14:paraId="54EF8BB2" w14:textId="0EBDB5DD" w:rsidR="00EA0A65" w:rsidRDefault="002959E9">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Pág. </w:t>
            </w:r>
            <w:r w:rsidR="003B3142">
              <w:rPr>
                <w:rFonts w:ascii="Arial Narrow" w:eastAsia="Arial Narrow" w:hAnsi="Arial Narrow" w:cs="Arial Narrow"/>
                <w:sz w:val="20"/>
                <w:szCs w:val="20"/>
              </w:rPr>
              <w:t>12</w:t>
            </w:r>
          </w:p>
          <w:p w14:paraId="04CEFD31" w14:textId="73779F5F"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17</w:t>
            </w:r>
          </w:p>
          <w:p w14:paraId="13D3E5E5" w14:textId="19552074"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18</w:t>
            </w:r>
          </w:p>
          <w:p w14:paraId="4327324C" w14:textId="4CF21097" w:rsidR="00EA0A65" w:rsidRDefault="002959E9">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Pág. </w:t>
            </w:r>
            <w:r w:rsidR="003B3142">
              <w:rPr>
                <w:rFonts w:ascii="Arial Narrow" w:eastAsia="Arial Narrow" w:hAnsi="Arial Narrow" w:cs="Arial Narrow"/>
                <w:sz w:val="20"/>
                <w:szCs w:val="20"/>
              </w:rPr>
              <w:t>20</w:t>
            </w:r>
          </w:p>
        </w:tc>
      </w:tr>
      <w:tr w:rsidR="00EA0A65" w14:paraId="2FF06108" w14:textId="77777777">
        <w:tc>
          <w:tcPr>
            <w:tcW w:w="7230" w:type="dxa"/>
          </w:tcPr>
          <w:p w14:paraId="0171520F" w14:textId="77777777" w:rsidR="00EA0A65" w:rsidRDefault="002959E9">
            <w:pPr>
              <w:pStyle w:val="Heading2"/>
              <w:keepNext w:val="0"/>
              <w:keepLines w:val="0"/>
              <w:widowControl w:val="0"/>
              <w:numPr>
                <w:ilvl w:val="0"/>
                <w:numId w:val="18"/>
              </w:numPr>
              <w:spacing w:before="0"/>
              <w:ind w:left="596" w:hanging="567"/>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Riesgos, monitoreo y evaluación </w:t>
            </w:r>
          </w:p>
          <w:p w14:paraId="7365C6D0" w14:textId="77777777" w:rsidR="00EA0A65" w:rsidRDefault="00EA0A65">
            <w:pPr>
              <w:rPr>
                <w:rFonts w:ascii="Arial Narrow" w:eastAsia="Arial Narrow" w:hAnsi="Arial Narrow" w:cs="Arial Narrow"/>
                <w:sz w:val="20"/>
                <w:szCs w:val="20"/>
              </w:rPr>
            </w:pPr>
          </w:p>
          <w:p w14:paraId="228910B4"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Gestión de riesgos</w:t>
            </w:r>
          </w:p>
          <w:p w14:paraId="7F52810F"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Monitoreo </w:t>
            </w:r>
          </w:p>
          <w:p w14:paraId="1B2E1B15"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Sustentabilidad de los resultados </w:t>
            </w:r>
          </w:p>
          <w:p w14:paraId="52D1A734" w14:textId="77777777" w:rsidR="00EA0A65" w:rsidRDefault="00EA0A65">
            <w:pPr>
              <w:widowControl w:val="0"/>
              <w:rPr>
                <w:rFonts w:ascii="Arial Narrow" w:eastAsia="Arial Narrow" w:hAnsi="Arial Narrow" w:cs="Arial Narrow"/>
                <w:sz w:val="20"/>
                <w:szCs w:val="20"/>
              </w:rPr>
            </w:pPr>
          </w:p>
        </w:tc>
        <w:tc>
          <w:tcPr>
            <w:tcW w:w="1970" w:type="dxa"/>
          </w:tcPr>
          <w:p w14:paraId="50086708" w14:textId="77777777" w:rsidR="00EA0A65" w:rsidRDefault="00EA0A65">
            <w:pPr>
              <w:widowControl w:val="0"/>
              <w:rPr>
                <w:rFonts w:ascii="Arial Narrow" w:eastAsia="Arial Narrow" w:hAnsi="Arial Narrow" w:cs="Arial Narrow"/>
                <w:sz w:val="20"/>
                <w:szCs w:val="20"/>
              </w:rPr>
            </w:pPr>
          </w:p>
          <w:p w14:paraId="6D658262" w14:textId="77777777" w:rsidR="00EA0A65" w:rsidRDefault="00EA0A65">
            <w:pPr>
              <w:widowControl w:val="0"/>
              <w:rPr>
                <w:rFonts w:ascii="Arial Narrow" w:eastAsia="Arial Narrow" w:hAnsi="Arial Narrow" w:cs="Arial Narrow"/>
                <w:sz w:val="20"/>
                <w:szCs w:val="20"/>
              </w:rPr>
            </w:pPr>
          </w:p>
          <w:p w14:paraId="6A47D9B1" w14:textId="77777777" w:rsidR="00EA0A65" w:rsidRDefault="002959E9">
            <w:pPr>
              <w:widowControl w:val="0"/>
              <w:rPr>
                <w:rFonts w:ascii="Arial Narrow" w:eastAsia="Arial Narrow" w:hAnsi="Arial Narrow" w:cs="Arial Narrow"/>
                <w:sz w:val="20"/>
                <w:szCs w:val="20"/>
              </w:rPr>
            </w:pPr>
            <w:r>
              <w:rPr>
                <w:rFonts w:ascii="Arial Narrow" w:eastAsia="Arial Narrow" w:hAnsi="Arial Narrow" w:cs="Arial Narrow"/>
                <w:sz w:val="20"/>
                <w:szCs w:val="20"/>
              </w:rPr>
              <w:t>Pág. 22</w:t>
            </w:r>
          </w:p>
          <w:p w14:paraId="61775150" w14:textId="77777777" w:rsidR="00EA0A65" w:rsidRDefault="002959E9">
            <w:pPr>
              <w:widowControl w:val="0"/>
              <w:rPr>
                <w:rFonts w:ascii="Arial Narrow" w:eastAsia="Arial Narrow" w:hAnsi="Arial Narrow" w:cs="Arial Narrow"/>
                <w:sz w:val="20"/>
                <w:szCs w:val="20"/>
              </w:rPr>
            </w:pPr>
            <w:r>
              <w:rPr>
                <w:rFonts w:ascii="Arial Narrow" w:eastAsia="Arial Narrow" w:hAnsi="Arial Narrow" w:cs="Arial Narrow"/>
                <w:sz w:val="20"/>
                <w:szCs w:val="20"/>
              </w:rPr>
              <w:t>Pág. 22</w:t>
            </w:r>
          </w:p>
          <w:p w14:paraId="39774720" w14:textId="77777777" w:rsidR="00EA0A65" w:rsidRDefault="002959E9">
            <w:pPr>
              <w:widowControl w:val="0"/>
              <w:rPr>
                <w:rFonts w:ascii="Arial Narrow" w:eastAsia="Arial Narrow" w:hAnsi="Arial Narrow" w:cs="Arial Narrow"/>
                <w:sz w:val="20"/>
                <w:szCs w:val="20"/>
              </w:rPr>
            </w:pPr>
            <w:r>
              <w:rPr>
                <w:rFonts w:ascii="Arial Narrow" w:eastAsia="Arial Narrow" w:hAnsi="Arial Narrow" w:cs="Arial Narrow"/>
                <w:sz w:val="20"/>
                <w:szCs w:val="20"/>
              </w:rPr>
              <w:t>Pág. 23</w:t>
            </w:r>
          </w:p>
        </w:tc>
      </w:tr>
      <w:tr w:rsidR="00EA0A65" w14:paraId="6805ABA6" w14:textId="77777777">
        <w:tc>
          <w:tcPr>
            <w:tcW w:w="7230" w:type="dxa"/>
          </w:tcPr>
          <w:p w14:paraId="33C7318B" w14:textId="77777777" w:rsidR="00EA0A65" w:rsidRDefault="002959E9">
            <w:pPr>
              <w:pStyle w:val="Heading3"/>
              <w:keepNext w:val="0"/>
              <w:keepLines w:val="0"/>
              <w:widowControl w:val="0"/>
              <w:numPr>
                <w:ilvl w:val="0"/>
                <w:numId w:val="18"/>
              </w:numPr>
              <w:spacing w:before="0"/>
              <w:ind w:left="596" w:hanging="596"/>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Presupuesto</w:t>
            </w:r>
          </w:p>
          <w:p w14:paraId="7BC47FD4" w14:textId="77777777" w:rsidR="00EA0A65" w:rsidRDefault="00EA0A65" w:rsidP="0060648B">
            <w:pPr>
              <w:pStyle w:val="Heading3"/>
              <w:spacing w:before="0"/>
              <w:ind w:left="1069" w:firstLine="0"/>
              <w:rPr>
                <w:rFonts w:ascii="Arial Narrow" w:eastAsia="Arial Narrow" w:hAnsi="Arial Narrow" w:cs="Arial Narrow"/>
                <w:color w:val="000000"/>
                <w:sz w:val="20"/>
                <w:szCs w:val="20"/>
              </w:rPr>
            </w:pPr>
          </w:p>
          <w:p w14:paraId="3C68DC28" w14:textId="77777777" w:rsidR="00EA0A65" w:rsidRDefault="002959E9">
            <w:pPr>
              <w:pStyle w:val="Heading3"/>
              <w:keepNext w:val="0"/>
              <w:keepLines w:val="0"/>
              <w:widowControl w:val="0"/>
              <w:numPr>
                <w:ilvl w:val="1"/>
                <w:numId w:val="18"/>
              </w:numPr>
              <w:spacing w:before="0"/>
              <w:ind w:left="596" w:hanging="56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Presupuesto por actividades</w:t>
            </w:r>
          </w:p>
          <w:p w14:paraId="1DD2B2FD" w14:textId="77777777" w:rsidR="00EA0A65" w:rsidRDefault="00EA0A65" w:rsidP="0060648B">
            <w:pPr>
              <w:pStyle w:val="Heading3"/>
              <w:keepNext w:val="0"/>
              <w:keepLines w:val="0"/>
              <w:widowControl w:val="0"/>
              <w:spacing w:before="0"/>
              <w:ind w:left="596" w:firstLine="0"/>
              <w:rPr>
                <w:rFonts w:ascii="Arial Narrow" w:eastAsia="Arial Narrow" w:hAnsi="Arial Narrow" w:cs="Arial Narrow"/>
                <w:b/>
                <w:sz w:val="20"/>
                <w:szCs w:val="20"/>
              </w:rPr>
            </w:pPr>
          </w:p>
        </w:tc>
        <w:tc>
          <w:tcPr>
            <w:tcW w:w="1970" w:type="dxa"/>
          </w:tcPr>
          <w:p w14:paraId="37296030" w14:textId="77777777" w:rsidR="00EA0A65" w:rsidRDefault="00EA0A65">
            <w:pPr>
              <w:widowControl w:val="0"/>
              <w:rPr>
                <w:rFonts w:ascii="Arial Narrow" w:eastAsia="Arial Narrow" w:hAnsi="Arial Narrow" w:cs="Arial Narrow"/>
                <w:sz w:val="20"/>
                <w:szCs w:val="20"/>
              </w:rPr>
            </w:pPr>
          </w:p>
          <w:p w14:paraId="495BE7D4" w14:textId="77777777" w:rsidR="00EA0A65" w:rsidRDefault="00EA0A65">
            <w:pPr>
              <w:widowControl w:val="0"/>
              <w:rPr>
                <w:rFonts w:ascii="Arial Narrow" w:eastAsia="Arial Narrow" w:hAnsi="Arial Narrow" w:cs="Arial Narrow"/>
                <w:sz w:val="20"/>
                <w:szCs w:val="20"/>
              </w:rPr>
            </w:pPr>
          </w:p>
          <w:p w14:paraId="65D99A69" w14:textId="77777777" w:rsidR="00EA0A65" w:rsidRDefault="002959E9">
            <w:pPr>
              <w:widowControl w:val="0"/>
              <w:rPr>
                <w:rFonts w:ascii="Arial Narrow" w:eastAsia="Arial Narrow" w:hAnsi="Arial Narrow" w:cs="Arial Narrow"/>
                <w:sz w:val="20"/>
                <w:szCs w:val="20"/>
              </w:rPr>
            </w:pPr>
            <w:r>
              <w:rPr>
                <w:rFonts w:ascii="Arial Narrow" w:eastAsia="Arial Narrow" w:hAnsi="Arial Narrow" w:cs="Arial Narrow"/>
                <w:sz w:val="20"/>
                <w:szCs w:val="20"/>
              </w:rPr>
              <w:t>Pág. 23</w:t>
            </w:r>
          </w:p>
        </w:tc>
      </w:tr>
      <w:tr w:rsidR="00EA0A65" w14:paraId="0F5562DD" w14:textId="77777777">
        <w:tc>
          <w:tcPr>
            <w:tcW w:w="7230" w:type="dxa"/>
          </w:tcPr>
          <w:p w14:paraId="3C96E2A9" w14:textId="77777777" w:rsidR="00EA0A65" w:rsidRDefault="002959E9">
            <w:pPr>
              <w:pStyle w:val="Heading3"/>
              <w:keepNext w:val="0"/>
              <w:keepLines w:val="0"/>
              <w:widowControl w:val="0"/>
              <w:numPr>
                <w:ilvl w:val="0"/>
                <w:numId w:val="18"/>
              </w:numPr>
              <w:spacing w:before="0"/>
              <w:ind w:left="596" w:hanging="596"/>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Anexos</w:t>
            </w:r>
          </w:p>
          <w:p w14:paraId="038241B1" w14:textId="77777777" w:rsidR="00EA0A65" w:rsidRDefault="00EA0A65">
            <w:pPr>
              <w:rPr>
                <w:rFonts w:ascii="Arial Narrow" w:eastAsia="Arial Narrow" w:hAnsi="Arial Narrow" w:cs="Arial Narrow"/>
                <w:b/>
                <w:sz w:val="20"/>
                <w:szCs w:val="20"/>
              </w:rPr>
            </w:pPr>
          </w:p>
          <w:p w14:paraId="371EE40A" w14:textId="77777777" w:rsidR="00EA0A65" w:rsidRDefault="002959E9">
            <w:pPr>
              <w:tabs>
                <w:tab w:val="left" w:pos="993"/>
              </w:tabs>
              <w:ind w:left="993" w:hanging="993"/>
              <w:rPr>
                <w:rFonts w:ascii="Arial Narrow" w:eastAsia="Arial Narrow" w:hAnsi="Arial Narrow" w:cs="Arial Narrow"/>
                <w:sz w:val="20"/>
                <w:szCs w:val="20"/>
              </w:rPr>
            </w:pPr>
            <w:r>
              <w:rPr>
                <w:rFonts w:ascii="Arial Narrow" w:eastAsia="Arial Narrow" w:hAnsi="Arial Narrow" w:cs="Arial Narrow"/>
                <w:sz w:val="20"/>
                <w:szCs w:val="20"/>
              </w:rPr>
              <w:t xml:space="preserve">ANEXO I. </w:t>
            </w:r>
            <w:r>
              <w:rPr>
                <w:rFonts w:ascii="Arial Narrow" w:eastAsia="Arial Narrow" w:hAnsi="Arial Narrow" w:cs="Arial Narrow"/>
                <w:sz w:val="20"/>
                <w:szCs w:val="20"/>
              </w:rPr>
              <w:tab/>
              <w:t>Principales instrumentos de política pública para reducir la deforestación de la Región Amazonas.</w:t>
            </w:r>
          </w:p>
          <w:p w14:paraId="371F2B13" w14:textId="77777777" w:rsidR="00EA0A65" w:rsidRDefault="002959E9">
            <w:pPr>
              <w:tabs>
                <w:tab w:val="left" w:pos="993"/>
              </w:tabs>
              <w:ind w:left="993" w:hanging="993"/>
            </w:pPr>
            <w:r>
              <w:rPr>
                <w:rFonts w:ascii="Arial Narrow" w:eastAsia="Arial Narrow" w:hAnsi="Arial Narrow" w:cs="Arial Narrow"/>
                <w:sz w:val="20"/>
                <w:szCs w:val="20"/>
              </w:rPr>
              <w:t xml:space="preserve">ANEXO II. </w:t>
            </w:r>
            <w:r>
              <w:rPr>
                <w:rFonts w:ascii="Arial Narrow" w:eastAsia="Arial Narrow" w:hAnsi="Arial Narrow" w:cs="Arial Narrow"/>
                <w:sz w:val="20"/>
                <w:szCs w:val="20"/>
              </w:rPr>
              <w:tab/>
              <w:t xml:space="preserve">Descripción de instituciones que acompañan al Gobierno Regional en la implementación de la propuesta. </w:t>
            </w:r>
          </w:p>
          <w:p w14:paraId="41C450C4" w14:textId="77777777" w:rsidR="00EA0A65" w:rsidRDefault="002959E9">
            <w:pPr>
              <w:tabs>
                <w:tab w:val="left" w:pos="993"/>
              </w:tabs>
              <w:ind w:left="993" w:hanging="993"/>
              <w:rPr>
                <w:rFonts w:ascii="Arial Narrow" w:eastAsia="Arial Narrow" w:hAnsi="Arial Narrow" w:cs="Arial Narrow"/>
                <w:sz w:val="20"/>
                <w:szCs w:val="20"/>
              </w:rPr>
            </w:pPr>
            <w:r>
              <w:rPr>
                <w:rFonts w:ascii="Arial Narrow" w:eastAsia="Arial Narrow" w:hAnsi="Arial Narrow" w:cs="Arial Narrow"/>
                <w:sz w:val="20"/>
                <w:szCs w:val="20"/>
              </w:rPr>
              <w:t xml:space="preserve">ANEXO III. </w:t>
            </w:r>
            <w:r>
              <w:rPr>
                <w:rFonts w:ascii="Arial Narrow" w:eastAsia="Arial Narrow" w:hAnsi="Arial Narrow" w:cs="Arial Narrow"/>
              </w:rPr>
              <w:t xml:space="preserve"> </w:t>
            </w:r>
            <w:r>
              <w:rPr>
                <w:rFonts w:ascii="Arial Narrow" w:eastAsia="Arial Narrow" w:hAnsi="Arial Narrow" w:cs="Arial Narrow"/>
              </w:rPr>
              <w:tab/>
            </w:r>
            <w:r>
              <w:rPr>
                <w:rFonts w:ascii="Arial Narrow" w:eastAsia="Arial Narrow" w:hAnsi="Arial Narrow" w:cs="Arial Narrow"/>
                <w:sz w:val="20"/>
                <w:szCs w:val="20"/>
              </w:rPr>
              <w:t>El proceso de elaboración de la estrategia y plan de desarrollo rural bajo en emisiones en las Regiones Miembro de GCF-TF como parte de un programa multirregiones.</w:t>
            </w:r>
          </w:p>
          <w:p w14:paraId="235B5961" w14:textId="77777777" w:rsidR="00EA0A65" w:rsidRDefault="002959E9">
            <w:pPr>
              <w:tabs>
                <w:tab w:val="left" w:pos="993"/>
              </w:tabs>
              <w:ind w:left="993" w:hanging="993"/>
              <w:rPr>
                <w:rFonts w:ascii="Arial Narrow" w:eastAsia="Arial Narrow" w:hAnsi="Arial Narrow" w:cs="Arial Narrow"/>
                <w:i/>
                <w:sz w:val="20"/>
                <w:szCs w:val="20"/>
              </w:rPr>
            </w:pPr>
            <w:r>
              <w:rPr>
                <w:rFonts w:ascii="Arial Narrow" w:eastAsia="Arial Narrow" w:hAnsi="Arial Narrow" w:cs="Arial Narrow"/>
                <w:sz w:val="20"/>
                <w:szCs w:val="20"/>
              </w:rPr>
              <w:t>ANEXO IV</w:t>
            </w:r>
            <w:r>
              <w:rPr>
                <w:rFonts w:ascii="Arial Narrow" w:eastAsia="Arial Narrow" w:hAnsi="Arial Narrow" w:cs="Arial Narrow"/>
                <w:i/>
                <w:sz w:val="20"/>
                <w:szCs w:val="20"/>
              </w:rPr>
              <w:t xml:space="preserve">.    </w:t>
            </w:r>
            <w:r>
              <w:rPr>
                <w:rFonts w:ascii="Arial Narrow" w:eastAsia="Arial Narrow" w:hAnsi="Arial Narrow" w:cs="Arial Narrow"/>
                <w:sz w:val="20"/>
                <w:szCs w:val="20"/>
              </w:rPr>
              <w:t>Metodología del Análisis Financiero de las Estrategias Jurisdiccionales de Desarrollo Bajo en Emisiones</w:t>
            </w:r>
          </w:p>
          <w:p w14:paraId="0280A07B" w14:textId="195BFBE3" w:rsidR="00EA0A65" w:rsidRDefault="002959E9">
            <w:pPr>
              <w:pBdr>
                <w:top w:val="nil"/>
                <w:left w:val="nil"/>
                <w:bottom w:val="nil"/>
                <w:right w:val="nil"/>
                <w:between w:val="nil"/>
              </w:pBdr>
              <w:tabs>
                <w:tab w:val="left" w:pos="993"/>
              </w:tabs>
              <w:ind w:left="993" w:hanging="993"/>
              <w:jc w:val="both"/>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highlight w:val="white"/>
              </w:rPr>
              <w:t xml:space="preserve">ANEXO V. </w:t>
            </w:r>
            <w:r>
              <w:rPr>
                <w:rFonts w:ascii="Arial Narrow" w:eastAsia="Arial Narrow" w:hAnsi="Arial Narrow" w:cs="Arial Narrow"/>
                <w:color w:val="000000"/>
                <w:sz w:val="20"/>
                <w:szCs w:val="20"/>
                <w:highlight w:val="white"/>
              </w:rPr>
              <w:tab/>
              <w:t>Propuesta de organización y gobernanza para los proyectos de apoyo a la elaboración de la estrategia y plan de DRBE en las regiones miembros del GC</w:t>
            </w:r>
            <w:r w:rsidR="0037402A">
              <w:rPr>
                <w:rFonts w:ascii="Arial Narrow" w:eastAsia="Arial Narrow" w:hAnsi="Arial Narrow" w:cs="Arial Narrow"/>
                <w:color w:val="000000"/>
                <w:sz w:val="20"/>
                <w:szCs w:val="20"/>
                <w:highlight w:val="white"/>
              </w:rPr>
              <w:t>F</w:t>
            </w:r>
            <w:r>
              <w:rPr>
                <w:rFonts w:ascii="Arial Narrow" w:eastAsia="Arial Narrow" w:hAnsi="Arial Narrow" w:cs="Arial Narrow"/>
                <w:color w:val="000000"/>
                <w:sz w:val="20"/>
                <w:szCs w:val="20"/>
                <w:highlight w:val="white"/>
              </w:rPr>
              <w:t xml:space="preserve">-TF en Perú </w:t>
            </w:r>
          </w:p>
          <w:p w14:paraId="1B9931AD" w14:textId="77777777" w:rsidR="00EA0A65" w:rsidRDefault="002959E9">
            <w:pPr>
              <w:widowControl w:val="0"/>
              <w:tabs>
                <w:tab w:val="left" w:pos="993"/>
              </w:tabs>
              <w:ind w:left="993" w:hanging="993"/>
              <w:jc w:val="both"/>
              <w:rPr>
                <w:rFonts w:ascii="Arial Narrow" w:eastAsia="Arial Narrow" w:hAnsi="Arial Narrow" w:cs="Arial Narrow"/>
                <w:sz w:val="20"/>
                <w:szCs w:val="20"/>
              </w:rPr>
            </w:pPr>
            <w:r>
              <w:rPr>
                <w:rFonts w:ascii="Arial Narrow" w:eastAsia="Arial Narrow" w:hAnsi="Arial Narrow" w:cs="Arial Narrow"/>
                <w:sz w:val="20"/>
                <w:szCs w:val="20"/>
              </w:rPr>
              <w:t xml:space="preserve">ANEXO VI. </w:t>
            </w:r>
            <w:r>
              <w:rPr>
                <w:rFonts w:ascii="Arial Narrow" w:eastAsia="Arial Narrow" w:hAnsi="Arial Narrow" w:cs="Arial Narrow"/>
                <w:sz w:val="20"/>
                <w:szCs w:val="20"/>
              </w:rPr>
              <w:tab/>
            </w:r>
            <w:r>
              <w:rPr>
                <w:rFonts w:ascii="Arial Narrow" w:eastAsia="Arial Narrow" w:hAnsi="Arial Narrow" w:cs="Arial Narrow"/>
                <w:color w:val="000000"/>
                <w:sz w:val="20"/>
                <w:szCs w:val="20"/>
              </w:rPr>
              <w:t>Riesgos y medidas de contingencia del Proyecto</w:t>
            </w:r>
          </w:p>
          <w:p w14:paraId="5F138D05" w14:textId="77777777" w:rsidR="00EA0A65" w:rsidRDefault="002959E9">
            <w:pPr>
              <w:widowControl w:val="0"/>
              <w:tabs>
                <w:tab w:val="left" w:pos="993"/>
              </w:tabs>
              <w:ind w:left="993" w:hanging="993"/>
              <w:rPr>
                <w:rFonts w:ascii="Arial Narrow" w:eastAsia="Arial Narrow" w:hAnsi="Arial Narrow" w:cs="Arial Narrow"/>
                <w:color w:val="000000"/>
                <w:sz w:val="22"/>
                <w:szCs w:val="22"/>
              </w:rPr>
            </w:pPr>
            <w:r>
              <w:rPr>
                <w:rFonts w:ascii="Arial Narrow" w:eastAsia="Arial Narrow" w:hAnsi="Arial Narrow" w:cs="Arial Narrow"/>
                <w:color w:val="000000"/>
                <w:sz w:val="20"/>
                <w:szCs w:val="20"/>
              </w:rPr>
              <w:t xml:space="preserve">ANEXO VII. </w:t>
            </w:r>
            <w:r>
              <w:rPr>
                <w:rFonts w:ascii="Arial Narrow" w:eastAsia="Arial Narrow" w:hAnsi="Arial Narrow" w:cs="Arial Narrow"/>
                <w:color w:val="000000"/>
                <w:sz w:val="20"/>
                <w:szCs w:val="20"/>
              </w:rPr>
              <w:tab/>
              <w:t>Proyectos e iniciativas nacionales que pueden ser articuladas con el Proyecto</w:t>
            </w:r>
            <w:r>
              <w:rPr>
                <w:rFonts w:ascii="Arial Narrow" w:eastAsia="Arial Narrow" w:hAnsi="Arial Narrow" w:cs="Arial Narrow"/>
                <w:color w:val="000000"/>
                <w:sz w:val="22"/>
                <w:szCs w:val="22"/>
              </w:rPr>
              <w:t xml:space="preserve"> </w:t>
            </w:r>
          </w:p>
          <w:p w14:paraId="0C15DB20" w14:textId="77777777" w:rsidR="00EA0A65" w:rsidRDefault="00EA0A65">
            <w:pPr>
              <w:ind w:left="851" w:hanging="851"/>
              <w:rPr>
                <w:rFonts w:ascii="Arial Narrow" w:eastAsia="Arial Narrow" w:hAnsi="Arial Narrow" w:cs="Arial Narrow"/>
                <w:sz w:val="20"/>
                <w:szCs w:val="20"/>
              </w:rPr>
            </w:pPr>
          </w:p>
          <w:p w14:paraId="3D841A17" w14:textId="77777777" w:rsidR="00EA0A65" w:rsidRDefault="00EA0A65" w:rsidP="0060648B">
            <w:pPr>
              <w:pStyle w:val="Heading3"/>
              <w:keepNext w:val="0"/>
              <w:keepLines w:val="0"/>
              <w:widowControl w:val="0"/>
              <w:spacing w:before="0"/>
              <w:ind w:left="596" w:firstLine="0"/>
              <w:rPr>
                <w:rFonts w:ascii="Arial Narrow" w:eastAsia="Arial Narrow" w:hAnsi="Arial Narrow" w:cs="Arial Narrow"/>
                <w:b/>
                <w:color w:val="000000"/>
                <w:sz w:val="20"/>
                <w:szCs w:val="20"/>
              </w:rPr>
            </w:pPr>
          </w:p>
        </w:tc>
        <w:tc>
          <w:tcPr>
            <w:tcW w:w="1970" w:type="dxa"/>
          </w:tcPr>
          <w:p w14:paraId="0FE9B86E" w14:textId="77777777" w:rsidR="00EA0A65" w:rsidRDefault="00EA0A65">
            <w:pPr>
              <w:widowControl w:val="0"/>
              <w:rPr>
                <w:rFonts w:ascii="Arial Narrow" w:eastAsia="Arial Narrow" w:hAnsi="Arial Narrow" w:cs="Arial Narrow"/>
                <w:sz w:val="20"/>
                <w:szCs w:val="20"/>
              </w:rPr>
            </w:pPr>
          </w:p>
          <w:p w14:paraId="1454FFCC" w14:textId="77777777" w:rsidR="00EA0A65" w:rsidRDefault="00EA0A65">
            <w:pPr>
              <w:widowControl w:val="0"/>
              <w:rPr>
                <w:rFonts w:ascii="Arial Narrow" w:eastAsia="Arial Narrow" w:hAnsi="Arial Narrow" w:cs="Arial Narrow"/>
                <w:sz w:val="20"/>
                <w:szCs w:val="20"/>
              </w:rPr>
            </w:pPr>
          </w:p>
          <w:p w14:paraId="1BE5F28E" w14:textId="4DEDDED7"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26</w:t>
            </w:r>
          </w:p>
          <w:p w14:paraId="5F96E2F6" w14:textId="77777777" w:rsidR="00EA0A65" w:rsidRDefault="00EA0A65">
            <w:pPr>
              <w:widowControl w:val="0"/>
              <w:rPr>
                <w:rFonts w:ascii="Arial Narrow" w:eastAsia="Arial Narrow" w:hAnsi="Arial Narrow" w:cs="Arial Narrow"/>
                <w:sz w:val="20"/>
                <w:szCs w:val="20"/>
              </w:rPr>
            </w:pPr>
          </w:p>
          <w:p w14:paraId="3A8DEC1B" w14:textId="1AB6C577"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28</w:t>
            </w:r>
          </w:p>
          <w:p w14:paraId="71A7A17F" w14:textId="77777777" w:rsidR="00EA0A65" w:rsidRDefault="00EA0A65">
            <w:pPr>
              <w:widowControl w:val="0"/>
              <w:rPr>
                <w:rFonts w:ascii="Arial Narrow" w:eastAsia="Arial Narrow" w:hAnsi="Arial Narrow" w:cs="Arial Narrow"/>
                <w:sz w:val="20"/>
                <w:szCs w:val="20"/>
              </w:rPr>
            </w:pPr>
          </w:p>
          <w:p w14:paraId="46EB6F3C" w14:textId="65B0D4C3"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32</w:t>
            </w:r>
          </w:p>
          <w:p w14:paraId="5117326D" w14:textId="77777777" w:rsidR="00EA0A65" w:rsidRDefault="00EA0A65">
            <w:pPr>
              <w:widowControl w:val="0"/>
              <w:rPr>
                <w:rFonts w:ascii="Arial Narrow" w:eastAsia="Arial Narrow" w:hAnsi="Arial Narrow" w:cs="Arial Narrow"/>
                <w:sz w:val="20"/>
                <w:szCs w:val="20"/>
              </w:rPr>
            </w:pPr>
          </w:p>
          <w:p w14:paraId="01F67371" w14:textId="77777777" w:rsidR="00EA0A65" w:rsidRDefault="00EA0A65">
            <w:pPr>
              <w:widowControl w:val="0"/>
              <w:rPr>
                <w:rFonts w:ascii="Arial Narrow" w:eastAsia="Arial Narrow" w:hAnsi="Arial Narrow" w:cs="Arial Narrow"/>
                <w:sz w:val="20"/>
                <w:szCs w:val="20"/>
              </w:rPr>
            </w:pPr>
          </w:p>
          <w:p w14:paraId="66B7627B" w14:textId="4CBA31BD"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33</w:t>
            </w:r>
          </w:p>
          <w:p w14:paraId="2449FDE0" w14:textId="77777777" w:rsidR="00EA0A65" w:rsidRDefault="00EA0A65">
            <w:pPr>
              <w:widowControl w:val="0"/>
              <w:rPr>
                <w:rFonts w:ascii="Arial Narrow" w:eastAsia="Arial Narrow" w:hAnsi="Arial Narrow" w:cs="Arial Narrow"/>
                <w:sz w:val="20"/>
                <w:szCs w:val="20"/>
              </w:rPr>
            </w:pPr>
          </w:p>
          <w:p w14:paraId="459D4827" w14:textId="59F1AA0C"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36</w:t>
            </w:r>
          </w:p>
          <w:p w14:paraId="3DE5C879" w14:textId="77777777" w:rsidR="00EA0A65" w:rsidRDefault="00EA0A65">
            <w:pPr>
              <w:widowControl w:val="0"/>
              <w:rPr>
                <w:rFonts w:ascii="Arial Narrow" w:eastAsia="Arial Narrow" w:hAnsi="Arial Narrow" w:cs="Arial Narrow"/>
                <w:sz w:val="20"/>
                <w:szCs w:val="20"/>
              </w:rPr>
            </w:pPr>
          </w:p>
          <w:p w14:paraId="3348AEA9" w14:textId="77777777" w:rsidR="00EA0A65" w:rsidRDefault="00EA0A65">
            <w:pPr>
              <w:widowControl w:val="0"/>
              <w:rPr>
                <w:rFonts w:ascii="Arial Narrow" w:eastAsia="Arial Narrow" w:hAnsi="Arial Narrow" w:cs="Arial Narrow"/>
                <w:sz w:val="20"/>
                <w:szCs w:val="20"/>
              </w:rPr>
            </w:pPr>
          </w:p>
          <w:p w14:paraId="06616808" w14:textId="7F9B0C89"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39</w:t>
            </w:r>
          </w:p>
          <w:p w14:paraId="61E0BE31" w14:textId="7EE0D2F9" w:rsidR="00EA0A65" w:rsidRDefault="003B3142">
            <w:pPr>
              <w:widowControl w:val="0"/>
              <w:rPr>
                <w:rFonts w:ascii="Arial Narrow" w:eastAsia="Arial Narrow" w:hAnsi="Arial Narrow" w:cs="Arial Narrow"/>
                <w:sz w:val="20"/>
                <w:szCs w:val="20"/>
              </w:rPr>
            </w:pPr>
            <w:r>
              <w:rPr>
                <w:rFonts w:ascii="Arial Narrow" w:eastAsia="Arial Narrow" w:hAnsi="Arial Narrow" w:cs="Arial Narrow"/>
                <w:sz w:val="20"/>
                <w:szCs w:val="20"/>
              </w:rPr>
              <w:t>Pág. 41</w:t>
            </w:r>
          </w:p>
          <w:p w14:paraId="05ED3BFD" w14:textId="77777777" w:rsidR="00EA0A65" w:rsidRDefault="00EA0A65">
            <w:pPr>
              <w:widowControl w:val="0"/>
              <w:rPr>
                <w:rFonts w:ascii="Arial Narrow" w:eastAsia="Arial Narrow" w:hAnsi="Arial Narrow" w:cs="Arial Narrow"/>
                <w:sz w:val="20"/>
                <w:szCs w:val="20"/>
              </w:rPr>
            </w:pPr>
          </w:p>
          <w:p w14:paraId="792318BF" w14:textId="77777777" w:rsidR="00EA0A65" w:rsidRDefault="00EA0A65">
            <w:pPr>
              <w:widowControl w:val="0"/>
              <w:rPr>
                <w:rFonts w:ascii="Arial Narrow" w:eastAsia="Arial Narrow" w:hAnsi="Arial Narrow" w:cs="Arial Narrow"/>
                <w:sz w:val="20"/>
                <w:szCs w:val="20"/>
              </w:rPr>
            </w:pPr>
          </w:p>
          <w:p w14:paraId="52794E4C" w14:textId="77777777" w:rsidR="00EA0A65" w:rsidRDefault="00EA0A65">
            <w:pPr>
              <w:widowControl w:val="0"/>
              <w:rPr>
                <w:rFonts w:ascii="Arial Narrow" w:eastAsia="Arial Narrow" w:hAnsi="Arial Narrow" w:cs="Arial Narrow"/>
                <w:sz w:val="20"/>
                <w:szCs w:val="20"/>
              </w:rPr>
            </w:pPr>
          </w:p>
          <w:p w14:paraId="12BD9DA4" w14:textId="77777777" w:rsidR="00EA0A65" w:rsidRDefault="002959E9">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r>
    </w:tbl>
    <w:p w14:paraId="59BE7A4C" w14:textId="77777777" w:rsidR="00EA0A65" w:rsidRDefault="00EA0A65">
      <w:pPr>
        <w:widowControl w:val="0"/>
        <w:rPr>
          <w:rFonts w:ascii="Arial Narrow" w:eastAsia="Arial Narrow" w:hAnsi="Arial Narrow" w:cs="Arial Narrow"/>
          <w:color w:val="4472C4"/>
          <w:sz w:val="20"/>
          <w:szCs w:val="20"/>
        </w:rPr>
      </w:pPr>
    </w:p>
    <w:p w14:paraId="7B66906B" w14:textId="77777777" w:rsidR="00EA0A65" w:rsidRDefault="00EA0A65">
      <w:pPr>
        <w:widowControl w:val="0"/>
        <w:rPr>
          <w:rFonts w:ascii="Arial Narrow" w:eastAsia="Arial Narrow" w:hAnsi="Arial Narrow" w:cs="Arial Narrow"/>
          <w:sz w:val="20"/>
          <w:szCs w:val="20"/>
        </w:rPr>
      </w:pPr>
    </w:p>
    <w:p w14:paraId="28BF5EC5" w14:textId="77777777" w:rsidR="00EA0A65" w:rsidRDefault="00EA0A65">
      <w:pPr>
        <w:widowControl w:val="0"/>
        <w:rPr>
          <w:rFonts w:ascii="Arial Narrow" w:eastAsia="Arial Narrow" w:hAnsi="Arial Narrow" w:cs="Arial Narrow"/>
          <w:sz w:val="20"/>
          <w:szCs w:val="20"/>
        </w:rPr>
      </w:pPr>
    </w:p>
    <w:p w14:paraId="50A375D2" w14:textId="77777777" w:rsidR="00EA0A65" w:rsidRDefault="00EA0A65">
      <w:pPr>
        <w:widowControl w:val="0"/>
        <w:rPr>
          <w:rFonts w:ascii="Arial Narrow" w:eastAsia="Arial Narrow" w:hAnsi="Arial Narrow" w:cs="Arial Narrow"/>
          <w:sz w:val="20"/>
          <w:szCs w:val="20"/>
        </w:rPr>
      </w:pPr>
    </w:p>
    <w:p w14:paraId="29EBD35B" w14:textId="77777777" w:rsidR="00EA0A65" w:rsidRDefault="002959E9">
      <w:pPr>
        <w:widowControl w:val="0"/>
        <w:rPr>
          <w:rFonts w:ascii="Arial Narrow" w:eastAsia="Arial Narrow" w:hAnsi="Arial Narrow" w:cs="Arial Narrow"/>
          <w:b/>
          <w:sz w:val="20"/>
          <w:szCs w:val="20"/>
        </w:rPr>
      </w:pPr>
      <w:r>
        <w:br w:type="page"/>
      </w:r>
    </w:p>
    <w:p w14:paraId="57180A45" w14:textId="77777777" w:rsidR="00EA0A65" w:rsidRDefault="002959E9">
      <w:pPr>
        <w:widowControl w:val="0"/>
        <w:numPr>
          <w:ilvl w:val="0"/>
          <w:numId w:val="19"/>
        </w:numPr>
        <w:pBdr>
          <w:top w:val="nil"/>
          <w:left w:val="nil"/>
          <w:bottom w:val="single" w:sz="4" w:space="1" w:color="000000"/>
          <w:right w:val="nil"/>
          <w:between w:val="nil"/>
        </w:pBdr>
        <w:ind w:left="-141" w:right="-567" w:hanging="143"/>
        <w:contextualSpacing/>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lastRenderedPageBreak/>
        <w:t xml:space="preserve">   FUNDAMENTOS Y ENFOQUES</w:t>
      </w:r>
    </w:p>
    <w:p w14:paraId="504EEC75" w14:textId="77777777" w:rsidR="00EA0A65" w:rsidRDefault="00EA0A65">
      <w:pPr>
        <w:widowControl w:val="0"/>
        <w:ind w:hanging="143"/>
        <w:rPr>
          <w:rFonts w:ascii="Arial Narrow" w:eastAsia="Arial Narrow" w:hAnsi="Arial Narrow" w:cs="Arial Narrow"/>
          <w:sz w:val="20"/>
          <w:szCs w:val="20"/>
        </w:rPr>
      </w:pPr>
    </w:p>
    <w:p w14:paraId="7ED213D9" w14:textId="77777777" w:rsidR="00EA0A65" w:rsidRDefault="002959E9">
      <w:pPr>
        <w:widowControl w:val="0"/>
        <w:numPr>
          <w:ilvl w:val="1"/>
          <w:numId w:val="19"/>
        </w:numPr>
        <w:pBdr>
          <w:top w:val="nil"/>
          <w:left w:val="nil"/>
          <w:bottom w:val="nil"/>
          <w:right w:val="nil"/>
          <w:between w:val="nil"/>
        </w:pBdr>
        <w:ind w:left="0" w:right="-567" w:hanging="143"/>
        <w:contextualSpacing/>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RESUMEN EJECUTIVO </w:t>
      </w:r>
    </w:p>
    <w:p w14:paraId="5C5079BF" w14:textId="77777777" w:rsidR="00EA0A65" w:rsidRDefault="00EA0A65">
      <w:pPr>
        <w:shd w:val="clear" w:color="auto" w:fill="FFFFFF"/>
        <w:ind w:left="-284" w:right="-336"/>
        <w:jc w:val="both"/>
        <w:rPr>
          <w:rFonts w:ascii="Arial Narrow" w:eastAsia="Arial Narrow" w:hAnsi="Arial Narrow" w:cs="Arial Narrow"/>
          <w:color w:val="26282A"/>
          <w:sz w:val="20"/>
          <w:szCs w:val="20"/>
        </w:rPr>
      </w:pPr>
    </w:p>
    <w:p w14:paraId="03F89EF3" w14:textId="4A2235D3" w:rsidR="007E483C" w:rsidRDefault="002959E9" w:rsidP="007E483C">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 xml:space="preserve">La región Amazonas, que comprende territorios andinos y amazónicos, tiene una cobertura de 2,847,639 ha </w:t>
      </w:r>
      <w:r w:rsidR="00980696">
        <w:rPr>
          <w:rFonts w:ascii="Arial Narrow" w:eastAsia="Arial Narrow" w:hAnsi="Arial Narrow" w:cs="Arial Narrow"/>
          <w:color w:val="26282A"/>
          <w:sz w:val="20"/>
          <w:szCs w:val="20"/>
        </w:rPr>
        <w:t xml:space="preserve">de bosques </w:t>
      </w:r>
      <w:r>
        <w:rPr>
          <w:rFonts w:ascii="Arial Narrow" w:eastAsia="Arial Narrow" w:hAnsi="Arial Narrow" w:cs="Arial Narrow"/>
          <w:color w:val="26282A"/>
          <w:sz w:val="20"/>
          <w:szCs w:val="20"/>
        </w:rPr>
        <w:t xml:space="preserve">(2.3% de los bosques tropicales peruanos). </w:t>
      </w:r>
      <w:r w:rsidR="00980696">
        <w:rPr>
          <w:rFonts w:ascii="Arial Narrow" w:eastAsia="Arial Narrow" w:hAnsi="Arial Narrow" w:cs="Arial Narrow"/>
          <w:color w:val="26282A"/>
          <w:sz w:val="20"/>
          <w:szCs w:val="20"/>
        </w:rPr>
        <w:t xml:space="preserve">Los bosques de Amazonas son muy particulares porque al estar ubicados en una zona de transición cerca al Ecuador entre los andes y el llano Amazónico albergan especies endémicas y de alto valor para la conservación. </w:t>
      </w:r>
      <w:r w:rsidR="007E483C">
        <w:rPr>
          <w:rFonts w:ascii="Arial Narrow" w:eastAsia="Arial Narrow" w:hAnsi="Arial Narrow" w:cs="Arial Narrow"/>
          <w:color w:val="26282A"/>
          <w:sz w:val="20"/>
          <w:szCs w:val="20"/>
        </w:rPr>
        <w:t xml:space="preserve">Así por ejemplo, los bosques del valle del río </w:t>
      </w:r>
      <w:r w:rsidR="005C20B8">
        <w:rPr>
          <w:rFonts w:ascii="Arial Narrow" w:eastAsia="Arial Narrow" w:hAnsi="Arial Narrow" w:cs="Arial Narrow"/>
          <w:color w:val="26282A"/>
          <w:sz w:val="20"/>
          <w:szCs w:val="20"/>
        </w:rPr>
        <w:t>Marañón</w:t>
      </w:r>
      <w:r w:rsidR="007E483C">
        <w:rPr>
          <w:rFonts w:ascii="Arial Narrow" w:eastAsia="Arial Narrow" w:hAnsi="Arial Narrow" w:cs="Arial Narrow"/>
          <w:color w:val="26282A"/>
          <w:sz w:val="20"/>
          <w:szCs w:val="20"/>
        </w:rPr>
        <w:t xml:space="preserve"> son un área importante de endemismo de aves. De igual modo, en Amazonas se pueden encontrar 21 zonas de vida de acuerdo al Sistema de Clasificación de Zonas de Vida muchas de las cuales todavía no se encuentran adecuadamente representadas en el Sistema Nacional de Áreas Naturales Protegidas por el Estado (SINANPE)</w:t>
      </w:r>
    </w:p>
    <w:p w14:paraId="12B1F699" w14:textId="77777777" w:rsidR="00980696" w:rsidRDefault="00980696">
      <w:pPr>
        <w:shd w:val="clear" w:color="auto" w:fill="FFFFFF"/>
        <w:ind w:left="-284" w:right="-336"/>
        <w:jc w:val="both"/>
        <w:rPr>
          <w:rFonts w:ascii="Arial Narrow" w:eastAsia="Arial Narrow" w:hAnsi="Arial Narrow" w:cs="Arial Narrow"/>
          <w:color w:val="26282A"/>
          <w:sz w:val="20"/>
          <w:szCs w:val="20"/>
        </w:rPr>
      </w:pPr>
    </w:p>
    <w:p w14:paraId="65B99CB5" w14:textId="77777777" w:rsidR="005C20B8" w:rsidRDefault="007E483C">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Al igual que otras regiones amazónicas, d</w:t>
      </w:r>
      <w:r w:rsidR="002959E9">
        <w:rPr>
          <w:rFonts w:ascii="Arial Narrow" w:eastAsia="Arial Narrow" w:hAnsi="Arial Narrow" w:cs="Arial Narrow"/>
          <w:color w:val="26282A"/>
          <w:sz w:val="20"/>
          <w:szCs w:val="20"/>
        </w:rPr>
        <w:t>esde el 2012</w:t>
      </w:r>
      <w:r>
        <w:rPr>
          <w:rFonts w:ascii="Arial Narrow" w:eastAsia="Arial Narrow" w:hAnsi="Arial Narrow" w:cs="Arial Narrow"/>
          <w:color w:val="26282A"/>
          <w:sz w:val="20"/>
          <w:szCs w:val="20"/>
        </w:rPr>
        <w:t xml:space="preserve">, en la Región Amazonas </w:t>
      </w:r>
      <w:r w:rsidR="002959E9">
        <w:rPr>
          <w:rFonts w:ascii="Arial Narrow" w:eastAsia="Arial Narrow" w:hAnsi="Arial Narrow" w:cs="Arial Narrow"/>
          <w:color w:val="26282A"/>
          <w:sz w:val="20"/>
          <w:szCs w:val="20"/>
        </w:rPr>
        <w:t xml:space="preserve">la </w:t>
      </w:r>
      <w:r>
        <w:rPr>
          <w:rFonts w:ascii="Arial Narrow" w:eastAsia="Arial Narrow" w:hAnsi="Arial Narrow" w:cs="Arial Narrow"/>
          <w:color w:val="26282A"/>
          <w:sz w:val="20"/>
          <w:szCs w:val="20"/>
        </w:rPr>
        <w:t>tendencia de la pérdida de bosques en ascendente. Se ha estimado que en el</w:t>
      </w:r>
      <w:r w:rsidR="002959E9">
        <w:rPr>
          <w:rFonts w:ascii="Arial Narrow" w:eastAsia="Arial Narrow" w:hAnsi="Arial Narrow" w:cs="Arial Narrow"/>
          <w:color w:val="26282A"/>
          <w:sz w:val="20"/>
          <w:szCs w:val="20"/>
        </w:rPr>
        <w:t xml:space="preserve"> 2016 la deforesta</w:t>
      </w:r>
      <w:r>
        <w:rPr>
          <w:rFonts w:ascii="Arial Narrow" w:eastAsia="Arial Narrow" w:hAnsi="Arial Narrow" w:cs="Arial Narrow"/>
          <w:color w:val="26282A"/>
          <w:sz w:val="20"/>
          <w:szCs w:val="20"/>
        </w:rPr>
        <w:t xml:space="preserve">ción fue de 6,983.91 hectáreas y que durante </w:t>
      </w:r>
      <w:r w:rsidR="002959E9">
        <w:rPr>
          <w:rFonts w:ascii="Arial Narrow" w:eastAsia="Arial Narrow" w:hAnsi="Arial Narrow" w:cs="Arial Narrow"/>
          <w:color w:val="26282A"/>
          <w:sz w:val="20"/>
          <w:szCs w:val="20"/>
        </w:rPr>
        <w:t xml:space="preserve">el período 2001-2016 </w:t>
      </w:r>
      <w:r>
        <w:rPr>
          <w:rFonts w:ascii="Arial Narrow" w:eastAsia="Arial Narrow" w:hAnsi="Arial Narrow" w:cs="Arial Narrow"/>
          <w:color w:val="26282A"/>
          <w:sz w:val="20"/>
          <w:szCs w:val="20"/>
        </w:rPr>
        <w:t xml:space="preserve">se han perdido más de 72,372 hectáreas. Se ha identificado además que </w:t>
      </w:r>
      <w:r w:rsidR="002959E9">
        <w:rPr>
          <w:rFonts w:ascii="Arial Narrow" w:eastAsia="Arial Narrow" w:hAnsi="Arial Narrow" w:cs="Arial Narrow"/>
          <w:color w:val="26282A"/>
          <w:sz w:val="20"/>
          <w:szCs w:val="20"/>
        </w:rPr>
        <w:t xml:space="preserve">el 95% del tamaño de la pérdida es explicado por áreas menores a 5 hectáreas. En el 2016, el 59.25% de la deforestación </w:t>
      </w:r>
      <w:r w:rsidR="005C20B8">
        <w:rPr>
          <w:rFonts w:ascii="Arial Narrow" w:eastAsia="Arial Narrow" w:hAnsi="Arial Narrow" w:cs="Arial Narrow"/>
          <w:color w:val="26282A"/>
          <w:sz w:val="20"/>
          <w:szCs w:val="20"/>
        </w:rPr>
        <w:t xml:space="preserve">se dio en áreas </w:t>
      </w:r>
      <w:r w:rsidR="002959E9">
        <w:rPr>
          <w:rFonts w:ascii="Arial Narrow" w:eastAsia="Arial Narrow" w:hAnsi="Arial Narrow" w:cs="Arial Narrow"/>
          <w:color w:val="26282A"/>
          <w:sz w:val="20"/>
          <w:szCs w:val="20"/>
        </w:rPr>
        <w:t>menores a 1 hectárea, mientras que el 31.86% de la deforestación por áreas entre 1 y 5 hectáreas. No se</w:t>
      </w:r>
      <w:r w:rsidR="005C20B8">
        <w:rPr>
          <w:rFonts w:ascii="Arial Narrow" w:eastAsia="Arial Narrow" w:hAnsi="Arial Narrow" w:cs="Arial Narrow"/>
          <w:color w:val="26282A"/>
          <w:sz w:val="20"/>
          <w:szCs w:val="20"/>
        </w:rPr>
        <w:t xml:space="preserve"> ha reportado pérdida en </w:t>
      </w:r>
      <w:r w:rsidR="002959E9">
        <w:rPr>
          <w:rFonts w:ascii="Arial Narrow" w:eastAsia="Arial Narrow" w:hAnsi="Arial Narrow" w:cs="Arial Narrow"/>
          <w:color w:val="26282A"/>
          <w:sz w:val="20"/>
          <w:szCs w:val="20"/>
        </w:rPr>
        <w:t xml:space="preserve">áreas mayores a 500 ha.  </w:t>
      </w:r>
    </w:p>
    <w:p w14:paraId="362F9FBB" w14:textId="77777777" w:rsidR="005C20B8" w:rsidRDefault="005C20B8">
      <w:pPr>
        <w:shd w:val="clear" w:color="auto" w:fill="FFFFFF"/>
        <w:ind w:left="-284" w:right="-336"/>
        <w:jc w:val="both"/>
        <w:rPr>
          <w:rFonts w:ascii="Arial Narrow" w:eastAsia="Arial Narrow" w:hAnsi="Arial Narrow" w:cs="Arial Narrow"/>
          <w:color w:val="26282A"/>
          <w:sz w:val="20"/>
          <w:szCs w:val="20"/>
        </w:rPr>
      </w:pPr>
    </w:p>
    <w:p w14:paraId="165B6F6D" w14:textId="00C65E22" w:rsidR="00EA0A65" w:rsidRDefault="005C20B8">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 xml:space="preserve">De igual modo, la deforestación en Amazonas es localizada. Cinco </w:t>
      </w:r>
      <w:r w:rsidR="002959E9">
        <w:rPr>
          <w:rFonts w:ascii="Arial Narrow" w:eastAsia="Arial Narrow" w:hAnsi="Arial Narrow" w:cs="Arial Narrow"/>
          <w:color w:val="26282A"/>
          <w:sz w:val="20"/>
          <w:szCs w:val="20"/>
        </w:rPr>
        <w:t xml:space="preserve">distritos </w:t>
      </w:r>
      <w:r>
        <w:rPr>
          <w:rFonts w:ascii="Arial Narrow" w:eastAsia="Arial Narrow" w:hAnsi="Arial Narrow" w:cs="Arial Narrow"/>
          <w:color w:val="26282A"/>
          <w:sz w:val="20"/>
          <w:szCs w:val="20"/>
        </w:rPr>
        <w:t xml:space="preserve">en la Región </w:t>
      </w:r>
      <w:r w:rsidR="002959E9">
        <w:rPr>
          <w:rFonts w:ascii="Arial Narrow" w:eastAsia="Arial Narrow" w:hAnsi="Arial Narrow" w:cs="Arial Narrow"/>
          <w:color w:val="26282A"/>
          <w:sz w:val="20"/>
          <w:szCs w:val="20"/>
        </w:rPr>
        <w:t>explican el 67.58% de la pérdida</w:t>
      </w:r>
      <w:r>
        <w:rPr>
          <w:rFonts w:ascii="Arial Narrow" w:eastAsia="Arial Narrow" w:hAnsi="Arial Narrow" w:cs="Arial Narrow"/>
          <w:color w:val="26282A"/>
          <w:sz w:val="20"/>
          <w:szCs w:val="20"/>
        </w:rPr>
        <w:t xml:space="preserve"> de bosques</w:t>
      </w:r>
      <w:r w:rsidR="002959E9">
        <w:rPr>
          <w:rFonts w:ascii="Arial Narrow" w:eastAsia="Arial Narrow" w:hAnsi="Arial Narrow" w:cs="Arial Narrow"/>
          <w:color w:val="26282A"/>
          <w:sz w:val="20"/>
          <w:szCs w:val="20"/>
        </w:rPr>
        <w:t xml:space="preserve"> en el 2016. Tres de ellos (Nieva, Rio Santiago y El Cenepa) pertenecen a la provincia de Condorcanqui</w:t>
      </w:r>
      <w:r w:rsidR="002959E9">
        <w:rPr>
          <w:rFonts w:ascii="Arial Narrow" w:eastAsia="Arial Narrow" w:hAnsi="Arial Narrow" w:cs="Arial Narrow"/>
          <w:sz w:val="20"/>
          <w:szCs w:val="20"/>
          <w:vertAlign w:val="superscript"/>
        </w:rPr>
        <w:footnoteReference w:id="1"/>
      </w:r>
      <w:r>
        <w:rPr>
          <w:rFonts w:ascii="Arial Narrow" w:eastAsia="Arial Narrow" w:hAnsi="Arial Narrow" w:cs="Arial Narrow"/>
          <w:sz w:val="20"/>
          <w:szCs w:val="20"/>
        </w:rPr>
        <w:t xml:space="preserve">, por lo que se puede inferir que la deforestación está localizada a la expansión de la pequeña agricultura, sobre todo en tierras de comunidades nativas, la minería ilegal y la migración de colonos alrededor del eje carretero Bagua-Santa </w:t>
      </w:r>
      <w:r w:rsidR="0037402A">
        <w:rPr>
          <w:rFonts w:ascii="Arial Narrow" w:eastAsia="Arial Narrow" w:hAnsi="Arial Narrow" w:cs="Arial Narrow"/>
          <w:sz w:val="20"/>
          <w:szCs w:val="20"/>
        </w:rPr>
        <w:t>María</w:t>
      </w:r>
      <w:r>
        <w:rPr>
          <w:rFonts w:ascii="Arial Narrow" w:eastAsia="Arial Narrow" w:hAnsi="Arial Narrow" w:cs="Arial Narrow"/>
          <w:sz w:val="20"/>
          <w:szCs w:val="20"/>
        </w:rPr>
        <w:t xml:space="preserve"> de Nieva. Es importante señalar que la </w:t>
      </w:r>
      <w:r w:rsidR="0095221B">
        <w:rPr>
          <w:rFonts w:ascii="Arial Narrow" w:eastAsia="Arial Narrow" w:hAnsi="Arial Narrow" w:cs="Arial Narrow"/>
          <w:sz w:val="20"/>
          <w:szCs w:val="20"/>
        </w:rPr>
        <w:t xml:space="preserve">reciente mejora </w:t>
      </w:r>
      <w:r>
        <w:rPr>
          <w:rFonts w:ascii="Arial Narrow" w:eastAsia="Arial Narrow" w:hAnsi="Arial Narrow" w:cs="Arial Narrow"/>
          <w:sz w:val="20"/>
          <w:szCs w:val="20"/>
        </w:rPr>
        <w:t xml:space="preserve">de esta carretera </w:t>
      </w:r>
      <w:r w:rsidR="0095221B">
        <w:rPr>
          <w:rFonts w:ascii="Arial Narrow" w:eastAsia="Arial Narrow" w:hAnsi="Arial Narrow" w:cs="Arial Narrow"/>
          <w:sz w:val="20"/>
          <w:szCs w:val="20"/>
        </w:rPr>
        <w:t>es un impulsor de deforestación que debe ser particularmente evaluado y atendido.</w:t>
      </w:r>
      <w:r w:rsidR="002959E9">
        <w:rPr>
          <w:rFonts w:ascii="Arial Narrow" w:eastAsia="Arial Narrow" w:hAnsi="Arial Narrow" w:cs="Arial Narrow"/>
          <w:sz w:val="20"/>
          <w:szCs w:val="20"/>
        </w:rPr>
        <w:t xml:space="preserve"> </w:t>
      </w:r>
      <w:r w:rsidR="002959E9">
        <w:rPr>
          <w:rFonts w:ascii="Arial Narrow" w:eastAsia="Arial Narrow" w:hAnsi="Arial Narrow" w:cs="Arial Narrow"/>
          <w:color w:val="26282A"/>
          <w:sz w:val="20"/>
          <w:szCs w:val="20"/>
        </w:rPr>
        <w:t xml:space="preserve"> </w:t>
      </w:r>
    </w:p>
    <w:p w14:paraId="4CCE76AC" w14:textId="77777777" w:rsidR="00EA0A65" w:rsidRDefault="00EA0A65">
      <w:pPr>
        <w:ind w:left="-284" w:right="-336"/>
        <w:jc w:val="both"/>
        <w:rPr>
          <w:rFonts w:ascii="Arial Narrow" w:eastAsia="Arial Narrow" w:hAnsi="Arial Narrow" w:cs="Arial Narrow"/>
          <w:color w:val="26282A"/>
          <w:sz w:val="20"/>
          <w:szCs w:val="20"/>
        </w:rPr>
      </w:pPr>
    </w:p>
    <w:p w14:paraId="493BE0A3" w14:textId="0BD4E6F6" w:rsidR="00333747" w:rsidRDefault="00B80546">
      <w:pPr>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Por estas razones,</w:t>
      </w:r>
      <w:r w:rsidR="00333747">
        <w:rPr>
          <w:rFonts w:ascii="Arial Narrow" w:eastAsia="Arial Narrow" w:hAnsi="Arial Narrow" w:cs="Arial Narrow"/>
          <w:color w:val="26282A"/>
          <w:sz w:val="20"/>
          <w:szCs w:val="20"/>
        </w:rPr>
        <w:t xml:space="preserve"> </w:t>
      </w:r>
      <w:r>
        <w:rPr>
          <w:rFonts w:ascii="Arial Narrow" w:eastAsia="Arial Narrow" w:hAnsi="Arial Narrow" w:cs="Arial Narrow"/>
          <w:color w:val="26282A"/>
          <w:sz w:val="20"/>
          <w:szCs w:val="20"/>
        </w:rPr>
        <w:t>l</w:t>
      </w:r>
      <w:r w:rsidR="00333747">
        <w:rPr>
          <w:rFonts w:ascii="Arial Narrow" w:eastAsia="Arial Narrow" w:hAnsi="Arial Narrow" w:cs="Arial Narrow"/>
          <w:color w:val="26282A"/>
          <w:sz w:val="20"/>
          <w:szCs w:val="20"/>
        </w:rPr>
        <w:t xml:space="preserve">a Región Amazonas ha sido pionera </w:t>
      </w:r>
      <w:r w:rsidR="002959E9">
        <w:rPr>
          <w:rFonts w:ascii="Arial Narrow" w:eastAsia="Arial Narrow" w:hAnsi="Arial Narrow" w:cs="Arial Narrow"/>
          <w:color w:val="26282A"/>
          <w:sz w:val="20"/>
          <w:szCs w:val="20"/>
        </w:rPr>
        <w:t>en la elabora</w:t>
      </w:r>
      <w:r w:rsidR="00333747">
        <w:rPr>
          <w:rFonts w:ascii="Arial Narrow" w:eastAsia="Arial Narrow" w:hAnsi="Arial Narrow" w:cs="Arial Narrow"/>
          <w:color w:val="26282A"/>
          <w:sz w:val="20"/>
          <w:szCs w:val="20"/>
        </w:rPr>
        <w:t xml:space="preserve">r </w:t>
      </w:r>
      <w:r w:rsidR="002959E9">
        <w:rPr>
          <w:rFonts w:ascii="Arial Narrow" w:eastAsia="Arial Narrow" w:hAnsi="Arial Narrow" w:cs="Arial Narrow"/>
          <w:color w:val="26282A"/>
          <w:sz w:val="20"/>
          <w:szCs w:val="20"/>
        </w:rPr>
        <w:t>una estrategia para conservar la diversidad biológica regional, en la que los bosques son</w:t>
      </w:r>
      <w:r w:rsidR="00333747">
        <w:rPr>
          <w:rFonts w:ascii="Arial Narrow" w:eastAsia="Arial Narrow" w:hAnsi="Arial Narrow" w:cs="Arial Narrow"/>
          <w:color w:val="26282A"/>
          <w:sz w:val="20"/>
          <w:szCs w:val="20"/>
        </w:rPr>
        <w:t xml:space="preserve"> uno de los elementos centrales. Parte de las acciones priorizadas en esta estrategia consideran avanzar en el </w:t>
      </w:r>
      <w:r w:rsidR="002959E9">
        <w:rPr>
          <w:rFonts w:ascii="Arial Narrow" w:eastAsia="Arial Narrow" w:hAnsi="Arial Narrow" w:cs="Arial Narrow"/>
          <w:color w:val="26282A"/>
          <w:sz w:val="20"/>
          <w:szCs w:val="20"/>
        </w:rPr>
        <w:t>esta</w:t>
      </w:r>
      <w:r w:rsidR="00333747">
        <w:rPr>
          <w:rFonts w:ascii="Arial Narrow" w:eastAsia="Arial Narrow" w:hAnsi="Arial Narrow" w:cs="Arial Narrow"/>
          <w:color w:val="26282A"/>
          <w:sz w:val="20"/>
          <w:szCs w:val="20"/>
        </w:rPr>
        <w:t>blecimiento de áreas protegidas</w:t>
      </w:r>
      <w:r w:rsidR="002959E9">
        <w:rPr>
          <w:rFonts w:ascii="Arial Narrow" w:eastAsia="Arial Narrow" w:hAnsi="Arial Narrow" w:cs="Arial Narrow"/>
          <w:color w:val="26282A"/>
          <w:sz w:val="20"/>
          <w:szCs w:val="20"/>
        </w:rPr>
        <w:t xml:space="preserve"> considerando valores de conservación</w:t>
      </w:r>
      <w:r w:rsidR="00333747">
        <w:rPr>
          <w:rFonts w:ascii="Arial Narrow" w:eastAsia="Arial Narrow" w:hAnsi="Arial Narrow" w:cs="Arial Narrow"/>
          <w:color w:val="26282A"/>
          <w:sz w:val="20"/>
          <w:szCs w:val="20"/>
        </w:rPr>
        <w:t xml:space="preserve"> como el potencial de generación </w:t>
      </w:r>
      <w:r w:rsidR="002959E9">
        <w:rPr>
          <w:rFonts w:ascii="Arial Narrow" w:eastAsia="Arial Narrow" w:hAnsi="Arial Narrow" w:cs="Arial Narrow"/>
          <w:color w:val="26282A"/>
          <w:sz w:val="20"/>
          <w:szCs w:val="20"/>
        </w:rPr>
        <w:t xml:space="preserve">de agua, </w:t>
      </w:r>
      <w:r w:rsidR="00333747">
        <w:rPr>
          <w:rFonts w:ascii="Arial Narrow" w:eastAsia="Arial Narrow" w:hAnsi="Arial Narrow" w:cs="Arial Narrow"/>
          <w:color w:val="26282A"/>
          <w:sz w:val="20"/>
          <w:szCs w:val="20"/>
        </w:rPr>
        <w:t xml:space="preserve">hábitat de fauna o presencia de flora endémica, el valor </w:t>
      </w:r>
      <w:r w:rsidR="002959E9">
        <w:rPr>
          <w:rFonts w:ascii="Arial Narrow" w:eastAsia="Arial Narrow" w:hAnsi="Arial Narrow" w:cs="Arial Narrow"/>
          <w:color w:val="26282A"/>
          <w:sz w:val="20"/>
          <w:szCs w:val="20"/>
        </w:rPr>
        <w:t>cultural/arqueológico</w:t>
      </w:r>
      <w:r w:rsidR="00333747">
        <w:rPr>
          <w:rFonts w:ascii="Arial Narrow" w:eastAsia="Arial Narrow" w:hAnsi="Arial Narrow" w:cs="Arial Narrow"/>
          <w:color w:val="26282A"/>
          <w:sz w:val="20"/>
          <w:szCs w:val="20"/>
        </w:rPr>
        <w:t xml:space="preserve"> o la</w:t>
      </w:r>
      <w:r w:rsidR="002959E9">
        <w:rPr>
          <w:rFonts w:ascii="Arial Narrow" w:eastAsia="Arial Narrow" w:hAnsi="Arial Narrow" w:cs="Arial Narrow"/>
          <w:color w:val="26282A"/>
          <w:sz w:val="20"/>
          <w:szCs w:val="20"/>
        </w:rPr>
        <w:t xml:space="preserve"> belleza escénica. </w:t>
      </w:r>
      <w:r w:rsidR="00333747">
        <w:rPr>
          <w:rFonts w:ascii="Arial Narrow" w:eastAsia="Arial Narrow" w:hAnsi="Arial Narrow" w:cs="Arial Narrow"/>
          <w:color w:val="26282A"/>
          <w:sz w:val="20"/>
          <w:szCs w:val="20"/>
        </w:rPr>
        <w:t>Así, hasta el momento se han reconocido más de 633,343.98 hectáreas, equivalente al 15.06 % del territorio departamental, como 25 áreas naturales protegidas; que integran el sistema de conservación regional SICRE</w:t>
      </w:r>
      <w:r w:rsidR="00333747">
        <w:rPr>
          <w:rFonts w:ascii="Arial Narrow" w:eastAsia="Arial Narrow" w:hAnsi="Arial Narrow" w:cs="Arial Narrow"/>
          <w:color w:val="26282A"/>
          <w:sz w:val="20"/>
          <w:szCs w:val="20"/>
          <w:vertAlign w:val="superscript"/>
        </w:rPr>
        <w:footnoteReference w:id="2"/>
      </w:r>
      <w:r w:rsidR="00333747">
        <w:rPr>
          <w:rFonts w:ascii="Arial Narrow" w:eastAsia="Arial Narrow" w:hAnsi="Arial Narrow" w:cs="Arial Narrow"/>
          <w:color w:val="26282A"/>
          <w:sz w:val="20"/>
          <w:szCs w:val="20"/>
        </w:rPr>
        <w:t xml:space="preserve">. De igual modo se ha determinado que todavía deben conservarse 8 zonas prioritarias más que no están suficientemente representadas. </w:t>
      </w:r>
    </w:p>
    <w:p w14:paraId="02518B2D" w14:textId="77777777" w:rsidR="00333747" w:rsidRDefault="00333747">
      <w:pPr>
        <w:ind w:left="-284" w:right="-336"/>
        <w:jc w:val="both"/>
        <w:rPr>
          <w:rFonts w:ascii="Arial Narrow" w:eastAsia="Arial Narrow" w:hAnsi="Arial Narrow" w:cs="Arial Narrow"/>
          <w:color w:val="26282A"/>
          <w:sz w:val="20"/>
          <w:szCs w:val="20"/>
        </w:rPr>
      </w:pPr>
    </w:p>
    <w:p w14:paraId="0D54F5D9" w14:textId="0BF9221C" w:rsidR="00333747" w:rsidRDefault="00333747">
      <w:pPr>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 xml:space="preserve">De igual modo, Amazonas es una de las regiones más importantes para el Programa Nacional de Conservación de Bosques para la Mitigación del Cambio Climático (PNCB) del Ministerio del Ambiente que ha incorporado más de 2,607,215 hectáreas de bosques en tierras de comunidades nativas bajo el sistema de transferencias directas condicionadas para la conservación de bosques. Cabe señalar que </w:t>
      </w:r>
      <w:r w:rsidR="009714DF">
        <w:rPr>
          <w:rFonts w:ascii="Arial Narrow" w:eastAsia="Arial Narrow" w:hAnsi="Arial Narrow" w:cs="Arial Narrow"/>
          <w:color w:val="26282A"/>
          <w:sz w:val="20"/>
          <w:szCs w:val="20"/>
        </w:rPr>
        <w:t xml:space="preserve">este sistema de incentivos se ha ubicado justamente en las provincias con mayor deforestación señaladas anteriormente. </w:t>
      </w:r>
    </w:p>
    <w:p w14:paraId="55ABC891" w14:textId="77777777" w:rsidR="00333747" w:rsidRDefault="00333747">
      <w:pPr>
        <w:ind w:left="-284" w:right="-336"/>
        <w:jc w:val="both"/>
        <w:rPr>
          <w:rFonts w:ascii="Arial Narrow" w:eastAsia="Arial Narrow" w:hAnsi="Arial Narrow" w:cs="Arial Narrow"/>
          <w:color w:val="26282A"/>
          <w:sz w:val="20"/>
          <w:szCs w:val="20"/>
        </w:rPr>
      </w:pPr>
    </w:p>
    <w:p w14:paraId="68A017F3" w14:textId="1FE1934A" w:rsidR="00EA0A65" w:rsidRDefault="009714DF">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 xml:space="preserve">Otra característica importante de Amazonas </w:t>
      </w:r>
      <w:r w:rsidR="002959E9">
        <w:rPr>
          <w:rFonts w:ascii="Arial Narrow" w:eastAsia="Arial Narrow" w:hAnsi="Arial Narrow" w:cs="Arial Narrow"/>
          <w:color w:val="26282A"/>
          <w:sz w:val="20"/>
          <w:szCs w:val="20"/>
        </w:rPr>
        <w:t xml:space="preserve">es que cerca del 50% del área geográfica de la región está ocupada por comunidades nativas amazónicas, específicamente de las etnias Awajun y Wampis, de la familia etnolingüística Jíbaro. La zona donde viven es geográficamente conocida como el Alto Marañón y comprende la provincia de Condorcanqui y el distrito de Imaza, en la provincia de Bagua. La capital de la región, Chachapoyas, se ubica en el ámbito andino. </w:t>
      </w:r>
      <w:r w:rsidR="009666E9">
        <w:rPr>
          <w:rFonts w:ascii="Arial Narrow" w:eastAsia="Arial Narrow" w:hAnsi="Arial Narrow" w:cs="Arial Narrow"/>
          <w:color w:val="26282A"/>
          <w:sz w:val="20"/>
          <w:szCs w:val="20"/>
        </w:rPr>
        <w:t>El trabajo coordinado con las comunidades nativas presenta grandes oportunidades para reducir la deforestación en gran parte de la región.</w:t>
      </w:r>
      <w:r w:rsidR="002959E9">
        <w:rPr>
          <w:rFonts w:ascii="Arial Narrow" w:eastAsia="Arial Narrow" w:hAnsi="Arial Narrow" w:cs="Arial Narrow"/>
          <w:color w:val="26282A"/>
          <w:sz w:val="20"/>
          <w:szCs w:val="20"/>
        </w:rPr>
        <w:t xml:space="preserve"> </w:t>
      </w:r>
    </w:p>
    <w:p w14:paraId="60C3C747" w14:textId="77777777" w:rsidR="00EA0A65" w:rsidRDefault="00EA0A65">
      <w:pPr>
        <w:shd w:val="clear" w:color="auto" w:fill="FFFFFF"/>
        <w:ind w:left="-284" w:right="-336"/>
        <w:jc w:val="both"/>
        <w:rPr>
          <w:rFonts w:ascii="Arial Narrow" w:eastAsia="Arial Narrow" w:hAnsi="Arial Narrow" w:cs="Arial Narrow"/>
          <w:color w:val="26282A"/>
          <w:sz w:val="20"/>
          <w:szCs w:val="20"/>
        </w:rPr>
      </w:pPr>
    </w:p>
    <w:p w14:paraId="056138F2" w14:textId="77777777" w:rsidR="00575782" w:rsidRDefault="00575782">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Además de estos avances es importante resaltar que l</w:t>
      </w:r>
      <w:r w:rsidR="002959E9">
        <w:rPr>
          <w:rFonts w:ascii="Arial Narrow" w:eastAsia="Arial Narrow" w:hAnsi="Arial Narrow" w:cs="Arial Narrow"/>
          <w:color w:val="26282A"/>
          <w:sz w:val="20"/>
          <w:szCs w:val="20"/>
        </w:rPr>
        <w:t>a visión del Plan de Desarrollo Regional Concertado de Amazonas proyecta que</w:t>
      </w:r>
      <w:r w:rsidR="002959E9">
        <w:rPr>
          <w:rFonts w:ascii="Arial Narrow" w:eastAsia="Arial Narrow" w:hAnsi="Arial Narrow" w:cs="Arial Narrow"/>
          <w:color w:val="26282A"/>
          <w:sz w:val="20"/>
          <w:szCs w:val="20"/>
          <w:vertAlign w:val="superscript"/>
        </w:rPr>
        <w:footnoteReference w:id="3"/>
      </w:r>
      <w:r w:rsidR="002959E9">
        <w:rPr>
          <w:rFonts w:ascii="Arial Narrow" w:eastAsia="Arial Narrow" w:hAnsi="Arial Narrow" w:cs="Arial Narrow"/>
          <w:color w:val="26282A"/>
          <w:sz w:val="20"/>
          <w:szCs w:val="20"/>
        </w:rPr>
        <w:t xml:space="preserve"> “</w:t>
      </w:r>
      <w:r w:rsidR="002959E9">
        <w:rPr>
          <w:rFonts w:ascii="Arial Narrow" w:eastAsia="Arial Narrow" w:hAnsi="Arial Narrow" w:cs="Arial Narrow"/>
          <w:i/>
          <w:sz w:val="20"/>
          <w:szCs w:val="20"/>
        </w:rPr>
        <w:t>Amazonas al 2021: es una sociedad multicultural inclusiva, un destino turístico, generadora de energías limpias y con economía verde diversificada</w:t>
      </w:r>
      <w:r w:rsidR="002959E9">
        <w:rPr>
          <w:rFonts w:ascii="Arial Narrow" w:eastAsia="Arial Narrow" w:hAnsi="Arial Narrow" w:cs="Arial Narrow"/>
          <w:b/>
          <w:sz w:val="20"/>
          <w:szCs w:val="20"/>
        </w:rPr>
        <w:t>”</w:t>
      </w:r>
      <w:r w:rsidR="002959E9">
        <w:rPr>
          <w:rFonts w:ascii="Arial Narrow" w:eastAsia="Arial Narrow" w:hAnsi="Arial Narrow" w:cs="Arial Narrow"/>
          <w:color w:val="26282A"/>
          <w:sz w:val="20"/>
          <w:szCs w:val="20"/>
        </w:rPr>
        <w:t xml:space="preserve">. Así, entre otras metas, este plan propone alcanzar una superficie de bosques conservados de 2.8 millones de ha y 25% del territorio bajo categorías de áreas protegidas, compatibles con el compromiso asumido en la Declaración de Rio Branco del GCF TF. </w:t>
      </w:r>
    </w:p>
    <w:p w14:paraId="098FB1BE" w14:textId="77777777" w:rsidR="00575782" w:rsidRDefault="00575782">
      <w:pPr>
        <w:shd w:val="clear" w:color="auto" w:fill="FFFFFF"/>
        <w:ind w:left="-284" w:right="-336"/>
        <w:jc w:val="both"/>
        <w:rPr>
          <w:rFonts w:ascii="Arial Narrow" w:eastAsia="Arial Narrow" w:hAnsi="Arial Narrow" w:cs="Arial Narrow"/>
          <w:color w:val="26282A"/>
          <w:sz w:val="20"/>
          <w:szCs w:val="20"/>
        </w:rPr>
      </w:pPr>
    </w:p>
    <w:p w14:paraId="5DAAE22D" w14:textId="77777777" w:rsidR="003A6741" w:rsidRDefault="002959E9">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Para lograr hacer sinérgicas y convergentes a estas propuestas, el presente proyecto propone fortalecer las capacidades del G</w:t>
      </w:r>
      <w:r w:rsidR="003A6741">
        <w:rPr>
          <w:rFonts w:ascii="Arial Narrow" w:eastAsia="Arial Narrow" w:hAnsi="Arial Narrow" w:cs="Arial Narrow"/>
          <w:color w:val="26282A"/>
          <w:sz w:val="20"/>
          <w:szCs w:val="20"/>
        </w:rPr>
        <w:t xml:space="preserve">obierno Regional de Amazonas, </w:t>
      </w:r>
      <w:r>
        <w:rPr>
          <w:rFonts w:ascii="Arial Narrow" w:eastAsia="Arial Narrow" w:hAnsi="Arial Narrow" w:cs="Arial Narrow"/>
          <w:color w:val="26282A"/>
          <w:sz w:val="20"/>
          <w:szCs w:val="20"/>
        </w:rPr>
        <w:t xml:space="preserve">y </w:t>
      </w:r>
      <w:r w:rsidR="003A6741">
        <w:rPr>
          <w:rFonts w:ascii="Arial Narrow" w:eastAsia="Arial Narrow" w:hAnsi="Arial Narrow" w:cs="Arial Narrow"/>
          <w:color w:val="26282A"/>
          <w:sz w:val="20"/>
          <w:szCs w:val="20"/>
        </w:rPr>
        <w:t xml:space="preserve">otros </w:t>
      </w:r>
      <w:r>
        <w:rPr>
          <w:rFonts w:ascii="Arial Narrow" w:eastAsia="Arial Narrow" w:hAnsi="Arial Narrow" w:cs="Arial Narrow"/>
          <w:color w:val="26282A"/>
          <w:sz w:val="20"/>
          <w:szCs w:val="20"/>
        </w:rPr>
        <w:t>actores clave</w:t>
      </w:r>
      <w:r w:rsidR="003A6741">
        <w:rPr>
          <w:rFonts w:ascii="Arial Narrow" w:eastAsia="Arial Narrow" w:hAnsi="Arial Narrow" w:cs="Arial Narrow"/>
          <w:color w:val="26282A"/>
          <w:sz w:val="20"/>
          <w:szCs w:val="20"/>
        </w:rPr>
        <w:t xml:space="preserve"> como los pueblos indígenas o municipios,</w:t>
      </w:r>
      <w:r>
        <w:rPr>
          <w:rFonts w:ascii="Arial Narrow" w:eastAsia="Arial Narrow" w:hAnsi="Arial Narrow" w:cs="Arial Narrow"/>
          <w:color w:val="26282A"/>
          <w:sz w:val="20"/>
          <w:szCs w:val="20"/>
        </w:rPr>
        <w:t xml:space="preserve"> para construir herramientas que permitan gestionar la jurisdicción bajo un enfoque de paisajes, promover el desarrollo rural bajo en emisiones, incrementar la productividad, reducir la deforestación y así cumplir los compromisos nacionales e internacionales sobre reducción de emisiones de GEI asociadas al cambio de uso del suelo, incorporando las debidas salvaguardas ambientales y sociales.</w:t>
      </w:r>
      <w:r w:rsidR="00575782">
        <w:rPr>
          <w:rFonts w:ascii="Arial Narrow" w:eastAsia="Arial Narrow" w:hAnsi="Arial Narrow" w:cs="Arial Narrow"/>
          <w:color w:val="26282A"/>
          <w:sz w:val="20"/>
          <w:szCs w:val="20"/>
        </w:rPr>
        <w:t xml:space="preserve"> </w:t>
      </w:r>
      <w:bookmarkStart w:id="2" w:name="_30j0zll" w:colFirst="0" w:colLast="0"/>
      <w:bookmarkEnd w:id="2"/>
      <w:r>
        <w:rPr>
          <w:rFonts w:ascii="Arial Narrow" w:eastAsia="Arial Narrow" w:hAnsi="Arial Narrow" w:cs="Arial Narrow"/>
          <w:color w:val="26282A"/>
          <w:sz w:val="20"/>
          <w:szCs w:val="20"/>
        </w:rPr>
        <w:t>Para ello, el Proyecto buscará en un plazo de 18 meses</w:t>
      </w:r>
      <w:r w:rsidR="003A6741">
        <w:rPr>
          <w:rFonts w:ascii="Arial Narrow" w:eastAsia="Arial Narrow" w:hAnsi="Arial Narrow" w:cs="Arial Narrow"/>
          <w:color w:val="26282A"/>
          <w:sz w:val="20"/>
          <w:szCs w:val="20"/>
        </w:rPr>
        <w:t>, generar: 1) una estrategia de desarrollo rural bajo en emisiones y un plan de inversión para su implementación elaborado, validado y acordado</w:t>
      </w:r>
      <w:r>
        <w:rPr>
          <w:rFonts w:ascii="Arial Narrow" w:eastAsia="Arial Narrow" w:hAnsi="Arial Narrow" w:cs="Arial Narrow"/>
          <w:color w:val="26282A"/>
          <w:sz w:val="20"/>
          <w:szCs w:val="20"/>
        </w:rPr>
        <w:t xml:space="preserve"> con actores clave a escala de la Región que permitan implementar de manera sinérgica y convergente acciones, en curso y futuras, para incrementar la producción, conservar los bosques y  reducir la deforestación de modo tal que se </w:t>
      </w:r>
      <w:r>
        <w:rPr>
          <w:rFonts w:ascii="Arial Narrow" w:eastAsia="Arial Narrow" w:hAnsi="Arial Narrow" w:cs="Arial Narrow"/>
          <w:color w:val="26282A"/>
          <w:sz w:val="20"/>
          <w:szCs w:val="20"/>
        </w:rPr>
        <w:lastRenderedPageBreak/>
        <w:t xml:space="preserve">promueva un desarrollo rural bajo en emisiones en esta jurisdicción, 2) fortalecer al gobierno regional y actores clave, durante el proceso de elaboración de </w:t>
      </w:r>
      <w:r w:rsidR="00F20012">
        <w:rPr>
          <w:rFonts w:ascii="Arial Narrow" w:eastAsia="Arial Narrow" w:hAnsi="Arial Narrow" w:cs="Arial Narrow"/>
          <w:color w:val="26282A"/>
          <w:sz w:val="20"/>
          <w:szCs w:val="20"/>
        </w:rPr>
        <w:t xml:space="preserve">estos </w:t>
      </w:r>
      <w:r>
        <w:rPr>
          <w:rFonts w:ascii="Arial Narrow" w:eastAsia="Arial Narrow" w:hAnsi="Arial Narrow" w:cs="Arial Narrow"/>
          <w:color w:val="26282A"/>
          <w:sz w:val="20"/>
          <w:szCs w:val="20"/>
        </w:rPr>
        <w:t xml:space="preserve">instrumentos </w:t>
      </w:r>
      <w:r w:rsidR="003A6741">
        <w:rPr>
          <w:rFonts w:ascii="Arial Narrow" w:eastAsia="Arial Narrow" w:hAnsi="Arial Narrow" w:cs="Arial Narrow"/>
          <w:color w:val="26282A"/>
          <w:sz w:val="20"/>
          <w:szCs w:val="20"/>
        </w:rPr>
        <w:t>para liderar la aplicación, </w:t>
      </w:r>
      <w:r>
        <w:rPr>
          <w:rFonts w:ascii="Arial Narrow" w:eastAsia="Arial Narrow" w:hAnsi="Arial Narrow" w:cs="Arial Narrow"/>
          <w:color w:val="26282A"/>
          <w:sz w:val="20"/>
          <w:szCs w:val="20"/>
        </w:rPr>
        <w:t>monitoreo y sistematización de lecciones aprendidas</w:t>
      </w:r>
      <w:r w:rsidR="00F20012">
        <w:rPr>
          <w:rFonts w:ascii="Arial Narrow" w:eastAsia="Arial Narrow" w:hAnsi="Arial Narrow" w:cs="Arial Narrow"/>
          <w:color w:val="26282A"/>
          <w:sz w:val="20"/>
          <w:szCs w:val="20"/>
        </w:rPr>
        <w:t xml:space="preserve">, </w:t>
      </w:r>
      <w:r>
        <w:rPr>
          <w:rFonts w:ascii="Arial Narrow" w:eastAsia="Arial Narrow" w:hAnsi="Arial Narrow" w:cs="Arial Narrow"/>
          <w:color w:val="26282A"/>
          <w:sz w:val="20"/>
          <w:szCs w:val="20"/>
        </w:rPr>
        <w:t xml:space="preserve">mientras retroalimentan y adaptan sus actividades para promover un desarrollo rural bajo en emisiones, 3) promover acuerdos para la implementación de estos instrumentos con actores claves; y 4) identificar los recursos necesarios y estrategias financieras apropiadas para implementar estos instrumentos de planificación además de definir las fuentes de financiamiento, público y privado, disponibles y potenciales, y prioridades de inversión. </w:t>
      </w:r>
    </w:p>
    <w:p w14:paraId="2E76AE34" w14:textId="77777777" w:rsidR="003A6741" w:rsidRDefault="003A6741">
      <w:pPr>
        <w:shd w:val="clear" w:color="auto" w:fill="FFFFFF"/>
        <w:ind w:left="-284" w:right="-336"/>
        <w:jc w:val="both"/>
        <w:rPr>
          <w:rFonts w:ascii="Arial Narrow" w:eastAsia="Arial Narrow" w:hAnsi="Arial Narrow" w:cs="Arial Narrow"/>
          <w:color w:val="26282A"/>
          <w:sz w:val="20"/>
          <w:szCs w:val="20"/>
        </w:rPr>
      </w:pPr>
    </w:p>
    <w:p w14:paraId="0815D4B9" w14:textId="6B060B03" w:rsidR="00A95041" w:rsidRDefault="003A6741" w:rsidP="00A95041">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Cabe señalar que durante la implementación del proyect</w:t>
      </w:r>
      <w:r w:rsidR="00A95041">
        <w:rPr>
          <w:rFonts w:ascii="Arial Narrow" w:eastAsia="Arial Narrow" w:hAnsi="Arial Narrow" w:cs="Arial Narrow"/>
          <w:color w:val="26282A"/>
          <w:sz w:val="20"/>
          <w:szCs w:val="20"/>
        </w:rPr>
        <w:t xml:space="preserve">o se procurará además articular la Estrategia y Plan a los diferentes planes y programas nacionales como la </w:t>
      </w:r>
      <w:r w:rsidR="002959E9">
        <w:rPr>
          <w:rFonts w:ascii="Arial Narrow" w:eastAsia="Arial Narrow" w:hAnsi="Arial Narrow" w:cs="Arial Narrow"/>
          <w:color w:val="26282A"/>
          <w:sz w:val="20"/>
          <w:szCs w:val="20"/>
        </w:rPr>
        <w:t>Estrategia Nacional so</w:t>
      </w:r>
      <w:r w:rsidR="00A95041">
        <w:rPr>
          <w:rFonts w:ascii="Arial Narrow" w:eastAsia="Arial Narrow" w:hAnsi="Arial Narrow" w:cs="Arial Narrow"/>
          <w:color w:val="26282A"/>
          <w:sz w:val="20"/>
          <w:szCs w:val="20"/>
        </w:rPr>
        <w:t>bre Bosques y Cambio Climático (</w:t>
      </w:r>
      <w:r w:rsidR="002959E9">
        <w:rPr>
          <w:rFonts w:ascii="Arial Narrow" w:eastAsia="Arial Narrow" w:hAnsi="Arial Narrow" w:cs="Arial Narrow"/>
          <w:color w:val="26282A"/>
          <w:sz w:val="20"/>
          <w:szCs w:val="20"/>
        </w:rPr>
        <w:t>ENBCC</w:t>
      </w:r>
      <w:r w:rsidR="00A95041">
        <w:rPr>
          <w:rFonts w:ascii="Arial Narrow" w:eastAsia="Arial Narrow" w:hAnsi="Arial Narrow" w:cs="Arial Narrow"/>
          <w:color w:val="26282A"/>
          <w:sz w:val="20"/>
          <w:szCs w:val="20"/>
        </w:rPr>
        <w:t xml:space="preserve">), las medidas para implementar la Contribución Nacionalmente Determinada (NDC), el Plan de Implementación de la Fase II de la DCI </w:t>
      </w:r>
      <w:r w:rsidR="0037402A">
        <w:rPr>
          <w:rFonts w:ascii="Arial Narrow" w:eastAsia="Arial Narrow" w:hAnsi="Arial Narrow" w:cs="Arial Narrow"/>
          <w:color w:val="26282A"/>
          <w:sz w:val="20"/>
          <w:szCs w:val="20"/>
        </w:rPr>
        <w:t xml:space="preserve">con Noruega y Alemania </w:t>
      </w:r>
      <w:r w:rsidR="00A95041">
        <w:rPr>
          <w:rFonts w:ascii="Arial Narrow" w:eastAsia="Arial Narrow" w:hAnsi="Arial Narrow" w:cs="Arial Narrow"/>
          <w:color w:val="26282A"/>
          <w:sz w:val="20"/>
          <w:szCs w:val="20"/>
        </w:rPr>
        <w:t xml:space="preserve">y otros. Para ello, y como parte de la estructura de gobernanza del Proyecto, se ha </w:t>
      </w:r>
      <w:r w:rsidR="0037402A">
        <w:rPr>
          <w:rFonts w:ascii="Arial Narrow" w:eastAsia="Arial Narrow" w:hAnsi="Arial Narrow" w:cs="Arial Narrow"/>
          <w:color w:val="26282A"/>
          <w:sz w:val="20"/>
          <w:szCs w:val="20"/>
        </w:rPr>
        <w:t>propuest</w:t>
      </w:r>
      <w:r w:rsidR="00A95041">
        <w:rPr>
          <w:rFonts w:ascii="Arial Narrow" w:eastAsia="Arial Narrow" w:hAnsi="Arial Narrow" w:cs="Arial Narrow"/>
          <w:color w:val="26282A"/>
          <w:sz w:val="20"/>
          <w:szCs w:val="20"/>
        </w:rPr>
        <w:t xml:space="preserve">o un comité de coordinación que está integrado por el Ministerio del Ambiente, el Ministerio de Agricultura, el Servicio Nacional Forestal y de Fauna Silvestre (SERFOR) y los Gobiernos Regionales del GCF-TF en Perú que promoverá la articulación entre los diferentes planes y programas señalados. De igual modo a nivel regional se coordinará permanentemente con los diferentes proyectos en Amazonas que puedan contribuir a reducir la deforestación en la región, para buscar sinergias y articular esfuerzos. </w:t>
      </w:r>
    </w:p>
    <w:p w14:paraId="789135F8" w14:textId="77777777" w:rsidR="00EA0A65" w:rsidRDefault="00EA0A65">
      <w:pPr>
        <w:shd w:val="clear" w:color="auto" w:fill="FFFFFF"/>
        <w:ind w:left="-284" w:right="-336"/>
        <w:jc w:val="both"/>
        <w:rPr>
          <w:rFonts w:ascii="Arial Narrow" w:eastAsia="Arial Narrow" w:hAnsi="Arial Narrow" w:cs="Arial Narrow"/>
          <w:color w:val="26282A"/>
          <w:sz w:val="20"/>
          <w:szCs w:val="20"/>
        </w:rPr>
      </w:pPr>
    </w:p>
    <w:p w14:paraId="75D061A1" w14:textId="63E94DEE" w:rsidR="00EA0A65" w:rsidRDefault="00A95041">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Es importante resaltar que este pr</w:t>
      </w:r>
      <w:r w:rsidR="002959E9">
        <w:rPr>
          <w:rFonts w:ascii="Arial Narrow" w:eastAsia="Arial Narrow" w:hAnsi="Arial Narrow" w:cs="Arial Narrow"/>
          <w:color w:val="26282A"/>
          <w:sz w:val="20"/>
          <w:szCs w:val="20"/>
        </w:rPr>
        <w:t xml:space="preserve">oyecto </w:t>
      </w:r>
      <w:r>
        <w:rPr>
          <w:rFonts w:ascii="Arial Narrow" w:eastAsia="Arial Narrow" w:hAnsi="Arial Narrow" w:cs="Arial Narrow"/>
          <w:color w:val="26282A"/>
          <w:sz w:val="20"/>
          <w:szCs w:val="20"/>
        </w:rPr>
        <w:t xml:space="preserve">está diseñado como parte de un </w:t>
      </w:r>
      <w:r w:rsidR="002959E9">
        <w:rPr>
          <w:rFonts w:ascii="Arial Narrow" w:eastAsia="Arial Narrow" w:hAnsi="Arial Narrow" w:cs="Arial Narrow"/>
          <w:color w:val="26282A"/>
          <w:sz w:val="20"/>
          <w:szCs w:val="20"/>
        </w:rPr>
        <w:t xml:space="preserve">Programa acordado por los Gobiernos Regionales peruanos miembros del GCF-TF para el proceso de elaborar las estrategias y planes de desarrollo rural bajo en emisiones, con reducción de deforestación. Esta aproximación coordinada y convergente entre gobiernos regionales permitirá una óptima cooperación entre ellos y con sus contrapartes del Gobierno nacional. Asimismo, permitirá reducir los costos operativos del proyecto y homogenizar metodologías al colaborar horizontalmente en el proceso de su aplicación. Contar con una misma organización como parte responsable en todas las regiones facilita este enfoque de programa colaborativo, al tiempo que articula como socias en el proyecto a organizaciones claves en cada región. De esta manera se genera, y en algunos casos se fortalece, una innovadora red de planificación y acción de carácter público privado en materia de desarrollo rural bajo en emisiones, bajo el liderazgo de cada Gobierno Regional en su jurisdicción, pero con proyección interregional en la Amazonía peruana. Se puede así asegurar que el proceso en cada región cuente con las mejores capacidades presentes en </w:t>
      </w:r>
      <w:r w:rsidR="0037402A">
        <w:rPr>
          <w:rFonts w:ascii="Arial Narrow" w:eastAsia="Arial Narrow" w:hAnsi="Arial Narrow" w:cs="Arial Narrow"/>
          <w:color w:val="26282A"/>
          <w:sz w:val="20"/>
          <w:szCs w:val="20"/>
        </w:rPr>
        <w:t>ella</w:t>
      </w:r>
      <w:r w:rsidR="002959E9">
        <w:rPr>
          <w:rFonts w:ascii="Arial Narrow" w:eastAsia="Arial Narrow" w:hAnsi="Arial Narrow" w:cs="Arial Narrow"/>
          <w:color w:val="26282A"/>
          <w:sz w:val="20"/>
          <w:szCs w:val="20"/>
        </w:rPr>
        <w:t xml:space="preserve"> y con asistencia técnica experta que contribuirá con todas las regiones, optimizando costos.</w:t>
      </w:r>
    </w:p>
    <w:p w14:paraId="563E451D" w14:textId="77777777" w:rsidR="00EA0A65" w:rsidRDefault="00EA0A65">
      <w:pPr>
        <w:shd w:val="clear" w:color="auto" w:fill="FFFFFF"/>
        <w:ind w:left="-284" w:right="-336"/>
        <w:jc w:val="both"/>
        <w:rPr>
          <w:rFonts w:ascii="Arial Narrow" w:eastAsia="Arial Narrow" w:hAnsi="Arial Narrow" w:cs="Arial Narrow"/>
          <w:color w:val="26282A"/>
          <w:sz w:val="20"/>
          <w:szCs w:val="20"/>
        </w:rPr>
      </w:pPr>
    </w:p>
    <w:p w14:paraId="2DEE4B78" w14:textId="529BC18A" w:rsidR="00EA0A65" w:rsidRPr="00F8316C" w:rsidRDefault="002959E9">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 xml:space="preserve">La implementación del Proyecto estará a cargo de Earth Innovation Institute, que en asociación con la organizaciones locales e internacionales como la Asociación Peruana para la Conservación de la </w:t>
      </w:r>
      <w:r w:rsidR="0037402A">
        <w:rPr>
          <w:rFonts w:ascii="Arial Narrow" w:eastAsia="Arial Narrow" w:hAnsi="Arial Narrow" w:cs="Arial Narrow"/>
          <w:color w:val="26282A"/>
          <w:sz w:val="20"/>
          <w:szCs w:val="20"/>
        </w:rPr>
        <w:t>N</w:t>
      </w:r>
      <w:r>
        <w:rPr>
          <w:rFonts w:ascii="Arial Narrow" w:eastAsia="Arial Narrow" w:hAnsi="Arial Narrow" w:cs="Arial Narrow"/>
          <w:color w:val="26282A"/>
          <w:sz w:val="20"/>
          <w:szCs w:val="20"/>
        </w:rPr>
        <w:t xml:space="preserve">aturaleza (APECO), Naturaleza y Cultura Internacional (NCI); Ausejo Consulting y el Centro Internacional de Investigación en Agroforestería (ICRAF) proveerán asistencia técnica para el desarrollo de los productos señalados. Adicionalmente, se podrá convocar al proceso a otras organizaciones con presencia local. Así, se combinará las mejores capacidades regionales con la experiencia y trayectoria de centros de investigación y organizaciones internacionales para generar productos </w:t>
      </w:r>
      <w:r w:rsidRPr="00F8316C">
        <w:rPr>
          <w:rFonts w:ascii="Arial Narrow" w:eastAsia="Arial Narrow" w:hAnsi="Arial Narrow" w:cs="Arial Narrow"/>
          <w:color w:val="26282A"/>
          <w:sz w:val="20"/>
          <w:szCs w:val="20"/>
        </w:rPr>
        <w:t>adaptados a la realidad y necesidades de la Región Amazonas y fortalecer a actores locales claves para los cambios transformacionales deseados.</w:t>
      </w:r>
    </w:p>
    <w:p w14:paraId="29D1FD95" w14:textId="77777777" w:rsidR="00EA0A65" w:rsidRPr="00F8316C" w:rsidRDefault="00EA0A65">
      <w:pPr>
        <w:shd w:val="clear" w:color="auto" w:fill="FFFFFF"/>
        <w:ind w:left="-567" w:right="-567" w:hanging="142"/>
        <w:jc w:val="both"/>
        <w:rPr>
          <w:rFonts w:ascii="Arial Narrow" w:eastAsia="Arial Narrow" w:hAnsi="Arial Narrow" w:cs="Arial Narrow"/>
          <w:color w:val="26282A"/>
          <w:sz w:val="20"/>
          <w:szCs w:val="20"/>
        </w:rPr>
      </w:pPr>
    </w:p>
    <w:p w14:paraId="77F9FF70" w14:textId="77777777" w:rsidR="00EA0A65" w:rsidRPr="00F8316C" w:rsidRDefault="002959E9" w:rsidP="00C7192F">
      <w:pPr>
        <w:widowControl w:val="0"/>
        <w:numPr>
          <w:ilvl w:val="1"/>
          <w:numId w:val="19"/>
        </w:numPr>
        <w:pBdr>
          <w:top w:val="nil"/>
          <w:left w:val="nil"/>
          <w:bottom w:val="nil"/>
          <w:right w:val="nil"/>
          <w:between w:val="nil"/>
        </w:pBdr>
        <w:tabs>
          <w:tab w:val="left" w:pos="284"/>
        </w:tabs>
        <w:ind w:left="-284" w:right="-567" w:firstLine="0"/>
        <w:contextualSpacing/>
        <w:rPr>
          <w:rFonts w:ascii="Arial Narrow" w:eastAsia="Arial Narrow" w:hAnsi="Arial Narrow" w:cs="Arial Narrow"/>
          <w:b/>
          <w:color w:val="000000"/>
          <w:sz w:val="20"/>
          <w:szCs w:val="20"/>
        </w:rPr>
      </w:pPr>
      <w:r w:rsidRPr="00F8316C">
        <w:rPr>
          <w:rFonts w:ascii="Arial Narrow" w:eastAsia="Arial Narrow" w:hAnsi="Arial Narrow" w:cs="Arial Narrow"/>
          <w:b/>
          <w:color w:val="000000"/>
          <w:sz w:val="20"/>
          <w:szCs w:val="20"/>
        </w:rPr>
        <w:t>AUTOEVALUACIÓN</w:t>
      </w:r>
    </w:p>
    <w:p w14:paraId="4CC96260" w14:textId="77777777" w:rsidR="00EA0A65" w:rsidRPr="00F8316C" w:rsidRDefault="00EA0A65" w:rsidP="00C7192F">
      <w:pPr>
        <w:pBdr>
          <w:top w:val="nil"/>
          <w:left w:val="nil"/>
          <w:bottom w:val="nil"/>
          <w:right w:val="nil"/>
          <w:between w:val="nil"/>
        </w:pBdr>
        <w:ind w:left="-284"/>
        <w:jc w:val="both"/>
        <w:rPr>
          <w:rFonts w:ascii="Arial Narrow" w:eastAsia="Arial Narrow" w:hAnsi="Arial Narrow" w:cs="Arial Narrow"/>
          <w:i/>
          <w:color w:val="000000"/>
          <w:sz w:val="20"/>
          <w:szCs w:val="20"/>
        </w:rPr>
      </w:pPr>
    </w:p>
    <w:p w14:paraId="64CFCBEC" w14:textId="77777777" w:rsidR="00EA0A65" w:rsidRPr="00F8316C" w:rsidRDefault="002959E9" w:rsidP="00C7192F">
      <w:pPr>
        <w:ind w:left="-284" w:right="-567"/>
        <w:jc w:val="both"/>
        <w:rPr>
          <w:rFonts w:ascii="Arial Narrow" w:eastAsia="Arial Narrow" w:hAnsi="Arial Narrow" w:cs="Arial Narrow"/>
          <w:b/>
          <w:sz w:val="20"/>
          <w:szCs w:val="20"/>
        </w:rPr>
      </w:pPr>
      <w:r w:rsidRPr="00F8316C">
        <w:rPr>
          <w:rFonts w:ascii="Arial Narrow" w:eastAsia="Arial Narrow" w:hAnsi="Arial Narrow" w:cs="Arial Narrow"/>
          <w:b/>
          <w:sz w:val="20"/>
          <w:szCs w:val="20"/>
        </w:rPr>
        <w:t>Estrategias jurisdiccionales existentes</w:t>
      </w:r>
    </w:p>
    <w:p w14:paraId="4FB725DC" w14:textId="77777777" w:rsidR="00C7192F" w:rsidRPr="00F8316C" w:rsidRDefault="00C7192F" w:rsidP="00C7192F">
      <w:pPr>
        <w:ind w:left="-284" w:right="-567"/>
        <w:jc w:val="both"/>
        <w:rPr>
          <w:rFonts w:ascii="Arial Narrow" w:eastAsia="Arial Narrow" w:hAnsi="Arial Narrow" w:cs="Arial Narrow"/>
          <w:b/>
          <w:sz w:val="20"/>
          <w:szCs w:val="20"/>
        </w:rPr>
      </w:pPr>
    </w:p>
    <w:p w14:paraId="403442E9" w14:textId="77777777" w:rsidR="00C7192F" w:rsidRPr="00C7192F" w:rsidRDefault="002959E9" w:rsidP="00C7192F">
      <w:pPr>
        <w:numPr>
          <w:ilvl w:val="0"/>
          <w:numId w:val="2"/>
        </w:numPr>
        <w:pBdr>
          <w:top w:val="nil"/>
          <w:left w:val="nil"/>
          <w:bottom w:val="nil"/>
          <w:right w:val="nil"/>
          <w:between w:val="nil"/>
        </w:pBdr>
        <w:ind w:left="-284" w:right="-336" w:firstLine="0"/>
        <w:contextualSpacing/>
        <w:jc w:val="both"/>
        <w:rPr>
          <w:rFonts w:ascii="Arial Narrow" w:eastAsia="Arial Narrow" w:hAnsi="Arial Narrow" w:cs="Arial Narrow"/>
          <w:color w:val="000000"/>
          <w:sz w:val="20"/>
          <w:szCs w:val="20"/>
        </w:rPr>
      </w:pPr>
      <w:r w:rsidRPr="00F8316C">
        <w:rPr>
          <w:rFonts w:ascii="Arial Narrow" w:eastAsia="Arial Narrow" w:hAnsi="Arial Narrow" w:cs="Arial Narrow"/>
          <w:i/>
          <w:color w:val="000000"/>
          <w:sz w:val="20"/>
          <w:szCs w:val="20"/>
        </w:rPr>
        <w:t>¿Existe alguna estrategia jurisdiccional</w:t>
      </w:r>
      <w:r>
        <w:rPr>
          <w:rFonts w:ascii="Arial Narrow" w:eastAsia="Arial Narrow" w:hAnsi="Arial Narrow" w:cs="Arial Narrow"/>
          <w:i/>
          <w:color w:val="000000"/>
          <w:sz w:val="20"/>
          <w:szCs w:val="20"/>
        </w:rPr>
        <w:t xml:space="preserve"> de REDD o desarrollo bajo en emisiones?</w:t>
      </w:r>
    </w:p>
    <w:p w14:paraId="4F30C2C3" w14:textId="77777777" w:rsidR="00C7192F" w:rsidRDefault="00C7192F" w:rsidP="00C7192F">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1CAC81D1" w14:textId="77777777" w:rsidR="00C7192F" w:rsidRDefault="002959E9" w:rsidP="00C7192F">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 xml:space="preserve"> </w:t>
      </w:r>
      <w:r>
        <w:rPr>
          <w:rFonts w:ascii="Arial Narrow" w:eastAsia="Arial Narrow" w:hAnsi="Arial Narrow" w:cs="Arial Narrow"/>
          <w:color w:val="000000"/>
          <w:sz w:val="20"/>
          <w:szCs w:val="20"/>
        </w:rPr>
        <w:t>No, pero durante los años 2016-2017 se actualizó la Estrategia Regional de Cambio Climático (ERCC) de Amazonas, la cual considera los componentes de vulnerabilidad ante el cambio climático, identifica las fuentes de emisión de gases de efecto invernadero y propone la gobernanza necesaria para poder realizar el planeamiento estratégico y su correspondiente Plan de Implementación (PI); proceso seguido en concordancia con la Estrategia Nacional ante el Cambio Climático (ENCC) y los lineamientos técnicos que promueve el Ministerio del Ambiente.</w:t>
      </w:r>
    </w:p>
    <w:p w14:paraId="231B7D59" w14:textId="77777777" w:rsidR="00C7192F" w:rsidRDefault="00C7192F" w:rsidP="00C7192F">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p>
    <w:p w14:paraId="12CF0EC7" w14:textId="072444E4" w:rsidR="00EA0A65" w:rsidRDefault="002959E9" w:rsidP="00C7192F">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Cabe precisar que esta estrategia define el marco general sobre mitigación y adaptación al cambio climático a nivel regional y es un importante marco de referencia pero no contiene las acciones necesarias, porque no es el objetivo del documento, para reducir la deforestación en la Región Amazonas. La ENBCC constituye el marco general para desarrollar la estrategia regional, con objetivos, acciones estratégicas y líneas prioritarias de implementación, que debe ser desarrollado en mayor profundidad de acuerdo las circunstancias de la región.  </w:t>
      </w:r>
      <w:r w:rsidR="00C7192F">
        <w:rPr>
          <w:rFonts w:ascii="Arial Narrow" w:eastAsia="Arial Narrow" w:hAnsi="Arial Narrow" w:cs="Arial Narrow"/>
          <w:color w:val="000000"/>
          <w:sz w:val="20"/>
          <w:szCs w:val="20"/>
        </w:rPr>
        <w:t xml:space="preserve">En el Anexo I puede encontrarse la relación de políticas regionales importantes y que serán utilizadas como referencia para la formulación de este proyecto. </w:t>
      </w:r>
    </w:p>
    <w:p w14:paraId="2C76AD4E"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71732E3F" w14:textId="77777777" w:rsidR="00C7192F" w:rsidRDefault="002959E9">
      <w:pPr>
        <w:numPr>
          <w:ilvl w:val="0"/>
          <w:numId w:val="2"/>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¿Cuál es la cobertura geográfica de la estrategia?.  </w:t>
      </w:r>
    </w:p>
    <w:p w14:paraId="32A50EA9" w14:textId="77777777" w:rsidR="00C7192F" w:rsidRDefault="00C7192F" w:rsidP="00C7192F">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5FE347F9" w14:textId="6AC214CE" w:rsidR="00EA0A65" w:rsidRDefault="002959E9" w:rsidP="00C7192F">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La Estrategia Regional de Cambio Climático es para el ámbito territorial de Amazonas. La estrategia jurisdiccional y el Plan de Inversión a elaborar también será jurisdiccional.</w:t>
      </w:r>
    </w:p>
    <w:p w14:paraId="2D4D15F7"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157384AB" w14:textId="77777777" w:rsidR="00C7192F" w:rsidRDefault="002959E9">
      <w:pPr>
        <w:numPr>
          <w:ilvl w:val="0"/>
          <w:numId w:val="2"/>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lastRenderedPageBreak/>
        <w:t>¿Qué causas de la deforestación (directas y subyacentes) se abordan? ¿Qué agentes de deforestación / cambio se asocian?.</w:t>
      </w:r>
    </w:p>
    <w:p w14:paraId="48B8BA04" w14:textId="77777777" w:rsidR="00C7192F" w:rsidRDefault="00C7192F" w:rsidP="00C7192F">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01507DE6" w14:textId="0BB5638C" w:rsidR="00EA0A65" w:rsidRDefault="002959E9" w:rsidP="00C7192F">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 xml:space="preserve"> Los documentos señalados en el Anexo I, que describen las políticas regionales sobre cambio climático y bosques, no cuentan con información sobre procesos de deforestación, ni mecanismos para hacerles frente. Existe un informe del Proyecto MAAP</w:t>
      </w:r>
      <w:r w:rsidR="0070155C">
        <w:rPr>
          <w:rStyle w:val="FootnoteReference"/>
          <w:rFonts w:ascii="Arial Narrow" w:eastAsia="Arial Narrow" w:hAnsi="Arial Narrow" w:cs="Arial Narrow"/>
          <w:color w:val="000000"/>
          <w:sz w:val="20"/>
          <w:szCs w:val="20"/>
        </w:rPr>
        <w:footnoteReference w:id="4"/>
      </w:r>
      <w:r w:rsidR="0070155C">
        <w:rPr>
          <w:rFonts w:ascii="Arial Narrow" w:eastAsia="Arial Narrow" w:hAnsi="Arial Narrow" w:cs="Arial Narrow"/>
          <w:color w:val="000000"/>
          <w:sz w:val="20"/>
          <w:szCs w:val="20"/>
        </w:rPr>
        <w:t xml:space="preserve">, el </w:t>
      </w:r>
      <w:r>
        <w:rPr>
          <w:rFonts w:ascii="Arial Narrow" w:eastAsia="Arial Narrow" w:hAnsi="Arial Narrow" w:cs="Arial Narrow"/>
          <w:color w:val="000000"/>
          <w:sz w:val="20"/>
          <w:szCs w:val="20"/>
        </w:rPr>
        <w:t xml:space="preserve"> </w:t>
      </w:r>
      <w:r w:rsidRPr="0070155C">
        <w:rPr>
          <w:rFonts w:ascii="Arial Narrow" w:eastAsia="Arial Narrow" w:hAnsi="Arial Narrow" w:cs="Arial Narrow"/>
          <w:i/>
          <w:color w:val="000000"/>
          <w:sz w:val="20"/>
          <w:szCs w:val="20"/>
        </w:rPr>
        <w:t>#78: Hotspots de deforestación en la Amazonía peruana, 2017</w:t>
      </w:r>
      <w:r w:rsidR="0070155C">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 xml:space="preserve">que reporta al distrito de Nieva (Condorcanqui) como un nuevo </w:t>
      </w:r>
      <w:r w:rsidR="0070155C">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hotspot</w:t>
      </w:r>
      <w:r w:rsidR="0070155C">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aislado de deforestación a lo largo de la carretera Bagua-Saramiriza sin embargo no se cuenta con un análisis detallado de las causas de la deforestación. Se estima la deforestación de 1,135 hectáreas en este </w:t>
      </w:r>
      <w:r w:rsidR="0070155C">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hotspot</w:t>
      </w:r>
      <w:r w:rsidR="0070155C">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Se muestra la deforestación que ocurrió en esta zona durante el 2017 y se viene desarrollando allí pequeña agricultura y ganadería, las cuales constituyen las causas directas observadas.</w:t>
      </w:r>
    </w:p>
    <w:p w14:paraId="07FA99E1"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71C50238" w14:textId="77777777" w:rsidR="00C7192F" w:rsidRDefault="002959E9">
      <w:pPr>
        <w:numPr>
          <w:ilvl w:val="0"/>
          <w:numId w:val="2"/>
        </w:numPr>
        <w:pBdr>
          <w:top w:val="nil"/>
          <w:left w:val="nil"/>
          <w:bottom w:val="nil"/>
          <w:right w:val="nil"/>
          <w:between w:val="nil"/>
        </w:pBdr>
        <w:ind w:left="-284" w:right="-336" w:hanging="283"/>
        <w:contextualSpacing/>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¿Cómo se compagina la estrategia con el marco normativo general, incluyendo las políticas sectoriales? ¿Existe inconsistencias</w:t>
      </w:r>
      <w:r>
        <w:rPr>
          <w:rFonts w:ascii="Arial Narrow" w:eastAsia="Arial Narrow" w:hAnsi="Arial Narrow" w:cs="Arial Narrow"/>
          <w:color w:val="000000"/>
          <w:sz w:val="20"/>
          <w:szCs w:val="20"/>
        </w:rPr>
        <w:t xml:space="preserve">?. </w:t>
      </w:r>
    </w:p>
    <w:p w14:paraId="5F1C1E51" w14:textId="77777777" w:rsidR="00C7192F" w:rsidRDefault="00C7192F" w:rsidP="00C7192F">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p>
    <w:p w14:paraId="33EDFE7E" w14:textId="2DF30539" w:rsidR="00EA0A65" w:rsidRDefault="002959E9" w:rsidP="00C7192F">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La propuesta de planeamiento estratégico de la ERCC Amazonas se elaboró a partir de las especificaciones técnicas de la Directiva Nª 001-2014-CEPLAN con énfasis en la articulación de la ENCC con la ERCC y de ésta última con el PDRC Amazonas. Los objetivos estratégicos de la ERCC se alinean con aquellos de la ENCC, las acciones estratégicas se estructuran por dimensiones de desarrollo y según los componentes de la gestión del cambio climático y en articulación con lo contemplado en el PDRC. El documento regional guarda alineamiento con los documentos nacionales, pero no resulta suficiente para hacer frente a la deforestación. </w:t>
      </w:r>
    </w:p>
    <w:p w14:paraId="4C48FE21"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54C3F59F" w14:textId="77777777" w:rsidR="00C7192F" w:rsidRDefault="002959E9">
      <w:pPr>
        <w:numPr>
          <w:ilvl w:val="0"/>
          <w:numId w:val="2"/>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¿Existe un vínculo entre la estrategia jurisdiccional y la Estrategia Nacional o los proceso de REDD+? No. ¿y con los procesos a nivel mundial? </w:t>
      </w:r>
    </w:p>
    <w:p w14:paraId="6F8A8879" w14:textId="77777777" w:rsidR="00C7192F" w:rsidRDefault="00C7192F" w:rsidP="00C7192F">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274A0BB9" w14:textId="0492036F" w:rsidR="00EA0A65" w:rsidRDefault="002959E9" w:rsidP="00C7192F">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 xml:space="preserve">No en la actualidad, al no existir la estrategia jurisdiccional. Pero se considera imprescindible esta articulación con la ENBCC así </w:t>
      </w:r>
      <w:r w:rsidR="00C7192F">
        <w:rPr>
          <w:rFonts w:ascii="Arial Narrow" w:eastAsia="Arial Narrow" w:hAnsi="Arial Narrow" w:cs="Arial Narrow"/>
          <w:color w:val="000000"/>
          <w:sz w:val="20"/>
          <w:szCs w:val="20"/>
        </w:rPr>
        <w:t xml:space="preserve">como con el Programa Nacional ONU-REDD Perú </w:t>
      </w:r>
      <w:r>
        <w:rPr>
          <w:rFonts w:ascii="Arial Narrow" w:eastAsia="Arial Narrow" w:hAnsi="Arial Narrow" w:cs="Arial Narrow"/>
          <w:color w:val="000000"/>
          <w:sz w:val="20"/>
          <w:szCs w:val="20"/>
        </w:rPr>
        <w:t>que contempla apoyar las hojas de ruta (estrategias/planes regionales).</w:t>
      </w:r>
      <w:r>
        <w:rPr>
          <w:rFonts w:ascii="Arial Narrow" w:eastAsia="Arial Narrow" w:hAnsi="Arial Narrow" w:cs="Arial Narrow"/>
          <w:i/>
          <w:color w:val="000000"/>
          <w:sz w:val="20"/>
          <w:szCs w:val="20"/>
        </w:rPr>
        <w:t xml:space="preserve"> </w:t>
      </w:r>
      <w:r w:rsidR="00C7192F">
        <w:rPr>
          <w:rFonts w:ascii="Arial Narrow" w:eastAsia="Arial Narrow" w:hAnsi="Arial Narrow" w:cs="Arial Narrow"/>
          <w:color w:val="000000"/>
          <w:sz w:val="20"/>
          <w:szCs w:val="20"/>
        </w:rPr>
        <w:t xml:space="preserve">Una propuesta detallada de la potencial sinergia con este proyecto, en caso priorice la Región Amazonas, puede ser encontrada en la tabla adjunta a este proyecto. </w:t>
      </w:r>
      <w:r>
        <w:rPr>
          <w:rFonts w:ascii="Arial Narrow" w:eastAsia="Arial Narrow" w:hAnsi="Arial Narrow" w:cs="Arial Narrow"/>
          <w:i/>
          <w:color w:val="000000"/>
          <w:sz w:val="20"/>
          <w:szCs w:val="20"/>
        </w:rPr>
        <w:t xml:space="preserve">  </w:t>
      </w:r>
    </w:p>
    <w:p w14:paraId="5EB07E30"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709A5F4F" w14:textId="77777777" w:rsidR="00C7192F" w:rsidRDefault="002959E9">
      <w:pPr>
        <w:numPr>
          <w:ilvl w:val="0"/>
          <w:numId w:val="2"/>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¿Existe un sistema para monitorear el avance de la estrategia jurisdiccional existente (datos forestales y no forestales)? Describir y proporcionar enlaces si es pertinente.  </w:t>
      </w:r>
    </w:p>
    <w:p w14:paraId="65D7DEA9" w14:textId="77777777" w:rsidR="00C7192F" w:rsidRDefault="00C7192F" w:rsidP="00C7192F">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33E5EA4E" w14:textId="2C3F434A" w:rsidR="00EA0A65" w:rsidRDefault="002959E9" w:rsidP="00C7192F">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No</w:t>
      </w:r>
      <w:r w:rsidR="006E048A">
        <w:rPr>
          <w:rFonts w:ascii="Arial Narrow" w:eastAsia="Arial Narrow" w:hAnsi="Arial Narrow" w:cs="Arial Narrow"/>
          <w:color w:val="000000"/>
          <w:sz w:val="20"/>
          <w:szCs w:val="20"/>
        </w:rPr>
        <w:t>, s</w:t>
      </w:r>
      <w:r>
        <w:rPr>
          <w:rFonts w:ascii="Arial Narrow" w:eastAsia="Arial Narrow" w:hAnsi="Arial Narrow" w:cs="Arial Narrow"/>
          <w:color w:val="000000"/>
          <w:sz w:val="20"/>
          <w:szCs w:val="20"/>
        </w:rPr>
        <w:t xml:space="preserve">in embargo </w:t>
      </w:r>
      <w:r w:rsidR="006E048A">
        <w:rPr>
          <w:rFonts w:ascii="Arial Narrow" w:eastAsia="Arial Narrow" w:hAnsi="Arial Narrow" w:cs="Arial Narrow"/>
          <w:color w:val="000000"/>
          <w:sz w:val="20"/>
          <w:szCs w:val="20"/>
        </w:rPr>
        <w:t xml:space="preserve">es posible monitorear la pérdida de la cobertura de bosques a escala regional a través de GEOBOSQUES. De igual modo se ha considerado utilizar la </w:t>
      </w:r>
      <w:r>
        <w:rPr>
          <w:rFonts w:ascii="Arial Narrow" w:eastAsia="Arial Narrow" w:hAnsi="Arial Narrow" w:cs="Arial Narrow"/>
          <w:color w:val="000000"/>
          <w:sz w:val="20"/>
          <w:szCs w:val="20"/>
        </w:rPr>
        <w:t>Plataforma Produc</w:t>
      </w:r>
      <w:r w:rsidR="0037402A">
        <w:rPr>
          <w:rFonts w:ascii="Arial Narrow" w:eastAsia="Arial Narrow" w:hAnsi="Arial Narrow" w:cs="Arial Narrow"/>
          <w:color w:val="000000"/>
          <w:sz w:val="20"/>
          <w:szCs w:val="20"/>
        </w:rPr>
        <w:t>ir</w:t>
      </w:r>
      <w:r>
        <w:rPr>
          <w:rFonts w:ascii="Arial Narrow" w:eastAsia="Arial Narrow" w:hAnsi="Arial Narrow" w:cs="Arial Narrow"/>
          <w:color w:val="000000"/>
          <w:sz w:val="20"/>
          <w:szCs w:val="20"/>
        </w:rPr>
        <w:t xml:space="preserve"> – Prote</w:t>
      </w:r>
      <w:r w:rsidR="0037402A">
        <w:rPr>
          <w:rFonts w:ascii="Arial Narrow" w:eastAsia="Arial Narrow" w:hAnsi="Arial Narrow" w:cs="Arial Narrow"/>
          <w:color w:val="000000"/>
          <w:sz w:val="20"/>
          <w:szCs w:val="20"/>
        </w:rPr>
        <w:t>ger</w:t>
      </w:r>
      <w:r w:rsidR="0037402A">
        <w:rPr>
          <w:rFonts w:ascii="Arial Narrow" w:eastAsia="Arial Narrow" w:hAnsi="Arial Narrow" w:cs="Arial Narrow"/>
          <w:color w:val="000000"/>
          <w:sz w:val="16"/>
          <w:szCs w:val="16"/>
          <w:vertAlign w:val="superscript"/>
        </w:rPr>
        <w:footnoteReference w:id="5"/>
      </w:r>
      <w:r w:rsidR="006E048A">
        <w:rPr>
          <w:rFonts w:ascii="Arial Narrow" w:eastAsia="Arial Narrow" w:hAnsi="Arial Narrow" w:cs="Arial Narrow"/>
          <w:color w:val="000000"/>
          <w:sz w:val="20"/>
          <w:szCs w:val="20"/>
        </w:rPr>
        <w:t xml:space="preserve">, impulsada por EII, para monitorear el avance en la implementación de la estrategia y el plan de inversión una vez elaborada. </w:t>
      </w:r>
    </w:p>
    <w:p w14:paraId="165A7746"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15A7B754" w14:textId="77777777" w:rsidR="006B0418" w:rsidRDefault="002959E9" w:rsidP="006B0418">
      <w:pPr>
        <w:numPr>
          <w:ilvl w:val="0"/>
          <w:numId w:val="2"/>
        </w:numPr>
        <w:pBdr>
          <w:top w:val="nil"/>
          <w:left w:val="nil"/>
          <w:bottom w:val="nil"/>
          <w:right w:val="nil"/>
          <w:between w:val="nil"/>
        </w:pBdr>
        <w:ind w:left="-284" w:right="-336" w:hanging="283"/>
        <w:contextualSpacing/>
        <w:jc w:val="both"/>
        <w:rPr>
          <w:rFonts w:ascii="Arial Narrow" w:eastAsia="Arial Narrow" w:hAnsi="Arial Narrow" w:cs="Arial Narrow"/>
          <w:color w:val="000000"/>
          <w:sz w:val="16"/>
          <w:szCs w:val="16"/>
        </w:rPr>
      </w:pPr>
      <w:r>
        <w:rPr>
          <w:rFonts w:ascii="Arial Narrow" w:eastAsia="Arial Narrow" w:hAnsi="Arial Narrow" w:cs="Arial Narrow"/>
          <w:i/>
          <w:color w:val="000000"/>
          <w:sz w:val="20"/>
          <w:szCs w:val="20"/>
        </w:rPr>
        <w:t>¿La estrategia se vincula a los sistemas nacionales de monitoreo forestal u otros procesos nacionales / mundiales relevantes?</w:t>
      </w:r>
    </w:p>
    <w:p w14:paraId="3EDE866F" w14:textId="77777777" w:rsidR="006B0418" w:rsidRPr="006B0418" w:rsidRDefault="006B0418" w:rsidP="006B0418">
      <w:pPr>
        <w:pBdr>
          <w:top w:val="nil"/>
          <w:left w:val="nil"/>
          <w:bottom w:val="nil"/>
          <w:right w:val="nil"/>
          <w:between w:val="nil"/>
        </w:pBdr>
        <w:ind w:left="-284" w:right="-336"/>
        <w:contextualSpacing/>
        <w:jc w:val="both"/>
        <w:rPr>
          <w:rFonts w:ascii="Arial Narrow" w:eastAsia="Arial Narrow" w:hAnsi="Arial Narrow" w:cs="Arial Narrow"/>
          <w:color w:val="000000"/>
          <w:sz w:val="16"/>
          <w:szCs w:val="16"/>
        </w:rPr>
      </w:pPr>
    </w:p>
    <w:p w14:paraId="279E701A" w14:textId="13407E70" w:rsidR="00EA0A65" w:rsidRPr="006B0418" w:rsidRDefault="006E048A" w:rsidP="006B0418">
      <w:pPr>
        <w:pBdr>
          <w:top w:val="nil"/>
          <w:left w:val="nil"/>
          <w:bottom w:val="nil"/>
          <w:right w:val="nil"/>
          <w:between w:val="nil"/>
        </w:pBdr>
        <w:ind w:left="-284" w:right="-336"/>
        <w:contextualSpacing/>
        <w:jc w:val="both"/>
        <w:rPr>
          <w:rFonts w:ascii="Arial Narrow" w:eastAsia="Arial Narrow" w:hAnsi="Arial Narrow" w:cs="Arial Narrow"/>
          <w:color w:val="000000"/>
          <w:sz w:val="16"/>
          <w:szCs w:val="16"/>
        </w:rPr>
      </w:pPr>
      <w:r>
        <w:rPr>
          <w:rFonts w:ascii="Arial Narrow" w:eastAsia="Arial Narrow" w:hAnsi="Arial Narrow" w:cs="Arial Narrow"/>
          <w:color w:val="000000"/>
          <w:sz w:val="20"/>
          <w:szCs w:val="20"/>
        </w:rPr>
        <w:t xml:space="preserve">Si, aun cuando todavía no existe una estrategia es posible utilizar el sistema nacional de monitoreo forestal, a través de plataforma de GEOBOSQUES para observar la implementación de la estrategia en lo que respecta a las metas de reducción de la deforestación. </w:t>
      </w:r>
      <w:r w:rsidR="002959E9" w:rsidRPr="006B0418">
        <w:rPr>
          <w:rFonts w:ascii="Arial Narrow" w:eastAsia="Arial Narrow" w:hAnsi="Arial Narrow" w:cs="Arial Narrow"/>
          <w:color w:val="000000"/>
          <w:sz w:val="20"/>
          <w:szCs w:val="20"/>
        </w:rPr>
        <w:t>Además se espera impulsar la adopción de la Plataforma de Producir- Proteger, para medir el avance en el desempeño territorial</w:t>
      </w:r>
      <w:r w:rsidR="002959E9">
        <w:rPr>
          <w:rFonts w:ascii="Arial Narrow" w:eastAsia="Arial Narrow" w:hAnsi="Arial Narrow" w:cs="Arial Narrow"/>
          <w:color w:val="000000"/>
          <w:sz w:val="18"/>
          <w:szCs w:val="18"/>
          <w:vertAlign w:val="superscript"/>
        </w:rPr>
        <w:footnoteReference w:id="6"/>
      </w:r>
    </w:p>
    <w:p w14:paraId="043F6DB7" w14:textId="77777777" w:rsidR="00EA0A65" w:rsidRDefault="00EA0A65">
      <w:pPr>
        <w:pBdr>
          <w:top w:val="nil"/>
          <w:left w:val="nil"/>
          <w:bottom w:val="nil"/>
          <w:right w:val="nil"/>
          <w:between w:val="nil"/>
        </w:pBdr>
        <w:ind w:left="720" w:right="-336" w:hanging="720"/>
        <w:jc w:val="both"/>
        <w:rPr>
          <w:rFonts w:ascii="Arial Narrow" w:eastAsia="Arial Narrow" w:hAnsi="Arial Narrow" w:cs="Arial Narrow"/>
          <w:color w:val="000000"/>
          <w:sz w:val="20"/>
          <w:szCs w:val="20"/>
        </w:rPr>
      </w:pPr>
    </w:p>
    <w:p w14:paraId="1060B7E9" w14:textId="77777777" w:rsidR="00EA0A65" w:rsidRDefault="002959E9">
      <w:pPr>
        <w:ind w:left="-567" w:right="-336" w:firstLine="283"/>
        <w:jc w:val="both"/>
        <w:rPr>
          <w:rFonts w:ascii="Arial Narrow" w:eastAsia="Arial Narrow" w:hAnsi="Arial Narrow" w:cs="Arial Narrow"/>
          <w:b/>
          <w:sz w:val="20"/>
          <w:szCs w:val="20"/>
        </w:rPr>
      </w:pPr>
      <w:r>
        <w:rPr>
          <w:rFonts w:ascii="Arial Narrow" w:eastAsia="Arial Narrow" w:hAnsi="Arial Narrow" w:cs="Arial Narrow"/>
          <w:b/>
          <w:sz w:val="20"/>
          <w:szCs w:val="20"/>
        </w:rPr>
        <w:t>Otros procesos de desarrollo bajo en emisiones</w:t>
      </w:r>
    </w:p>
    <w:p w14:paraId="05BAF988" w14:textId="77777777" w:rsidR="006E048A" w:rsidRDefault="006E048A">
      <w:pPr>
        <w:ind w:left="-567" w:right="-336" w:firstLine="283"/>
        <w:jc w:val="both"/>
        <w:rPr>
          <w:rFonts w:ascii="Arial Narrow" w:eastAsia="Arial Narrow" w:hAnsi="Arial Narrow" w:cs="Arial Narrow"/>
          <w:b/>
          <w:sz w:val="20"/>
          <w:szCs w:val="20"/>
        </w:rPr>
      </w:pPr>
    </w:p>
    <w:p w14:paraId="710388D5" w14:textId="77777777" w:rsidR="006E048A" w:rsidRPr="006E048A" w:rsidRDefault="002959E9">
      <w:pPr>
        <w:numPr>
          <w:ilvl w:val="0"/>
          <w:numId w:val="3"/>
        </w:numPr>
        <w:pBdr>
          <w:top w:val="nil"/>
          <w:left w:val="nil"/>
          <w:bottom w:val="nil"/>
          <w:right w:val="nil"/>
          <w:between w:val="nil"/>
        </w:pBdr>
        <w:ind w:left="-284" w:right="-336" w:hanging="283"/>
        <w:contextualSpacing/>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¿Existe algún compromiso y/o iniciativa de cadenas de suministros activas actualmente en la jurisdicción?</w:t>
      </w:r>
    </w:p>
    <w:p w14:paraId="702BDED9" w14:textId="77777777" w:rsidR="006E048A" w:rsidRDefault="006E048A" w:rsidP="006E048A">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697C227C" w14:textId="2FA53696" w:rsidR="00EA0A65" w:rsidRDefault="002959E9" w:rsidP="006E048A">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 xml:space="preserve"> </w:t>
      </w:r>
      <w:r>
        <w:rPr>
          <w:rFonts w:ascii="Arial Narrow" w:eastAsia="Arial Narrow" w:hAnsi="Arial Narrow" w:cs="Arial Narrow"/>
          <w:color w:val="000000"/>
          <w:sz w:val="20"/>
          <w:szCs w:val="20"/>
        </w:rPr>
        <w:t xml:space="preserve">No.  </w:t>
      </w:r>
    </w:p>
    <w:p w14:paraId="5A43DBC4" w14:textId="77777777" w:rsidR="00EA0A65" w:rsidRDefault="00EA0A65">
      <w:pPr>
        <w:ind w:right="-336"/>
        <w:jc w:val="both"/>
        <w:rPr>
          <w:rFonts w:ascii="Arial Narrow" w:eastAsia="Arial Narrow" w:hAnsi="Arial Narrow" w:cs="Arial Narrow"/>
          <w:sz w:val="20"/>
          <w:szCs w:val="20"/>
        </w:rPr>
      </w:pPr>
    </w:p>
    <w:p w14:paraId="5E111A2D" w14:textId="77777777" w:rsidR="006E048A" w:rsidRPr="006E048A" w:rsidRDefault="002959E9">
      <w:pPr>
        <w:numPr>
          <w:ilvl w:val="0"/>
          <w:numId w:val="3"/>
        </w:numPr>
        <w:pBdr>
          <w:top w:val="nil"/>
          <w:left w:val="nil"/>
          <w:bottom w:val="nil"/>
          <w:right w:val="nil"/>
          <w:between w:val="nil"/>
        </w:pBdr>
        <w:ind w:left="-284" w:right="-336" w:hanging="283"/>
        <w:contextualSpacing/>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 xml:space="preserve">En caso afirmativo, ¿cómo se relaciona la estrategia jurisdiccional existente con las iniciativas de cadenas de suministro sostenibles (si las hay)?. </w:t>
      </w:r>
    </w:p>
    <w:p w14:paraId="3AEEAA48" w14:textId="77777777" w:rsidR="006E048A" w:rsidRDefault="006E048A" w:rsidP="006E048A">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7852DD8B" w14:textId="51260730" w:rsidR="00EA0A65" w:rsidRDefault="002959E9" w:rsidP="006E048A">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 se articulan dichas iniciativas, al no existir una estrategia jurisdiccional.</w:t>
      </w:r>
    </w:p>
    <w:p w14:paraId="1E0A1A8E" w14:textId="77777777" w:rsidR="00EA0A65" w:rsidRDefault="00EA0A65">
      <w:pPr>
        <w:pBdr>
          <w:top w:val="nil"/>
          <w:left w:val="nil"/>
          <w:bottom w:val="nil"/>
          <w:right w:val="nil"/>
          <w:between w:val="nil"/>
        </w:pBdr>
        <w:ind w:left="426" w:right="-336" w:hanging="720"/>
        <w:jc w:val="both"/>
        <w:rPr>
          <w:rFonts w:ascii="Arial Narrow" w:eastAsia="Arial Narrow" w:hAnsi="Arial Narrow" w:cs="Arial Narrow"/>
          <w:color w:val="000000"/>
          <w:sz w:val="20"/>
          <w:szCs w:val="20"/>
        </w:rPr>
      </w:pPr>
    </w:p>
    <w:p w14:paraId="710770EF" w14:textId="77777777" w:rsidR="006E048A" w:rsidRDefault="002959E9">
      <w:pPr>
        <w:numPr>
          <w:ilvl w:val="0"/>
          <w:numId w:val="3"/>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¿Existen compromisos y/o iniciativas con los pueblos indígenas y/o comunidades locales (PI/CL)? </w:t>
      </w:r>
    </w:p>
    <w:p w14:paraId="035A4921" w14:textId="77777777" w:rsidR="006E048A" w:rsidRDefault="006E048A" w:rsidP="006E048A">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04A97336" w14:textId="4584666D" w:rsidR="00EA0A65" w:rsidRDefault="002959E9" w:rsidP="006E048A">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La Región Amazonas cuenta con una plataforma regional de manejo forestal comunitario y existen iniciativas indígenas, como el de la Coordinadora Regional de los Pueblos Indígenas de la Región San Lorenzo (CORPI SL), organización regional de la nacional AIDESEP</w:t>
      </w:r>
      <w:r>
        <w:rPr>
          <w:rFonts w:ascii="Arial Narrow" w:eastAsia="Arial Narrow" w:hAnsi="Arial Narrow" w:cs="Arial Narrow"/>
          <w:color w:val="000000"/>
          <w:sz w:val="16"/>
          <w:szCs w:val="16"/>
          <w:vertAlign w:val="superscript"/>
        </w:rPr>
        <w:footnoteReference w:id="7"/>
      </w:r>
      <w:r>
        <w:rPr>
          <w:rFonts w:ascii="Arial Narrow" w:eastAsia="Arial Narrow" w:hAnsi="Arial Narrow" w:cs="Arial Narrow"/>
          <w:color w:val="000000"/>
          <w:sz w:val="20"/>
          <w:szCs w:val="20"/>
        </w:rPr>
        <w:t>, cuyas propuestas incluyen iniciativas relacionadas a la gestión del territorio, los bosques y recursos en general.</w:t>
      </w:r>
    </w:p>
    <w:p w14:paraId="73B585E0" w14:textId="77777777" w:rsidR="00EA0A65" w:rsidRDefault="00EA0A65">
      <w:pPr>
        <w:pBdr>
          <w:top w:val="nil"/>
          <w:left w:val="nil"/>
          <w:bottom w:val="nil"/>
          <w:right w:val="nil"/>
          <w:between w:val="nil"/>
        </w:pBdr>
        <w:ind w:left="426" w:right="-336" w:hanging="720"/>
        <w:jc w:val="both"/>
        <w:rPr>
          <w:rFonts w:ascii="Arial Narrow" w:eastAsia="Arial Narrow" w:hAnsi="Arial Narrow" w:cs="Arial Narrow"/>
          <w:color w:val="000000"/>
          <w:sz w:val="20"/>
          <w:szCs w:val="20"/>
        </w:rPr>
      </w:pPr>
    </w:p>
    <w:p w14:paraId="2ED7A751" w14:textId="77777777" w:rsidR="00E02C53" w:rsidRDefault="002959E9">
      <w:pPr>
        <w:numPr>
          <w:ilvl w:val="0"/>
          <w:numId w:val="3"/>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lastRenderedPageBreak/>
        <w:t xml:space="preserve">En caso afirmativo ¿cómo se relaciona con la estrategia jurisdiccional existe con las iniciativas de PI o CL (si las hay)?  </w:t>
      </w:r>
    </w:p>
    <w:p w14:paraId="3B9E952F" w14:textId="77777777" w:rsidR="00E02C53" w:rsidRDefault="00E02C53" w:rsidP="00E02C53">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15DDE979" w14:textId="23C443C3" w:rsidR="00EA0A65" w:rsidRDefault="002959E9" w:rsidP="00E02C53">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 </w:t>
      </w:r>
      <w:r>
        <w:rPr>
          <w:rFonts w:ascii="Arial Narrow" w:eastAsia="Arial Narrow" w:hAnsi="Arial Narrow" w:cs="Arial Narrow"/>
          <w:color w:val="000000"/>
          <w:sz w:val="20"/>
          <w:szCs w:val="20"/>
        </w:rPr>
        <w:t>No se cuenta con estrategia jurisdiccional, por lo que</w:t>
      </w:r>
      <w:r w:rsidR="00E02C53">
        <w:rPr>
          <w:rFonts w:ascii="Arial Narrow" w:eastAsia="Arial Narrow" w:hAnsi="Arial Narrow" w:cs="Arial Narrow"/>
          <w:color w:val="000000"/>
          <w:sz w:val="20"/>
          <w:szCs w:val="20"/>
        </w:rPr>
        <w:t xml:space="preserve"> la experiencia señalada no ha sido incorporada. </w:t>
      </w:r>
    </w:p>
    <w:p w14:paraId="7D528D9C"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3B686170" w14:textId="77777777" w:rsidR="00E02C53" w:rsidRDefault="002959E9">
      <w:pPr>
        <w:numPr>
          <w:ilvl w:val="0"/>
          <w:numId w:val="3"/>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¿Existen otros proyectos o actividades importantes y relevantes para REDD+ /LED en la jurisdicción? </w:t>
      </w:r>
    </w:p>
    <w:p w14:paraId="6D657C84" w14:textId="77777777" w:rsidR="00E02C53" w:rsidRDefault="00E02C53" w:rsidP="00E02C53">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630FA4E3" w14:textId="2E6ED81C" w:rsidR="00EA0A65" w:rsidRDefault="002959E9" w:rsidP="00E02C53">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No.</w:t>
      </w:r>
      <w:r>
        <w:rPr>
          <w:rFonts w:ascii="Arial Narrow" w:eastAsia="Arial Narrow" w:hAnsi="Arial Narrow" w:cs="Arial Narrow"/>
          <w:i/>
          <w:color w:val="000000"/>
          <w:sz w:val="20"/>
          <w:szCs w:val="20"/>
        </w:rPr>
        <w:t xml:space="preserve"> </w:t>
      </w:r>
    </w:p>
    <w:p w14:paraId="6A35852F" w14:textId="77777777" w:rsidR="00EA0A65" w:rsidRDefault="00EA0A65">
      <w:pPr>
        <w:pBdr>
          <w:top w:val="nil"/>
          <w:left w:val="nil"/>
          <w:bottom w:val="nil"/>
          <w:right w:val="nil"/>
          <w:between w:val="nil"/>
        </w:pBdr>
        <w:ind w:left="426" w:right="-336" w:hanging="720"/>
        <w:jc w:val="both"/>
        <w:rPr>
          <w:rFonts w:ascii="Arial Narrow" w:eastAsia="Arial Narrow" w:hAnsi="Arial Narrow" w:cs="Arial Narrow"/>
          <w:color w:val="000000"/>
          <w:sz w:val="20"/>
          <w:szCs w:val="20"/>
        </w:rPr>
      </w:pPr>
    </w:p>
    <w:p w14:paraId="22434B6B" w14:textId="77777777" w:rsidR="00EA0A65" w:rsidRDefault="002959E9">
      <w:pPr>
        <w:ind w:left="-567" w:right="-336" w:firstLine="283"/>
        <w:jc w:val="both"/>
        <w:rPr>
          <w:rFonts w:ascii="Arial Narrow" w:eastAsia="Arial Narrow" w:hAnsi="Arial Narrow" w:cs="Arial Narrow"/>
          <w:b/>
          <w:sz w:val="20"/>
          <w:szCs w:val="20"/>
        </w:rPr>
      </w:pPr>
      <w:r>
        <w:rPr>
          <w:rFonts w:ascii="Arial Narrow" w:eastAsia="Arial Narrow" w:hAnsi="Arial Narrow" w:cs="Arial Narrow"/>
          <w:b/>
          <w:sz w:val="20"/>
          <w:szCs w:val="20"/>
        </w:rPr>
        <w:t>Financiación e inversión</w:t>
      </w:r>
    </w:p>
    <w:p w14:paraId="6966C5B1" w14:textId="77777777" w:rsidR="00E02C53" w:rsidRDefault="00E02C53">
      <w:pPr>
        <w:ind w:left="-567" w:right="-336" w:firstLine="283"/>
        <w:jc w:val="both"/>
        <w:rPr>
          <w:rFonts w:ascii="Arial Narrow" w:eastAsia="Arial Narrow" w:hAnsi="Arial Narrow" w:cs="Arial Narrow"/>
          <w:b/>
          <w:sz w:val="20"/>
          <w:szCs w:val="20"/>
        </w:rPr>
      </w:pPr>
    </w:p>
    <w:p w14:paraId="26BB0D51" w14:textId="77777777" w:rsidR="00E02C53" w:rsidRDefault="002959E9">
      <w:pPr>
        <w:numPr>
          <w:ilvl w:val="0"/>
          <w:numId w:val="5"/>
        </w:numPr>
        <w:pBdr>
          <w:top w:val="nil"/>
          <w:left w:val="nil"/>
          <w:bottom w:val="nil"/>
          <w:right w:val="nil"/>
          <w:between w:val="nil"/>
        </w:pBdr>
        <w:ind w:left="-284" w:right="-336" w:hanging="283"/>
        <w:contextualSpacing/>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¿La estrategia jurisdiccional se apoya en un plan de inversión/implementación claro y detallado?.</w:t>
      </w:r>
      <w:r>
        <w:rPr>
          <w:rFonts w:ascii="Arial Narrow" w:eastAsia="Arial Narrow" w:hAnsi="Arial Narrow" w:cs="Arial Narrow"/>
          <w:color w:val="000000"/>
          <w:sz w:val="20"/>
          <w:szCs w:val="20"/>
        </w:rPr>
        <w:t xml:space="preserve"> </w:t>
      </w:r>
    </w:p>
    <w:p w14:paraId="57EAFD07" w14:textId="77777777" w:rsidR="00E02C53" w:rsidRDefault="00E02C53" w:rsidP="00E02C53">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p>
    <w:p w14:paraId="0AB11E91" w14:textId="70FA931F" w:rsidR="00EA0A65" w:rsidRDefault="002959E9" w:rsidP="00E02C53">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w:t>
      </w:r>
    </w:p>
    <w:p w14:paraId="47EE5A38"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color w:val="000000"/>
          <w:sz w:val="20"/>
          <w:szCs w:val="20"/>
        </w:rPr>
      </w:pPr>
    </w:p>
    <w:p w14:paraId="6CF9DD9E" w14:textId="77777777" w:rsidR="00E02C53" w:rsidRDefault="002959E9">
      <w:pPr>
        <w:numPr>
          <w:ilvl w:val="0"/>
          <w:numId w:val="5"/>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En caso afirmativo ¿Cuál es el alcance del plan de inversión? (por ejemplo, alcance geográfico, alcance sectorial). </w:t>
      </w:r>
    </w:p>
    <w:p w14:paraId="5074520B" w14:textId="77777777" w:rsidR="00E02C53" w:rsidRDefault="00E02C53" w:rsidP="00E02C53">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1E08035E" w14:textId="48B7DBB4" w:rsidR="00EA0A65" w:rsidRDefault="002959E9" w:rsidP="00E02C53">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No existe una estrategia jurisdiccional ni plan de inversión</w:t>
      </w:r>
      <w:r>
        <w:rPr>
          <w:rFonts w:ascii="Arial Narrow" w:eastAsia="Arial Narrow" w:hAnsi="Arial Narrow" w:cs="Arial Narrow"/>
          <w:i/>
          <w:color w:val="000000"/>
          <w:sz w:val="20"/>
          <w:szCs w:val="20"/>
        </w:rPr>
        <w:t>.</w:t>
      </w:r>
    </w:p>
    <w:p w14:paraId="3475EBA4"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197C5F0B" w14:textId="7A0FC5D5" w:rsidR="00E02C53" w:rsidRDefault="002959E9">
      <w:pPr>
        <w:numPr>
          <w:ilvl w:val="0"/>
          <w:numId w:val="5"/>
        </w:num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bookmarkStart w:id="3" w:name="_1fob9te" w:colFirst="0" w:colLast="0"/>
      <w:bookmarkEnd w:id="3"/>
      <w:r>
        <w:rPr>
          <w:rFonts w:ascii="Arial Narrow" w:eastAsia="Arial Narrow" w:hAnsi="Arial Narrow" w:cs="Arial Narrow"/>
          <w:i/>
          <w:color w:val="000000"/>
          <w:sz w:val="20"/>
          <w:szCs w:val="20"/>
        </w:rPr>
        <w:t>¿Se ha identificado la variedad de corrientes financieras existentes que podrían ser pertinentes para la implementación de la estrategia / el plan REDD+ y maneras de involucrarlas (por los menos los flujos financieros públicos, locales e internacionales; y los privados potenciales)?</w:t>
      </w:r>
    </w:p>
    <w:p w14:paraId="476E92F4" w14:textId="77777777" w:rsidR="00E02C53" w:rsidRDefault="00E02C53" w:rsidP="00E02C53">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2ADDB8CA" w14:textId="5356E3D0" w:rsidR="00EA0A65" w:rsidRDefault="002959E9" w:rsidP="00E02C53">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 xml:space="preserve">Si, preliminarmente. PROAMAZONAS es una unidad ejecutora con presupuesto propio, que forma parte del GRA, en el marco de un Convenio con la Agencia de Cooperación Internacional de Japón.  Su objetivo es establecer las bases del desarrollo rural de la Región, contribuyendo así al desarrollo económico y social rural equitativo e inclusivo y la mejora del nivel de vida de la población, puede articularse a la Estrategia. Los proyectos actuales de EII “Implementando Estrategias para una transición a escala regional hacia un desarrollo rural bajo en emisiones en Indonesia, Perú, México, Colombia y Kenia” (IKI) y “Construyendo puentes entre las políticas locales, REDD+ y las iniciativas de cadenas de suministros sostenibles: Fase 3 de la Iniciativa Bosques, Fincas y Finanzas” (NICFI) contribuyen con el diseño y dotación de instrumentos complementarios. </w:t>
      </w:r>
    </w:p>
    <w:p w14:paraId="1706D86E"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446CF3E1" w14:textId="77777777" w:rsidR="00AC5D6C" w:rsidRDefault="002959E9">
      <w:pPr>
        <w:numPr>
          <w:ilvl w:val="0"/>
          <w:numId w:val="5"/>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¿Cuánto del presupuesto se está</w:t>
      </w:r>
      <w:r w:rsidR="00AC5D6C">
        <w:rPr>
          <w:rFonts w:ascii="Arial Narrow" w:eastAsia="Arial Narrow" w:hAnsi="Arial Narrow" w:cs="Arial Narrow"/>
          <w:i/>
          <w:color w:val="000000"/>
          <w:sz w:val="20"/>
          <w:szCs w:val="20"/>
        </w:rPr>
        <w:t xml:space="preserve"> financiado y quien lo realiza?</w:t>
      </w:r>
    </w:p>
    <w:p w14:paraId="58A56D09" w14:textId="77777777" w:rsidR="00AC5D6C" w:rsidRDefault="00AC5D6C" w:rsidP="00AC5D6C">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7CA9AC87" w14:textId="22D4CC11" w:rsidR="00EA0A65" w:rsidRDefault="002959E9" w:rsidP="00AC5D6C">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 </w:t>
      </w:r>
      <w:r>
        <w:rPr>
          <w:rFonts w:ascii="Arial Narrow" w:eastAsia="Arial Narrow" w:hAnsi="Arial Narrow" w:cs="Arial Narrow"/>
          <w:color w:val="000000"/>
          <w:sz w:val="20"/>
          <w:szCs w:val="20"/>
        </w:rPr>
        <w:t>No se tiene estrategia y tampoco el presupuesto definido, será parte de los productos del proyecto.</w:t>
      </w:r>
    </w:p>
    <w:p w14:paraId="144CBC91"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5D54C956" w14:textId="77777777" w:rsidR="00AC5D6C" w:rsidRPr="00AC5D6C" w:rsidRDefault="002959E9">
      <w:pPr>
        <w:numPr>
          <w:ilvl w:val="0"/>
          <w:numId w:val="5"/>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¿Existen oportunidades para alinear financiación existe con los objetivos de REDD+ jurisdiccionales/subnacionales?</w:t>
      </w:r>
      <w:r>
        <w:rPr>
          <w:rFonts w:ascii="Arial Narrow" w:eastAsia="Arial Narrow" w:hAnsi="Arial Narrow" w:cs="Arial Narrow"/>
          <w:color w:val="000000"/>
          <w:sz w:val="20"/>
          <w:szCs w:val="20"/>
        </w:rPr>
        <w:t xml:space="preserve"> </w:t>
      </w:r>
      <w:r>
        <w:rPr>
          <w:rFonts w:ascii="Arial Narrow" w:eastAsia="Arial Narrow" w:hAnsi="Arial Narrow" w:cs="Arial Narrow"/>
          <w:i/>
          <w:color w:val="000000"/>
          <w:sz w:val="20"/>
          <w:szCs w:val="20"/>
        </w:rPr>
        <w:t>En caso afirmativo describirlas</w:t>
      </w:r>
      <w:r>
        <w:rPr>
          <w:rFonts w:ascii="Arial Narrow" w:eastAsia="Arial Narrow" w:hAnsi="Arial Narrow" w:cs="Arial Narrow"/>
          <w:color w:val="000000"/>
          <w:sz w:val="20"/>
          <w:szCs w:val="20"/>
        </w:rPr>
        <w:t xml:space="preserve">. </w:t>
      </w:r>
    </w:p>
    <w:p w14:paraId="1CD02CE8" w14:textId="77777777" w:rsidR="00AC5D6C" w:rsidRDefault="00AC5D6C" w:rsidP="00AC5D6C">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5EEAD486" w14:textId="3F83B102" w:rsidR="00EA0A65" w:rsidRDefault="002959E9" w:rsidP="00AC5D6C">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Esta tarea no ha sido abordada en la región, pero será parte de los productos</w:t>
      </w:r>
      <w:r w:rsidR="00AC5D6C">
        <w:rPr>
          <w:rFonts w:ascii="Arial Narrow" w:eastAsia="Arial Narrow" w:hAnsi="Arial Narrow" w:cs="Arial Narrow"/>
          <w:color w:val="000000"/>
          <w:sz w:val="20"/>
          <w:szCs w:val="20"/>
        </w:rPr>
        <w:t xml:space="preserve"> de este Proyecto</w:t>
      </w:r>
      <w:r>
        <w:rPr>
          <w:rFonts w:ascii="Arial Narrow" w:eastAsia="Arial Narrow" w:hAnsi="Arial Narrow" w:cs="Arial Narrow"/>
          <w:color w:val="000000"/>
          <w:sz w:val="20"/>
          <w:szCs w:val="20"/>
        </w:rPr>
        <w:t>.</w:t>
      </w:r>
    </w:p>
    <w:p w14:paraId="71E80E50" w14:textId="77777777" w:rsidR="00EA0A65" w:rsidRDefault="00EA0A65">
      <w:pPr>
        <w:pBdr>
          <w:top w:val="nil"/>
          <w:left w:val="nil"/>
          <w:bottom w:val="nil"/>
          <w:right w:val="nil"/>
          <w:between w:val="nil"/>
        </w:pBdr>
        <w:ind w:left="720" w:right="-336" w:hanging="720"/>
        <w:jc w:val="both"/>
        <w:rPr>
          <w:rFonts w:ascii="Arial Narrow" w:eastAsia="Arial Narrow" w:hAnsi="Arial Narrow" w:cs="Arial Narrow"/>
          <w:color w:val="000000"/>
          <w:sz w:val="20"/>
          <w:szCs w:val="20"/>
        </w:rPr>
      </w:pPr>
    </w:p>
    <w:p w14:paraId="6E7A1A01" w14:textId="77777777" w:rsidR="00EA0A65" w:rsidRDefault="002959E9" w:rsidP="00AC5D6C">
      <w:pPr>
        <w:ind w:left="-567" w:right="-336"/>
        <w:jc w:val="both"/>
        <w:rPr>
          <w:rFonts w:ascii="Arial Narrow" w:eastAsia="Arial Narrow" w:hAnsi="Arial Narrow" w:cs="Arial Narrow"/>
          <w:b/>
          <w:sz w:val="20"/>
          <w:szCs w:val="20"/>
        </w:rPr>
      </w:pPr>
      <w:r>
        <w:rPr>
          <w:rFonts w:ascii="Arial Narrow" w:eastAsia="Arial Narrow" w:hAnsi="Arial Narrow" w:cs="Arial Narrow"/>
          <w:b/>
          <w:sz w:val="20"/>
          <w:szCs w:val="20"/>
        </w:rPr>
        <w:t>Aprendizajes de estrategias o planes existentes</w:t>
      </w:r>
    </w:p>
    <w:p w14:paraId="5D449DCF" w14:textId="77777777" w:rsidR="00EA0A65" w:rsidRDefault="00EA0A65">
      <w:pPr>
        <w:ind w:left="-567" w:right="-336"/>
        <w:jc w:val="both"/>
        <w:rPr>
          <w:rFonts w:ascii="Arial Narrow" w:eastAsia="Arial Narrow" w:hAnsi="Arial Narrow" w:cs="Arial Narrow"/>
          <w:b/>
          <w:sz w:val="20"/>
          <w:szCs w:val="20"/>
        </w:rPr>
      </w:pPr>
    </w:p>
    <w:p w14:paraId="3A2A657B" w14:textId="77777777" w:rsidR="00AC5D6C" w:rsidRDefault="002959E9">
      <w:pPr>
        <w:numPr>
          <w:ilvl w:val="0"/>
          <w:numId w:val="7"/>
        </w:numPr>
        <w:pBdr>
          <w:top w:val="nil"/>
          <w:left w:val="nil"/>
          <w:bottom w:val="nil"/>
          <w:right w:val="nil"/>
          <w:between w:val="nil"/>
        </w:pBdr>
        <w:ind w:left="-284" w:right="-336" w:hanging="283"/>
        <w:contextualSpacing/>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¿Qué se ha logrado como resultado de una estrategia jurisdiccional y ha llevado esto a los efectos esperados?.</w:t>
      </w:r>
      <w:r>
        <w:rPr>
          <w:rFonts w:ascii="Arial Narrow" w:eastAsia="Arial Narrow" w:hAnsi="Arial Narrow" w:cs="Arial Narrow"/>
          <w:color w:val="000000"/>
          <w:sz w:val="20"/>
          <w:szCs w:val="20"/>
        </w:rPr>
        <w:t xml:space="preserve"> </w:t>
      </w:r>
    </w:p>
    <w:p w14:paraId="6AF49346" w14:textId="77777777" w:rsidR="00AC5D6C" w:rsidRDefault="00AC5D6C" w:rsidP="00AC5D6C">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p>
    <w:p w14:paraId="2C66FB5F" w14:textId="0783EBAA" w:rsidR="00EA0A65" w:rsidRDefault="002959E9" w:rsidP="00AC5D6C">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No se cuenta con Estrategia Jurisdiccional, no se puede responder sobre efectos. La ausencia si se deja sentir.</w:t>
      </w:r>
    </w:p>
    <w:p w14:paraId="05C637F1" w14:textId="77777777" w:rsidR="00EA0A65" w:rsidRDefault="00EA0A65">
      <w:pPr>
        <w:pBdr>
          <w:top w:val="nil"/>
          <w:left w:val="nil"/>
          <w:bottom w:val="nil"/>
          <w:right w:val="nil"/>
          <w:between w:val="nil"/>
        </w:pBdr>
        <w:ind w:left="426" w:right="-336" w:hanging="720"/>
        <w:jc w:val="both"/>
        <w:rPr>
          <w:rFonts w:ascii="Arial Narrow" w:eastAsia="Arial Narrow" w:hAnsi="Arial Narrow" w:cs="Arial Narrow"/>
          <w:color w:val="000000"/>
          <w:sz w:val="20"/>
          <w:szCs w:val="20"/>
        </w:rPr>
      </w:pPr>
    </w:p>
    <w:p w14:paraId="43C2DF50" w14:textId="77777777" w:rsidR="00AC5D6C" w:rsidRDefault="002959E9">
      <w:pPr>
        <w:numPr>
          <w:ilvl w:val="0"/>
          <w:numId w:val="7"/>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¿Qué se necesita para lograr el impacto deseado?.</w:t>
      </w:r>
    </w:p>
    <w:p w14:paraId="15FC4BD6" w14:textId="77777777" w:rsidR="00AC5D6C" w:rsidRDefault="00AC5D6C" w:rsidP="00AC5D6C">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205CD685" w14:textId="157A4CE9" w:rsidR="00EA0A65" w:rsidRDefault="002959E9" w:rsidP="00AC5D6C">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La prioridad es contar con una Estrategia Jurisdiccional y el plan de financiamiento para su implementación, desarrollados participativamente, y el marco de gobernanza adecuado</w:t>
      </w:r>
      <w:r>
        <w:rPr>
          <w:rFonts w:ascii="Arial Narrow" w:eastAsia="Arial Narrow" w:hAnsi="Arial Narrow" w:cs="Arial Narrow"/>
          <w:i/>
          <w:color w:val="000000"/>
          <w:sz w:val="20"/>
          <w:szCs w:val="20"/>
        </w:rPr>
        <w:t>.</w:t>
      </w:r>
    </w:p>
    <w:p w14:paraId="249E681C"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6C0CD20F" w14:textId="4CD5D841" w:rsidR="00EA0A65" w:rsidRPr="00AC5D6C" w:rsidRDefault="002959E9" w:rsidP="00395DA6">
      <w:pPr>
        <w:numPr>
          <w:ilvl w:val="0"/>
          <w:numId w:val="7"/>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sidRPr="00AC5D6C">
        <w:rPr>
          <w:rFonts w:ascii="Arial Narrow" w:eastAsia="Arial Narrow" w:hAnsi="Arial Narrow" w:cs="Arial Narrow"/>
          <w:i/>
          <w:color w:val="000000"/>
          <w:sz w:val="20"/>
          <w:szCs w:val="20"/>
        </w:rPr>
        <w:t>¿Ha habido resultados inesperados?.</w:t>
      </w:r>
      <w:r w:rsidR="00AC5D6C" w:rsidRPr="00AC5D6C">
        <w:rPr>
          <w:rFonts w:ascii="Arial Narrow" w:eastAsia="Arial Narrow" w:hAnsi="Arial Narrow" w:cs="Arial Narrow"/>
          <w:i/>
          <w:color w:val="000000"/>
          <w:sz w:val="20"/>
          <w:szCs w:val="20"/>
        </w:rPr>
        <w:t xml:space="preserve">  </w:t>
      </w:r>
      <w:r w:rsidRPr="00AC5D6C">
        <w:rPr>
          <w:rFonts w:ascii="Arial Narrow" w:eastAsia="Arial Narrow" w:hAnsi="Arial Narrow" w:cs="Arial Narrow"/>
          <w:i/>
          <w:color w:val="000000"/>
          <w:sz w:val="20"/>
          <w:szCs w:val="20"/>
        </w:rPr>
        <w:t xml:space="preserve"> </w:t>
      </w:r>
      <w:r w:rsidRPr="00AC5D6C">
        <w:rPr>
          <w:rFonts w:ascii="Arial Narrow" w:eastAsia="Arial Narrow" w:hAnsi="Arial Narrow" w:cs="Arial Narrow"/>
          <w:color w:val="000000"/>
          <w:sz w:val="20"/>
          <w:szCs w:val="20"/>
        </w:rPr>
        <w:t>No aplicable</w:t>
      </w:r>
    </w:p>
    <w:p w14:paraId="42E38C20"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2E837913" w14:textId="4CF5DEE6" w:rsidR="00EA0A65" w:rsidRPr="00AC5D6C" w:rsidRDefault="002959E9" w:rsidP="00395DA6">
      <w:pPr>
        <w:numPr>
          <w:ilvl w:val="0"/>
          <w:numId w:val="7"/>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sidRPr="00AC5D6C">
        <w:rPr>
          <w:rFonts w:ascii="Arial Narrow" w:eastAsia="Arial Narrow" w:hAnsi="Arial Narrow" w:cs="Arial Narrow"/>
          <w:i/>
          <w:color w:val="000000"/>
          <w:sz w:val="20"/>
          <w:szCs w:val="20"/>
        </w:rPr>
        <w:t>¿Cuáles han sido los productos /resultados de la estrategia jurisdiccional existente?.</w:t>
      </w:r>
      <w:r w:rsidR="00AC5D6C" w:rsidRPr="00AC5D6C">
        <w:rPr>
          <w:rFonts w:ascii="Arial Narrow" w:eastAsia="Arial Narrow" w:hAnsi="Arial Narrow" w:cs="Arial Narrow"/>
          <w:i/>
          <w:color w:val="000000"/>
          <w:sz w:val="20"/>
          <w:szCs w:val="20"/>
        </w:rPr>
        <w:t xml:space="preserve"> </w:t>
      </w:r>
      <w:r w:rsidRPr="00AC5D6C">
        <w:rPr>
          <w:rFonts w:ascii="Arial Narrow" w:eastAsia="Arial Narrow" w:hAnsi="Arial Narrow" w:cs="Arial Narrow"/>
          <w:i/>
          <w:color w:val="000000"/>
          <w:sz w:val="20"/>
          <w:szCs w:val="20"/>
        </w:rPr>
        <w:t xml:space="preserve"> </w:t>
      </w:r>
      <w:r w:rsidRPr="00AC5D6C">
        <w:rPr>
          <w:rFonts w:ascii="Arial Narrow" w:eastAsia="Arial Narrow" w:hAnsi="Arial Narrow" w:cs="Arial Narrow"/>
          <w:color w:val="000000"/>
          <w:sz w:val="20"/>
          <w:szCs w:val="20"/>
        </w:rPr>
        <w:t>No aplicable</w:t>
      </w:r>
    </w:p>
    <w:p w14:paraId="04C89264"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68887205" w14:textId="77777777" w:rsidR="00AC5D6C" w:rsidRDefault="002959E9">
      <w:pPr>
        <w:numPr>
          <w:ilvl w:val="0"/>
          <w:numId w:val="7"/>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¿Hay lecciones aprendidas de la implementación de los planes existentes?. </w:t>
      </w:r>
    </w:p>
    <w:p w14:paraId="0FE5381A" w14:textId="77777777" w:rsidR="00AC5D6C" w:rsidRDefault="00AC5D6C" w:rsidP="00AC5D6C">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p>
    <w:p w14:paraId="1DA4BA8E" w14:textId="558B27D8" w:rsidR="00EA0A65" w:rsidRDefault="002959E9" w:rsidP="00AC5D6C">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 bien no hay Estrategia jurisdiccional, en materia de bosques y cambio climático, es notoria la débil articulación entre los instrumentos de gestión de los sectores involucrados, en particular bosques y agricultura, así como entre la región y las instancias nacionales y locales. Esto debe ser corregido en la Estrategia Regional de Desarrollo Rural Bajo en Emisiones (ERDRBE)</w:t>
      </w:r>
    </w:p>
    <w:p w14:paraId="67A5EC6C" w14:textId="77777777" w:rsidR="00AC5D6C" w:rsidRDefault="00AC5D6C" w:rsidP="00AC5D6C">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5395A437" w14:textId="77777777" w:rsidR="00EA0A65" w:rsidRDefault="002959E9">
      <w:pPr>
        <w:numPr>
          <w:ilvl w:val="0"/>
          <w:numId w:val="7"/>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lastRenderedPageBreak/>
        <w:t>¿Ha habido retos en el desarrollo o la implementación de la estrategia? Considerar lo siguiente:</w:t>
      </w:r>
    </w:p>
    <w:p w14:paraId="2EC9A886" w14:textId="27E12DF4" w:rsidR="00EA0A65" w:rsidRDefault="002959E9">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ab/>
        <w:t xml:space="preserve">¿Qué aspectos de la estrategia no se han implementado y porque?. </w:t>
      </w:r>
      <w:r>
        <w:rPr>
          <w:rFonts w:ascii="Arial Narrow" w:eastAsia="Arial Narrow" w:hAnsi="Arial Narrow" w:cs="Arial Narrow"/>
          <w:color w:val="000000"/>
          <w:sz w:val="20"/>
          <w:szCs w:val="20"/>
        </w:rPr>
        <w:t>No aplicable</w:t>
      </w:r>
    </w:p>
    <w:p w14:paraId="636BE72A" w14:textId="77777777" w:rsidR="00AC5D6C" w:rsidRDefault="002959E9">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ab/>
        <w:t xml:space="preserve">¿Cuáles son las barreras actuales?. </w:t>
      </w:r>
    </w:p>
    <w:p w14:paraId="5D44840B" w14:textId="77777777" w:rsidR="00AC5D6C" w:rsidRDefault="00AC5D6C" w:rsidP="00AC5D6C">
      <w:pPr>
        <w:pBdr>
          <w:top w:val="nil"/>
          <w:left w:val="nil"/>
          <w:bottom w:val="nil"/>
          <w:right w:val="nil"/>
          <w:between w:val="nil"/>
        </w:pBdr>
        <w:ind w:left="-1004" w:right="-336"/>
        <w:jc w:val="both"/>
        <w:rPr>
          <w:rFonts w:ascii="Arial Narrow" w:eastAsia="Arial Narrow" w:hAnsi="Arial Narrow" w:cs="Arial Narrow"/>
          <w:i/>
          <w:color w:val="000000"/>
          <w:sz w:val="20"/>
          <w:szCs w:val="20"/>
        </w:rPr>
      </w:pPr>
    </w:p>
    <w:p w14:paraId="0952EEA8" w14:textId="3D9020BB" w:rsidR="00EA0A65" w:rsidRDefault="002959E9" w:rsidP="00AC5D6C">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No aplicable al no existir la estrategia. Sin embargo la desarticulación entre sectores -entre el ARA y Desarrollo Económico, que incluye a Agricultura- es una limitación fundamental a superar. </w:t>
      </w:r>
    </w:p>
    <w:p w14:paraId="61EFE16D" w14:textId="77777777" w:rsidR="0070155C" w:rsidRDefault="0070155C">
      <w:pPr>
        <w:ind w:left="-567" w:right="-336" w:firstLine="283"/>
        <w:jc w:val="both"/>
        <w:rPr>
          <w:rFonts w:ascii="Arial Narrow" w:eastAsia="Arial Narrow" w:hAnsi="Arial Narrow" w:cs="Arial Narrow"/>
          <w:b/>
          <w:sz w:val="20"/>
          <w:szCs w:val="20"/>
        </w:rPr>
      </w:pPr>
    </w:p>
    <w:p w14:paraId="4D9A4B91" w14:textId="082A82FD" w:rsidR="00EA0A65" w:rsidRPr="00AC5D6C" w:rsidRDefault="002959E9" w:rsidP="00AC5D6C">
      <w:pPr>
        <w:ind w:left="-567" w:right="-336"/>
        <w:jc w:val="both"/>
        <w:rPr>
          <w:rFonts w:ascii="Arial Narrow" w:eastAsia="Arial Narrow" w:hAnsi="Arial Narrow" w:cs="Arial Narrow"/>
          <w:b/>
          <w:i/>
          <w:sz w:val="20"/>
          <w:szCs w:val="20"/>
        </w:rPr>
      </w:pPr>
      <w:r w:rsidRPr="00B022AD">
        <w:rPr>
          <w:rFonts w:ascii="Arial Narrow" w:eastAsia="Arial Narrow" w:hAnsi="Arial Narrow" w:cs="Arial Narrow"/>
          <w:b/>
          <w:i/>
          <w:sz w:val="20"/>
          <w:szCs w:val="20"/>
        </w:rPr>
        <w:t>Capacidad de los socios</w:t>
      </w:r>
    </w:p>
    <w:p w14:paraId="288A793B" w14:textId="77777777" w:rsidR="00AC5D6C" w:rsidRDefault="00AC5D6C">
      <w:pPr>
        <w:ind w:left="-567" w:right="-336" w:firstLine="283"/>
        <w:jc w:val="both"/>
        <w:rPr>
          <w:rFonts w:ascii="Arial Narrow" w:eastAsia="Arial Narrow" w:hAnsi="Arial Narrow" w:cs="Arial Narrow"/>
          <w:b/>
          <w:sz w:val="20"/>
          <w:szCs w:val="20"/>
        </w:rPr>
      </w:pPr>
    </w:p>
    <w:p w14:paraId="6359A11A" w14:textId="77777777" w:rsidR="00AC5D6C" w:rsidRDefault="002959E9" w:rsidP="0070155C">
      <w:pPr>
        <w:numPr>
          <w:ilvl w:val="0"/>
          <w:numId w:val="10"/>
        </w:numPr>
        <w:pBdr>
          <w:top w:val="nil"/>
          <w:left w:val="nil"/>
          <w:bottom w:val="nil"/>
          <w:right w:val="nil"/>
          <w:between w:val="nil"/>
        </w:pBdr>
        <w:ind w:left="-284" w:right="-336" w:hanging="283"/>
        <w:contextualSpacing/>
        <w:jc w:val="both"/>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La organización asociada tiene una presencia fuerte en la jurisdicción?</w:t>
      </w:r>
      <w:r>
        <w:rPr>
          <w:rFonts w:ascii="Arial Narrow" w:eastAsia="Arial Narrow" w:hAnsi="Arial Narrow" w:cs="Arial Narrow"/>
          <w:color w:val="000000"/>
          <w:sz w:val="20"/>
          <w:szCs w:val="20"/>
        </w:rPr>
        <w:t xml:space="preserve"> </w:t>
      </w:r>
    </w:p>
    <w:p w14:paraId="3A393D61" w14:textId="77777777" w:rsidR="00AC5D6C" w:rsidRDefault="00AC5D6C" w:rsidP="00AC5D6C">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p>
    <w:p w14:paraId="3351DDC8" w14:textId="0BDFD13A" w:rsidR="00EA0A65" w:rsidRDefault="002959E9" w:rsidP="00B022AD">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Si. El Gobierno Regional contará, para el proceso de elaboración participativa de la estrategia y plan de reducción de emisiones, con el apoyo de un grupo de organizaciones de alto nivel y capacidades complementarias, que actuarán bajo el liderazgo del gobierno regional. Por tanto, la evaluación se refiere a este colectivo de organizaciones de apoyo. La parte responsable es Earth Innovation Institute -EII, las organizaciones socias que actúan directamente en la región son la Asociación Peruana para la Conservación de la Naturaleza (APECO) y Naturaleza y Cultura Internacional (NCI). </w:t>
      </w:r>
      <w:r w:rsidR="00AC5D6C">
        <w:rPr>
          <w:rFonts w:ascii="Arial Narrow" w:eastAsia="Arial Narrow" w:hAnsi="Arial Narrow" w:cs="Arial Narrow"/>
          <w:color w:val="000000"/>
          <w:sz w:val="20"/>
          <w:szCs w:val="20"/>
        </w:rPr>
        <w:t xml:space="preserve">APECO tiene una presencia en la Región Amazonas mayor a </w:t>
      </w:r>
      <w:r w:rsidR="0044290F">
        <w:rPr>
          <w:rFonts w:ascii="Arial Narrow" w:eastAsia="Arial Narrow" w:hAnsi="Arial Narrow" w:cs="Arial Narrow"/>
          <w:color w:val="000000"/>
          <w:sz w:val="20"/>
          <w:szCs w:val="20"/>
        </w:rPr>
        <w:t>3</w:t>
      </w:r>
      <w:r w:rsidR="00AC5D6C">
        <w:rPr>
          <w:rFonts w:ascii="Arial Narrow" w:eastAsia="Arial Narrow" w:hAnsi="Arial Narrow" w:cs="Arial Narrow"/>
          <w:color w:val="000000"/>
          <w:sz w:val="20"/>
          <w:szCs w:val="20"/>
        </w:rPr>
        <w:t xml:space="preserve">0 años, orientada </w:t>
      </w:r>
      <w:r w:rsidR="004B2F78">
        <w:rPr>
          <w:rFonts w:ascii="Arial Narrow" w:eastAsia="Arial Narrow" w:hAnsi="Arial Narrow" w:cs="Arial Narrow"/>
          <w:color w:val="000000"/>
          <w:sz w:val="20"/>
          <w:szCs w:val="20"/>
        </w:rPr>
        <w:t>a la investigación y conservación de la diversidad biológica sobre todo en el área de la actual Santuario Nacional de Cordillera de Colá</w:t>
      </w:r>
      <w:r w:rsidR="00B022AD">
        <w:rPr>
          <w:rFonts w:ascii="Arial Narrow" w:eastAsia="Arial Narrow" w:hAnsi="Arial Narrow" w:cs="Arial Narrow"/>
          <w:color w:val="000000"/>
          <w:sz w:val="20"/>
          <w:szCs w:val="20"/>
        </w:rPr>
        <w:t>n. De igual modo, NCI ha trabajado junto al Gobierno Regional de Amazonas durante los últimos en diseñar y fortalecer un robusto sistema de conservación regional, para lo cual ha realizado estudios a escala regional sobre zonas prio</w:t>
      </w:r>
      <w:r w:rsidR="0044290F">
        <w:rPr>
          <w:rFonts w:ascii="Arial Narrow" w:eastAsia="Arial Narrow" w:hAnsi="Arial Narrow" w:cs="Arial Narrow"/>
          <w:color w:val="000000"/>
          <w:sz w:val="20"/>
          <w:szCs w:val="20"/>
        </w:rPr>
        <w:t>ri</w:t>
      </w:r>
      <w:r w:rsidR="00B022AD">
        <w:rPr>
          <w:rFonts w:ascii="Arial Narrow" w:eastAsia="Arial Narrow" w:hAnsi="Arial Narrow" w:cs="Arial Narrow"/>
          <w:color w:val="000000"/>
          <w:sz w:val="20"/>
          <w:szCs w:val="20"/>
        </w:rPr>
        <w:t>tarias para la conservación y talleres con actores clave para reconocer futuras áreas naturales protegidas. Estas capacidades se complementarán con l</w:t>
      </w:r>
      <w:r>
        <w:rPr>
          <w:rFonts w:ascii="Arial Narrow" w:eastAsia="Arial Narrow" w:hAnsi="Arial Narrow" w:cs="Arial Narrow"/>
          <w:color w:val="000000"/>
          <w:sz w:val="20"/>
          <w:szCs w:val="20"/>
        </w:rPr>
        <w:t>a  asistencia técnica para análisis de procesos y drivers de deforestación está a cargo del ICRAF, y la asistencia en materia de capacitación y monitoreo a cargo de Ausejo Consulting en alianza con la Universidad Católica del Pe</w:t>
      </w:r>
      <w:r w:rsidR="00B022AD">
        <w:rPr>
          <w:rFonts w:ascii="Arial Narrow" w:eastAsia="Arial Narrow" w:hAnsi="Arial Narrow" w:cs="Arial Narrow"/>
          <w:color w:val="000000"/>
          <w:sz w:val="20"/>
          <w:szCs w:val="20"/>
        </w:rPr>
        <w:t xml:space="preserve">rú. En el Anexo 2 se presenta </w:t>
      </w:r>
      <w:r>
        <w:rPr>
          <w:rFonts w:ascii="Arial Narrow" w:eastAsia="Arial Narrow" w:hAnsi="Arial Narrow" w:cs="Arial Narrow"/>
          <w:color w:val="000000"/>
          <w:sz w:val="20"/>
          <w:szCs w:val="20"/>
        </w:rPr>
        <w:t>información</w:t>
      </w:r>
      <w:r w:rsidR="00B022AD">
        <w:rPr>
          <w:rFonts w:ascii="Arial Narrow" w:eastAsia="Arial Narrow" w:hAnsi="Arial Narrow" w:cs="Arial Narrow"/>
          <w:color w:val="000000"/>
          <w:sz w:val="20"/>
          <w:szCs w:val="20"/>
        </w:rPr>
        <w:t xml:space="preserve"> más detallada</w:t>
      </w:r>
      <w:r>
        <w:rPr>
          <w:rFonts w:ascii="Arial Narrow" w:eastAsia="Arial Narrow" w:hAnsi="Arial Narrow" w:cs="Arial Narrow"/>
          <w:color w:val="000000"/>
          <w:sz w:val="20"/>
          <w:szCs w:val="20"/>
        </w:rPr>
        <w:t xml:space="preserve"> sobre las organizaciones socias</w:t>
      </w:r>
      <w:r w:rsidR="00B022AD">
        <w:rPr>
          <w:rFonts w:ascii="Arial Narrow" w:eastAsia="Arial Narrow" w:hAnsi="Arial Narrow" w:cs="Arial Narrow"/>
          <w:color w:val="000000"/>
          <w:sz w:val="20"/>
          <w:szCs w:val="20"/>
        </w:rPr>
        <w:t xml:space="preserve"> y su experiencia en la Región Amazonas</w:t>
      </w:r>
      <w:r>
        <w:rPr>
          <w:rFonts w:ascii="Arial Narrow" w:eastAsia="Arial Narrow" w:hAnsi="Arial Narrow" w:cs="Arial Narrow"/>
          <w:color w:val="000000"/>
          <w:sz w:val="20"/>
          <w:szCs w:val="20"/>
        </w:rPr>
        <w:t>.</w:t>
      </w:r>
    </w:p>
    <w:p w14:paraId="66B60EE8"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6C6174F1" w14:textId="77777777" w:rsidR="00B022AD" w:rsidRDefault="002959E9" w:rsidP="0070155C">
      <w:pPr>
        <w:numPr>
          <w:ilvl w:val="0"/>
          <w:numId w:val="10"/>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¿Se trata de una propuesta regional? </w:t>
      </w:r>
    </w:p>
    <w:p w14:paraId="5B947096" w14:textId="77777777" w:rsidR="00B022AD" w:rsidRDefault="00B022AD" w:rsidP="00B022AD">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7166BE88" w14:textId="71D0352A" w:rsidR="00EA0A65" w:rsidRDefault="002959E9" w:rsidP="00B022AD">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No. La Estrategia y el Plan propuesto son para la jurisdicción de Amazonas, pero se desarrollará en forma articulada con las otras regiones amazónicas del GCF-TF, lo que permitirá sinergias</w:t>
      </w:r>
      <w:r>
        <w:rPr>
          <w:rFonts w:ascii="Arial Narrow" w:eastAsia="Arial Narrow" w:hAnsi="Arial Narrow" w:cs="Arial Narrow"/>
          <w:i/>
          <w:color w:val="000000"/>
          <w:sz w:val="20"/>
          <w:szCs w:val="20"/>
        </w:rPr>
        <w:t xml:space="preserve">. </w:t>
      </w:r>
      <w:r>
        <w:rPr>
          <w:rFonts w:ascii="Arial Narrow" w:eastAsia="Arial Narrow" w:hAnsi="Arial Narrow" w:cs="Arial Narrow"/>
          <w:color w:val="000000"/>
          <w:sz w:val="20"/>
          <w:szCs w:val="20"/>
        </w:rPr>
        <w:t>El Anexo III brinda mayor información sobre los beneficios de un enfoque de programa</w:t>
      </w:r>
      <w:r w:rsidR="0070155C">
        <w:rPr>
          <w:rFonts w:ascii="Arial Narrow" w:eastAsia="Arial Narrow" w:hAnsi="Arial Narrow" w:cs="Arial Narrow"/>
          <w:color w:val="000000"/>
          <w:sz w:val="20"/>
          <w:szCs w:val="20"/>
        </w:rPr>
        <w:t xml:space="preserve"> para este conjunto de regiones</w:t>
      </w:r>
      <w:r>
        <w:rPr>
          <w:rFonts w:ascii="Arial Narrow" w:eastAsia="Arial Narrow" w:hAnsi="Arial Narrow" w:cs="Arial Narrow"/>
          <w:color w:val="000000"/>
          <w:sz w:val="20"/>
          <w:szCs w:val="20"/>
        </w:rPr>
        <w:t>.</w:t>
      </w:r>
    </w:p>
    <w:p w14:paraId="0DA868F6" w14:textId="77777777" w:rsidR="00EA0A65" w:rsidRDefault="00EA0A65">
      <w:pPr>
        <w:pBdr>
          <w:top w:val="nil"/>
          <w:left w:val="nil"/>
          <w:bottom w:val="nil"/>
          <w:right w:val="nil"/>
          <w:between w:val="nil"/>
        </w:pBdr>
        <w:ind w:left="-284" w:right="-336" w:hanging="720"/>
        <w:jc w:val="both"/>
        <w:rPr>
          <w:rFonts w:ascii="Arial Narrow" w:eastAsia="Arial Narrow" w:hAnsi="Arial Narrow" w:cs="Arial Narrow"/>
          <w:i/>
          <w:color w:val="000000"/>
          <w:sz w:val="20"/>
          <w:szCs w:val="20"/>
        </w:rPr>
      </w:pPr>
    </w:p>
    <w:p w14:paraId="563684E7" w14:textId="77777777" w:rsidR="007E66AA" w:rsidRDefault="002959E9" w:rsidP="0070155C">
      <w:pPr>
        <w:numPr>
          <w:ilvl w:val="0"/>
          <w:numId w:val="10"/>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¿El socio tiene la capacidad de gestionar con efectividad un proyecto de semejante escala?</w:t>
      </w:r>
    </w:p>
    <w:p w14:paraId="7530EDAD" w14:textId="77777777" w:rsidR="007E66AA" w:rsidRDefault="007E66AA" w:rsidP="007E66AA">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p>
    <w:p w14:paraId="10CF5B18" w14:textId="21D64D3B" w:rsidR="00EA0A65" w:rsidRDefault="002959E9" w:rsidP="007E66AA">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sidRPr="007E66AA">
        <w:rPr>
          <w:rFonts w:ascii="Arial Narrow" w:eastAsia="Arial Narrow" w:hAnsi="Arial Narrow" w:cs="Arial Narrow"/>
          <w:color w:val="000000"/>
          <w:sz w:val="20"/>
          <w:szCs w:val="20"/>
        </w:rPr>
        <w:t xml:space="preserve">Si. </w:t>
      </w:r>
      <w:r w:rsidRPr="0044290F">
        <w:rPr>
          <w:rFonts w:ascii="Arial Narrow" w:eastAsia="Arial Narrow" w:hAnsi="Arial Narrow" w:cs="Arial Narrow"/>
          <w:b/>
          <w:color w:val="000000"/>
          <w:sz w:val="20"/>
          <w:szCs w:val="20"/>
        </w:rPr>
        <w:t>EII</w:t>
      </w:r>
      <w:r w:rsidRPr="007E66AA">
        <w:rPr>
          <w:rFonts w:ascii="Arial Narrow" w:eastAsia="Arial Narrow" w:hAnsi="Arial Narrow" w:cs="Arial Narrow"/>
          <w:color w:val="000000"/>
          <w:sz w:val="20"/>
          <w:szCs w:val="20"/>
        </w:rPr>
        <w:t xml:space="preserve">, tiene en marcha dos proyectos en el Perú, con IKI y con NICFI, para apoyar regiones del GCF TF en el proceso hacia desarrollo rural bajo en emisiones, impulsando el enfoque de producción - protección - inclusión, aplicando la metodología del TPS -Territorial Performance System. Se ha producido una serie de tres documentos referidos a la aplicación en el Perú del enfoque P-P-I para desarrollo rural bajo en emisiones. En este marco se ha adelantado el diseño de la plataforma de monitoreo. Se ha tenido talleres iniciales en todas las regiones, sobre la base de los cuales se ha adelantado la elaboración del proyecto. </w:t>
      </w:r>
      <w:r w:rsidRPr="0044290F">
        <w:rPr>
          <w:rFonts w:ascii="Arial Narrow" w:eastAsia="Arial Narrow" w:hAnsi="Arial Narrow" w:cs="Arial Narrow"/>
          <w:b/>
          <w:color w:val="000000"/>
          <w:sz w:val="20"/>
          <w:szCs w:val="20"/>
        </w:rPr>
        <w:t>APECO</w:t>
      </w:r>
      <w:r w:rsidRPr="007E66AA">
        <w:rPr>
          <w:rFonts w:ascii="Arial Narrow" w:eastAsia="Arial Narrow" w:hAnsi="Arial Narrow" w:cs="Arial Narrow"/>
          <w:color w:val="000000"/>
          <w:sz w:val="20"/>
          <w:szCs w:val="20"/>
        </w:rPr>
        <w:t xml:space="preserve"> (Socio): </w:t>
      </w:r>
      <w:r w:rsidR="0044290F">
        <w:rPr>
          <w:rFonts w:ascii="Arial Narrow" w:eastAsia="Arial Narrow" w:hAnsi="Arial Narrow" w:cs="Arial Narrow"/>
          <w:color w:val="000000"/>
          <w:sz w:val="20"/>
          <w:szCs w:val="20"/>
        </w:rPr>
        <w:t>tiene</w:t>
      </w:r>
      <w:r w:rsidRPr="007E66AA">
        <w:rPr>
          <w:rFonts w:ascii="Arial Narrow" w:eastAsia="Arial Narrow" w:hAnsi="Arial Narrow" w:cs="Arial Narrow"/>
          <w:color w:val="000000"/>
          <w:sz w:val="20"/>
          <w:szCs w:val="20"/>
        </w:rPr>
        <w:t xml:space="preserve"> oficina en Chachapoyas, conduce proyectos en la Cordillera de Colán, las provincias de Condorcanqui, Chachapoyas, Luya y Rodríguez de Mendoza. Trabaja con comunidades awajún impulsando el cacao agroforestal, así como procesos de planificación participativa y educación ambiental intercultural. Ha </w:t>
      </w:r>
      <w:r w:rsidRPr="007E66AA">
        <w:rPr>
          <w:rFonts w:ascii="Arial Narrow" w:eastAsia="Arial Narrow" w:hAnsi="Arial Narrow" w:cs="Arial Narrow"/>
          <w:color w:val="222222"/>
          <w:sz w:val="20"/>
          <w:szCs w:val="20"/>
        </w:rPr>
        <w:t xml:space="preserve">promovido el establecimiento de dos ANP en la Cordillera de Colán, 3 ACP, un CC y un ACR que suman cerca de 146 000 ha y </w:t>
      </w:r>
      <w:r w:rsidRPr="007E66AA">
        <w:rPr>
          <w:rFonts w:ascii="Arial Narrow" w:eastAsia="Arial Narrow" w:hAnsi="Arial Narrow" w:cs="Arial Narrow"/>
          <w:color w:val="222222"/>
          <w:sz w:val="20"/>
          <w:szCs w:val="20"/>
          <w:highlight w:val="white"/>
        </w:rPr>
        <w:t>elaborado la propuesta - asumida por el GORE desde el 2009- para el Sistema de Conservación Regional (SICRE)</w:t>
      </w:r>
      <w:r w:rsidRPr="007E66AA">
        <w:rPr>
          <w:rFonts w:ascii="Arial" w:eastAsia="Arial" w:hAnsi="Arial" w:cs="Arial"/>
          <w:color w:val="222222"/>
          <w:sz w:val="22"/>
          <w:szCs w:val="22"/>
        </w:rPr>
        <w:t>.</w:t>
      </w:r>
      <w:r w:rsidRPr="007E66AA">
        <w:rPr>
          <w:rFonts w:ascii="Arial Narrow" w:eastAsia="Arial Narrow" w:hAnsi="Arial Narrow" w:cs="Arial Narrow"/>
          <w:color w:val="000000"/>
          <w:sz w:val="20"/>
          <w:szCs w:val="20"/>
        </w:rPr>
        <w:t xml:space="preserve">Cuenta con un convenio marco de colaboración con el GOREAM. </w:t>
      </w:r>
      <w:r w:rsidRPr="0044290F">
        <w:rPr>
          <w:rFonts w:ascii="Arial Narrow" w:eastAsia="Arial Narrow" w:hAnsi="Arial Narrow" w:cs="Arial Narrow"/>
          <w:b/>
          <w:color w:val="000000"/>
          <w:sz w:val="20"/>
          <w:szCs w:val="20"/>
        </w:rPr>
        <w:t>NCI</w:t>
      </w:r>
      <w:r w:rsidRPr="007E66AA">
        <w:rPr>
          <w:rFonts w:ascii="Arial Narrow" w:eastAsia="Arial Narrow" w:hAnsi="Arial Narrow" w:cs="Arial Narrow"/>
          <w:color w:val="000000"/>
          <w:sz w:val="20"/>
          <w:szCs w:val="20"/>
        </w:rPr>
        <w:t xml:space="preserve"> (Socio): está presente en Amazonas desde el 2007; apoya la creación de la propuesta de áreas de conservación regional y trabaja con poblaciones locales, ha colaborado en la creación de 9 áreas de conservación, que suman un total de 202,512 ha</w:t>
      </w:r>
      <w:r>
        <w:rPr>
          <w:rFonts w:ascii="Arial Narrow" w:eastAsia="Arial Narrow" w:hAnsi="Arial Narrow" w:cs="Arial Narrow"/>
          <w:color w:val="000000"/>
          <w:sz w:val="20"/>
          <w:szCs w:val="20"/>
        </w:rPr>
        <w:t xml:space="preserve">. </w:t>
      </w:r>
    </w:p>
    <w:p w14:paraId="7DE66442" w14:textId="77777777" w:rsidR="00EA0A65" w:rsidRDefault="00EA0A65">
      <w:pPr>
        <w:pBdr>
          <w:top w:val="nil"/>
          <w:left w:val="nil"/>
          <w:bottom w:val="nil"/>
          <w:right w:val="nil"/>
          <w:between w:val="nil"/>
        </w:pBdr>
        <w:ind w:left="426" w:right="-336" w:hanging="720"/>
        <w:rPr>
          <w:rFonts w:ascii="Arial Narrow" w:eastAsia="Arial Narrow" w:hAnsi="Arial Narrow" w:cs="Arial Narrow"/>
          <w:color w:val="000000"/>
          <w:sz w:val="20"/>
          <w:szCs w:val="20"/>
        </w:rPr>
      </w:pPr>
    </w:p>
    <w:p w14:paraId="35A9E820" w14:textId="77777777" w:rsidR="007E66AA" w:rsidRDefault="002959E9">
      <w:pPr>
        <w:numPr>
          <w:ilvl w:val="0"/>
          <w:numId w:val="10"/>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El socio colabora con otros gobiernos subnacionales en propuestas diferentes?.</w:t>
      </w:r>
    </w:p>
    <w:p w14:paraId="5AC981EC" w14:textId="77777777" w:rsidR="007E66AA" w:rsidRDefault="007E66AA" w:rsidP="007E66AA">
      <w:pPr>
        <w:pBdr>
          <w:top w:val="nil"/>
          <w:left w:val="nil"/>
          <w:bottom w:val="nil"/>
          <w:right w:val="nil"/>
          <w:between w:val="nil"/>
        </w:pBdr>
        <w:ind w:left="-284" w:right="-336"/>
        <w:contextualSpacing/>
        <w:jc w:val="both"/>
        <w:rPr>
          <w:rFonts w:ascii="Arial Narrow" w:eastAsia="Arial Narrow" w:hAnsi="Arial Narrow" w:cs="Arial Narrow"/>
          <w:color w:val="000000"/>
          <w:sz w:val="20"/>
          <w:szCs w:val="20"/>
        </w:rPr>
      </w:pPr>
    </w:p>
    <w:p w14:paraId="0AA12F31" w14:textId="72A55625" w:rsidR="00EA0A65" w:rsidRPr="007E66AA" w:rsidRDefault="007E66AA" w:rsidP="007E66AA">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Pr>
          <w:rFonts w:ascii="Arial Narrow" w:eastAsia="Arial Narrow" w:hAnsi="Arial Narrow" w:cs="Arial Narrow"/>
          <w:color w:val="000000"/>
          <w:sz w:val="20"/>
          <w:szCs w:val="20"/>
        </w:rPr>
        <w:t>S</w:t>
      </w:r>
      <w:r w:rsidRPr="007E66AA">
        <w:rPr>
          <w:rFonts w:ascii="Arial Narrow" w:eastAsia="Arial Narrow" w:hAnsi="Arial Narrow" w:cs="Arial Narrow"/>
          <w:color w:val="000000"/>
          <w:sz w:val="20"/>
          <w:szCs w:val="20"/>
        </w:rPr>
        <w:t>i</w:t>
      </w:r>
      <w:r w:rsidR="002959E9" w:rsidRPr="007E66AA">
        <w:rPr>
          <w:rFonts w:ascii="Arial Narrow" w:eastAsia="Arial Narrow" w:hAnsi="Arial Narrow" w:cs="Arial Narrow"/>
          <w:color w:val="000000"/>
          <w:sz w:val="20"/>
          <w:szCs w:val="20"/>
        </w:rPr>
        <w:t xml:space="preserve">. Actualmente </w:t>
      </w:r>
      <w:r w:rsidR="002959E9" w:rsidRPr="0044290F">
        <w:rPr>
          <w:rFonts w:ascii="Arial Narrow" w:eastAsia="Arial Narrow" w:hAnsi="Arial Narrow" w:cs="Arial Narrow"/>
          <w:b/>
          <w:color w:val="000000"/>
          <w:sz w:val="20"/>
          <w:szCs w:val="20"/>
        </w:rPr>
        <w:t xml:space="preserve">EII </w:t>
      </w:r>
      <w:r w:rsidR="002959E9" w:rsidRPr="007E66AA">
        <w:rPr>
          <w:rFonts w:ascii="Arial Narrow" w:eastAsia="Arial Narrow" w:hAnsi="Arial Narrow" w:cs="Arial Narrow"/>
          <w:color w:val="000000"/>
          <w:sz w:val="20"/>
          <w:szCs w:val="20"/>
        </w:rPr>
        <w:t xml:space="preserve">tiene actividades principalmente con el Gobierno Regional de San Martín y el de Ucayali  y está iniciando el apoyo en las regiones de Amazonas, Huánuco, Madre de Dios, Loreto  y Piura. Está presentado propuestas para trabajar en estas 7 regiones en el Perú, además de otras 4 en Colombia, Brasil e Indonesia. El </w:t>
      </w:r>
      <w:r w:rsidR="002959E9" w:rsidRPr="0044290F">
        <w:rPr>
          <w:rFonts w:ascii="Arial Narrow" w:eastAsia="Arial Narrow" w:hAnsi="Arial Narrow" w:cs="Arial Narrow"/>
          <w:b/>
          <w:color w:val="000000"/>
          <w:sz w:val="20"/>
          <w:szCs w:val="20"/>
        </w:rPr>
        <w:t>ICRAF</w:t>
      </w:r>
      <w:r w:rsidR="002959E9" w:rsidRPr="007E66AA">
        <w:rPr>
          <w:rFonts w:ascii="Arial Narrow" w:eastAsia="Arial Narrow" w:hAnsi="Arial Narrow" w:cs="Arial Narrow"/>
          <w:color w:val="000000"/>
          <w:sz w:val="20"/>
          <w:szCs w:val="20"/>
        </w:rPr>
        <w:t xml:space="preserve"> apoya a todas las regiones respecto a los análisis de drivers y procesos de deforestación. </w:t>
      </w:r>
      <w:r w:rsidR="002959E9" w:rsidRPr="0044290F">
        <w:rPr>
          <w:rFonts w:ascii="Arial Narrow" w:eastAsia="Arial Narrow" w:hAnsi="Arial Narrow" w:cs="Arial Narrow"/>
          <w:b/>
          <w:color w:val="000000"/>
          <w:sz w:val="20"/>
          <w:szCs w:val="20"/>
        </w:rPr>
        <w:t>NCI</w:t>
      </w:r>
      <w:r w:rsidR="002959E9" w:rsidRPr="007E66AA">
        <w:rPr>
          <w:rFonts w:ascii="Arial Narrow" w:eastAsia="Arial Narrow" w:hAnsi="Arial Narrow" w:cs="Arial Narrow"/>
          <w:color w:val="000000"/>
          <w:sz w:val="20"/>
          <w:szCs w:val="20"/>
        </w:rPr>
        <w:t xml:space="preserve"> participa también en Piura y Huánuco.</w:t>
      </w:r>
    </w:p>
    <w:p w14:paraId="649C1DFA" w14:textId="77777777" w:rsidR="00EA0A65" w:rsidRDefault="00EA0A65">
      <w:pPr>
        <w:pBdr>
          <w:top w:val="nil"/>
          <w:left w:val="nil"/>
          <w:bottom w:val="nil"/>
          <w:right w:val="nil"/>
          <w:between w:val="nil"/>
        </w:pBdr>
        <w:ind w:left="720" w:right="-336" w:hanging="720"/>
        <w:jc w:val="both"/>
        <w:rPr>
          <w:rFonts w:ascii="Arial Narrow" w:eastAsia="Arial Narrow" w:hAnsi="Arial Narrow" w:cs="Arial Narrow"/>
          <w:color w:val="000000"/>
          <w:sz w:val="20"/>
          <w:szCs w:val="20"/>
        </w:rPr>
      </w:pPr>
    </w:p>
    <w:p w14:paraId="4BE6BC75" w14:textId="77777777" w:rsidR="007E66AA" w:rsidRDefault="002959E9">
      <w:pPr>
        <w:numPr>
          <w:ilvl w:val="0"/>
          <w:numId w:val="10"/>
        </w:numPr>
        <w:pBdr>
          <w:top w:val="nil"/>
          <w:left w:val="nil"/>
          <w:bottom w:val="nil"/>
          <w:right w:val="nil"/>
          <w:between w:val="nil"/>
        </w:pBdr>
        <w:ind w:left="-284" w:right="-336" w:hanging="283"/>
        <w:contextualSpacing/>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En caso afirmativo ¿El socio tiene la capacidad de trabajar con múltiples gobiernos subnacionales?</w:t>
      </w:r>
    </w:p>
    <w:p w14:paraId="38065A2D" w14:textId="77777777" w:rsidR="007E66AA" w:rsidRPr="007E66AA" w:rsidRDefault="007E66AA" w:rsidP="007E66AA">
      <w:pPr>
        <w:pBdr>
          <w:top w:val="nil"/>
          <w:left w:val="nil"/>
          <w:bottom w:val="nil"/>
          <w:right w:val="nil"/>
          <w:between w:val="nil"/>
        </w:pBdr>
        <w:ind w:right="-336"/>
        <w:contextualSpacing/>
        <w:jc w:val="both"/>
        <w:rPr>
          <w:rFonts w:ascii="Arial Narrow" w:eastAsia="Arial Narrow" w:hAnsi="Arial Narrow" w:cs="Arial Narrow"/>
          <w:i/>
          <w:color w:val="000000"/>
          <w:sz w:val="20"/>
          <w:szCs w:val="20"/>
        </w:rPr>
      </w:pPr>
    </w:p>
    <w:p w14:paraId="5436DBFB" w14:textId="2E1F7A60" w:rsidR="00EA0A65" w:rsidRPr="007E66AA" w:rsidRDefault="007E66AA" w:rsidP="007E66AA">
      <w:pPr>
        <w:pBdr>
          <w:top w:val="nil"/>
          <w:left w:val="nil"/>
          <w:bottom w:val="nil"/>
          <w:right w:val="nil"/>
          <w:between w:val="nil"/>
        </w:pBdr>
        <w:ind w:left="-284" w:right="-336"/>
        <w:contextualSpacing/>
        <w:jc w:val="both"/>
        <w:rPr>
          <w:rFonts w:ascii="Arial Narrow" w:eastAsia="Arial Narrow" w:hAnsi="Arial Narrow" w:cs="Arial Narrow"/>
          <w:i/>
          <w:color w:val="000000"/>
          <w:sz w:val="20"/>
          <w:szCs w:val="20"/>
        </w:rPr>
      </w:pPr>
      <w:r w:rsidRPr="007E66AA">
        <w:rPr>
          <w:rFonts w:ascii="Arial Narrow" w:eastAsia="Arial Narrow" w:hAnsi="Arial Narrow" w:cs="Arial Narrow"/>
          <w:color w:val="000000"/>
          <w:sz w:val="20"/>
          <w:szCs w:val="20"/>
        </w:rPr>
        <w:t>Si</w:t>
      </w:r>
      <w:r w:rsidR="002959E9" w:rsidRPr="007E66AA">
        <w:rPr>
          <w:rFonts w:ascii="Arial Narrow" w:eastAsia="Arial Narrow" w:hAnsi="Arial Narrow" w:cs="Arial Narrow"/>
          <w:color w:val="000000"/>
          <w:sz w:val="20"/>
          <w:szCs w:val="20"/>
        </w:rPr>
        <w:t>. EII es una organización no gubernamental internacional con más de diez años de experiencia brindado asistencia técnica e implementando proyectos con gobiernos subnacionales. Actualmente asesora a gobiernos subnacionales miembros del GCG-TF en Perú, Colombia, Brasil e Indonesia por lo que cuenta con la experiencia y capacidades necesarias. Adicionalmente, la estrategia de trabajo conlleva alianzas profundas con una red de organizaciones de alto nivel y profundo conocimiento de cada una de las regiones que complementan las capacidades propias, permite generar sinergias y amplía la capacidad conjunta de brindar asistencia técnica a los gobiernos regionales y proveer las facilidades logísticas.</w:t>
      </w:r>
    </w:p>
    <w:p w14:paraId="00350A2E" w14:textId="77777777" w:rsidR="00EA0A65" w:rsidRDefault="002959E9" w:rsidP="008B5590">
      <w:pPr>
        <w:widowControl w:val="0"/>
        <w:numPr>
          <w:ilvl w:val="1"/>
          <w:numId w:val="19"/>
        </w:numPr>
        <w:pBdr>
          <w:top w:val="nil"/>
          <w:left w:val="nil"/>
          <w:bottom w:val="nil"/>
          <w:right w:val="nil"/>
          <w:between w:val="nil"/>
        </w:pBdr>
        <w:ind w:left="0" w:hanging="284"/>
        <w:contextualSpacing/>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lastRenderedPageBreak/>
        <w:t>OPORTUNIDADES ESTRATÉGICAS</w:t>
      </w:r>
    </w:p>
    <w:p w14:paraId="0DD43A31" w14:textId="77777777" w:rsidR="00EA0A65" w:rsidRDefault="00EA0A65">
      <w:pPr>
        <w:widowControl w:val="0"/>
        <w:ind w:left="-567"/>
        <w:jc w:val="both"/>
        <w:rPr>
          <w:rFonts w:ascii="Arial Narrow" w:eastAsia="Arial Narrow" w:hAnsi="Arial Narrow" w:cs="Arial Narrow"/>
          <w:sz w:val="20"/>
          <w:szCs w:val="20"/>
        </w:rPr>
      </w:pPr>
    </w:p>
    <w:p w14:paraId="1AECEC76" w14:textId="58A36F2B" w:rsidR="002A4D20" w:rsidRDefault="002959E9">
      <w:pPr>
        <w:widowControl w:val="0"/>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Como resultado de la autoevaluación del Proyecto se ha identificado que existen avances en la construcción de políticas públicas regionales para reducir la deforestación y promover el desarrollo rural bajo en emisiones</w:t>
      </w:r>
      <w:r w:rsidR="00B11358">
        <w:rPr>
          <w:rFonts w:ascii="Arial Narrow" w:eastAsia="Arial Narrow" w:hAnsi="Arial Narrow" w:cs="Arial Narrow"/>
          <w:sz w:val="20"/>
          <w:szCs w:val="20"/>
        </w:rPr>
        <w:t xml:space="preserve"> en Amazonas; sobre todo orientadas al desarrollo de un sistema de conservación de la diversidad biológica. De igual modo se ha determinado que diferentes instrumentos de gestió</w:t>
      </w:r>
      <w:r w:rsidR="00AD7D26">
        <w:rPr>
          <w:rFonts w:ascii="Arial Narrow" w:eastAsia="Arial Narrow" w:hAnsi="Arial Narrow" w:cs="Arial Narrow"/>
          <w:sz w:val="20"/>
          <w:szCs w:val="20"/>
        </w:rPr>
        <w:t>n regionales como el PDRC incluyen una visión compatible con la Declaración de Rio Branco pero requieren consignar metas especificas y detallar acciones para alcanzar el compromiso asumido en esta declaración</w:t>
      </w:r>
      <w:r w:rsidR="006C6F5E">
        <w:rPr>
          <w:rFonts w:ascii="Arial Narrow" w:eastAsia="Arial Narrow" w:hAnsi="Arial Narrow" w:cs="Arial Narrow"/>
          <w:sz w:val="20"/>
          <w:szCs w:val="20"/>
        </w:rPr>
        <w:t xml:space="preserve"> y los compromisos nacionales como la DCI y la NDC</w:t>
      </w:r>
      <w:r w:rsidR="00AD7D26">
        <w:rPr>
          <w:rFonts w:ascii="Arial Narrow" w:eastAsia="Arial Narrow" w:hAnsi="Arial Narrow" w:cs="Arial Narrow"/>
          <w:sz w:val="20"/>
          <w:szCs w:val="20"/>
        </w:rPr>
        <w:t xml:space="preserve">. </w:t>
      </w:r>
    </w:p>
    <w:p w14:paraId="1927B0B2" w14:textId="77777777" w:rsidR="002A4D20" w:rsidRDefault="002A4D20">
      <w:pPr>
        <w:widowControl w:val="0"/>
        <w:ind w:left="-284" w:right="-336"/>
        <w:jc w:val="both"/>
        <w:rPr>
          <w:rFonts w:ascii="Arial Narrow" w:eastAsia="Arial Narrow" w:hAnsi="Arial Narrow" w:cs="Arial Narrow"/>
          <w:sz w:val="20"/>
          <w:szCs w:val="20"/>
        </w:rPr>
      </w:pPr>
    </w:p>
    <w:p w14:paraId="3F4C9682" w14:textId="77777777" w:rsidR="008D5669" w:rsidRDefault="002A4D20" w:rsidP="008D5669">
      <w:pPr>
        <w:widowControl w:val="0"/>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Asimismo, y visto el crecimiento de la deforestación en tierras de poblaciones indígenas, es imprescindible lograr acuerdos con sus organizaciones representativas para transformar aquellas actividades que la generan.</w:t>
      </w:r>
      <w:r w:rsidR="0094635D" w:rsidRPr="0094635D">
        <w:rPr>
          <w:rFonts w:ascii="Arial Narrow" w:eastAsia="Arial Narrow" w:hAnsi="Arial Narrow" w:cs="Arial Narrow"/>
          <w:sz w:val="20"/>
          <w:szCs w:val="20"/>
        </w:rPr>
        <w:t xml:space="preserve"> </w:t>
      </w:r>
      <w:r w:rsidR="0094635D">
        <w:rPr>
          <w:rFonts w:ascii="Arial Narrow" w:eastAsia="Arial Narrow" w:hAnsi="Arial Narrow" w:cs="Arial Narrow"/>
          <w:sz w:val="20"/>
          <w:szCs w:val="20"/>
        </w:rPr>
        <w:t xml:space="preserve">Las comunidades nativas </w:t>
      </w:r>
      <w:r w:rsidR="008D5669">
        <w:rPr>
          <w:rFonts w:ascii="Arial Narrow" w:eastAsia="Arial Narrow" w:hAnsi="Arial Narrow" w:cs="Arial Narrow"/>
          <w:sz w:val="20"/>
          <w:szCs w:val="20"/>
        </w:rPr>
        <w:t xml:space="preserve">más estratégicas de para este proyecto son las </w:t>
      </w:r>
      <w:r w:rsidR="0094635D">
        <w:rPr>
          <w:rFonts w:ascii="Arial Narrow" w:eastAsia="Arial Narrow" w:hAnsi="Arial Narrow" w:cs="Arial Narrow"/>
          <w:sz w:val="20"/>
          <w:szCs w:val="20"/>
        </w:rPr>
        <w:t xml:space="preserve">pertenecientes a los pueblos Awajún y Wampis </w:t>
      </w:r>
      <w:r w:rsidR="008D5669">
        <w:rPr>
          <w:rFonts w:ascii="Arial Narrow" w:eastAsia="Arial Narrow" w:hAnsi="Arial Narrow" w:cs="Arial Narrow"/>
          <w:sz w:val="20"/>
          <w:szCs w:val="20"/>
        </w:rPr>
        <w:t xml:space="preserve">de la Provincia de Condorcanqui </w:t>
      </w:r>
      <w:r w:rsidR="0094635D">
        <w:rPr>
          <w:rFonts w:ascii="Arial Narrow" w:eastAsia="Arial Narrow" w:hAnsi="Arial Narrow" w:cs="Arial Narrow"/>
          <w:sz w:val="20"/>
          <w:szCs w:val="20"/>
        </w:rPr>
        <w:t xml:space="preserve">en los distritos de Río Santiago Imaza, Nieva y El Cenepa.  Los Awajún, en Amazonas, se distribuyen en 214 comunidades en Amazonas y los Wampis en 45 comunidades. Esta característica </w:t>
      </w:r>
      <w:r w:rsidR="008D5669">
        <w:rPr>
          <w:rFonts w:ascii="Arial Narrow" w:eastAsia="Arial Narrow" w:hAnsi="Arial Narrow" w:cs="Arial Narrow"/>
          <w:sz w:val="20"/>
          <w:szCs w:val="20"/>
        </w:rPr>
        <w:t xml:space="preserve">permitirá focalizar gran parte de las acciones en </w:t>
      </w:r>
      <w:r w:rsidR="0094635D">
        <w:rPr>
          <w:rFonts w:ascii="Arial Narrow" w:eastAsia="Arial Narrow" w:hAnsi="Arial Narrow" w:cs="Arial Narrow"/>
          <w:sz w:val="20"/>
          <w:szCs w:val="20"/>
        </w:rPr>
        <w:t xml:space="preserve">la Provincia de Condorcanqui y el Distrito de Imaza, particularmente. </w:t>
      </w:r>
      <w:r w:rsidR="008D5669">
        <w:rPr>
          <w:rFonts w:ascii="Arial Narrow" w:eastAsia="Arial Narrow" w:hAnsi="Arial Narrow" w:cs="Arial Narrow"/>
          <w:sz w:val="20"/>
          <w:szCs w:val="20"/>
        </w:rPr>
        <w:t xml:space="preserve">En este sentido, será estratégico involucrar activamente a la oficina zonal del Programa Nacional de Bosques para la Mitigación del Cambio Climático (PNCB) para que los incentivos para la conservación de bosques que brindan a las comunidades nativas pueda coadyuvar a reducir la deforestación. De igual modo será estratégico involucrar activamente a los municipios locales, sobre todo en la zona norte de Amazonas, ya que son las autoridades con mayor presencia en las áreas de mayor incidencia de deforestación. </w:t>
      </w:r>
    </w:p>
    <w:p w14:paraId="7836DAC8" w14:textId="77777777" w:rsidR="008D5669" w:rsidRDefault="008D5669" w:rsidP="008D5669">
      <w:pPr>
        <w:widowControl w:val="0"/>
        <w:ind w:left="-284" w:right="-336"/>
        <w:jc w:val="both"/>
        <w:rPr>
          <w:rFonts w:ascii="Arial Narrow" w:eastAsia="Arial Narrow" w:hAnsi="Arial Narrow" w:cs="Arial Narrow"/>
          <w:sz w:val="20"/>
          <w:szCs w:val="20"/>
        </w:rPr>
      </w:pPr>
    </w:p>
    <w:p w14:paraId="796961D2" w14:textId="512BC03F" w:rsidR="0094635D" w:rsidRDefault="008D5669" w:rsidP="0094635D">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Aun cuando no es necesariamente una oportunidad, se considera que la mejora </w:t>
      </w:r>
      <w:r w:rsidR="0094635D">
        <w:rPr>
          <w:rFonts w:ascii="Arial Narrow" w:eastAsia="Arial Narrow" w:hAnsi="Arial Narrow" w:cs="Arial Narrow"/>
          <w:sz w:val="20"/>
          <w:szCs w:val="20"/>
        </w:rPr>
        <w:t xml:space="preserve">de la carretera que une Santa María de Nieva con el resto del país </w:t>
      </w:r>
      <w:r>
        <w:rPr>
          <w:rFonts w:ascii="Arial Narrow" w:eastAsia="Arial Narrow" w:hAnsi="Arial Narrow" w:cs="Arial Narrow"/>
          <w:sz w:val="20"/>
          <w:szCs w:val="20"/>
        </w:rPr>
        <w:t xml:space="preserve">es un factor importante para el diseño de la estrategia ya que </w:t>
      </w:r>
      <w:r w:rsidR="003533CA">
        <w:rPr>
          <w:rFonts w:ascii="Arial Narrow" w:eastAsia="Arial Narrow" w:hAnsi="Arial Narrow" w:cs="Arial Narrow"/>
          <w:sz w:val="20"/>
          <w:szCs w:val="20"/>
        </w:rPr>
        <w:t xml:space="preserve">sino se define una política de desarrollo </w:t>
      </w:r>
      <w:r w:rsidR="008909BF">
        <w:rPr>
          <w:rFonts w:ascii="Arial Narrow" w:eastAsia="Arial Narrow" w:hAnsi="Arial Narrow" w:cs="Arial Narrow"/>
          <w:sz w:val="20"/>
          <w:szCs w:val="20"/>
        </w:rPr>
        <w:t xml:space="preserve">bajo en emisiones, </w:t>
      </w:r>
      <w:r w:rsidR="0094635D">
        <w:rPr>
          <w:rFonts w:ascii="Arial Narrow" w:eastAsia="Arial Narrow" w:hAnsi="Arial Narrow" w:cs="Arial Narrow"/>
          <w:sz w:val="20"/>
          <w:szCs w:val="20"/>
        </w:rPr>
        <w:t xml:space="preserve">el </w:t>
      </w:r>
      <w:r w:rsidR="008909BF">
        <w:rPr>
          <w:rFonts w:ascii="Arial Narrow" w:eastAsia="Arial Narrow" w:hAnsi="Arial Narrow" w:cs="Arial Narrow"/>
          <w:sz w:val="20"/>
          <w:szCs w:val="20"/>
        </w:rPr>
        <w:t xml:space="preserve">riesgo de deforestación y la </w:t>
      </w:r>
      <w:r w:rsidR="0094635D">
        <w:rPr>
          <w:rFonts w:ascii="Arial Narrow" w:eastAsia="Arial Narrow" w:hAnsi="Arial Narrow" w:cs="Arial Narrow"/>
          <w:sz w:val="20"/>
          <w:szCs w:val="20"/>
        </w:rPr>
        <w:t>extracción ilegal de madera se incrementa</w:t>
      </w:r>
      <w:r w:rsidR="008909BF">
        <w:rPr>
          <w:rFonts w:ascii="Arial Narrow" w:eastAsia="Arial Narrow" w:hAnsi="Arial Narrow" w:cs="Arial Narrow"/>
          <w:sz w:val="20"/>
          <w:szCs w:val="20"/>
        </w:rPr>
        <w:t>rá</w:t>
      </w:r>
      <w:r w:rsidR="0094635D">
        <w:rPr>
          <w:rFonts w:ascii="Arial Narrow" w:eastAsia="Arial Narrow" w:hAnsi="Arial Narrow" w:cs="Arial Narrow"/>
          <w:sz w:val="20"/>
          <w:szCs w:val="20"/>
        </w:rPr>
        <w:t>. Igualmente, la presencia abundante oro aluvial presenta una oportunidad de extracción sostenible, bajo técnicas de bajo impacto ambiental, manejadas comunalmente; pero de no lograrse el riesgo de ingreso de foráneos en forma ilegal es alto.</w:t>
      </w:r>
    </w:p>
    <w:p w14:paraId="7E8E967E" w14:textId="77777777" w:rsidR="00EA0A65" w:rsidRDefault="00EA0A65" w:rsidP="008909BF">
      <w:pPr>
        <w:ind w:right="-336"/>
        <w:jc w:val="both"/>
        <w:rPr>
          <w:rFonts w:ascii="Arial Narrow" w:eastAsia="Arial Narrow" w:hAnsi="Arial Narrow" w:cs="Arial Narrow"/>
          <w:sz w:val="20"/>
          <w:szCs w:val="20"/>
        </w:rPr>
      </w:pPr>
      <w:bookmarkStart w:id="4" w:name="_3znysh7" w:colFirst="0" w:colLast="0"/>
      <w:bookmarkEnd w:id="4"/>
    </w:p>
    <w:p w14:paraId="3F305AF5" w14:textId="34C1AFC7" w:rsidR="00EA0A65" w:rsidRPr="008909BF" w:rsidRDefault="008909BF">
      <w:pPr>
        <w:ind w:left="-284" w:right="-336"/>
        <w:jc w:val="both"/>
        <w:rPr>
          <w:rFonts w:ascii="Arial Narrow" w:eastAsia="Arial Narrow" w:hAnsi="Arial Narrow" w:cs="Arial Narrow"/>
          <w:sz w:val="20"/>
          <w:szCs w:val="20"/>
        </w:rPr>
      </w:pPr>
      <w:r w:rsidRPr="008909BF">
        <w:rPr>
          <w:rFonts w:ascii="Arial Narrow" w:eastAsia="Arial Narrow" w:hAnsi="Arial Narrow" w:cs="Arial Narrow"/>
          <w:sz w:val="20"/>
          <w:szCs w:val="20"/>
        </w:rPr>
        <w:t xml:space="preserve">De manera similar, es importante resaltar la importancia de la agricultura para el desarrollo regional de Amazonas. Aun cuando la </w:t>
      </w:r>
      <w:r w:rsidR="002959E9" w:rsidRPr="008909BF">
        <w:rPr>
          <w:rFonts w:ascii="Arial Narrow" w:eastAsia="Arial Narrow" w:hAnsi="Arial Narrow" w:cs="Arial Narrow"/>
          <w:sz w:val="20"/>
          <w:szCs w:val="20"/>
        </w:rPr>
        <w:t>estructura productiva regional está poco diversificada, la agricultura y ganadería contribuyen con alrededor del 35% al PBI regional. El café y cacao son los únicos productos que se exportan actualmente. Las unidades agropecuarias de manejo familiar representa el 89.9 % de las unidades agrícolas y en el porcentaje de unidades agropecuarias por tamaño, el 40.3 % de las unidades agropecuarias tienen una superficie de 0.5 a 2.9 ha. Ello implica la ausencia de cadenas productivas consolidadas. Estas condiciones, deberían convertirse en una oportunidad para configurar en la región una estrategia de articulación de la pequeña propiedad y producción, con enfoques modernos de asociatividad que permitan enfrentar los típicos problemas de la economía agraria familiar: suministros caros e informales, no acceso al crédito, baja productividad que incentiva prácticas no sostenibles en los recursos naturales.</w:t>
      </w:r>
      <w:r w:rsidR="00A63B00" w:rsidRPr="008909BF">
        <w:rPr>
          <w:rFonts w:ascii="Arial Narrow" w:eastAsia="Arial Narrow" w:hAnsi="Arial Narrow" w:cs="Arial Narrow"/>
          <w:sz w:val="20"/>
          <w:szCs w:val="20"/>
        </w:rPr>
        <w:t xml:space="preserve"> Sin embargo, se requiere una aproximación diferenciada entre los bien distintivos ámbitos del sur de la Región, asociado a población andina y colona, con fuerte presencia de cultivos de café y cacao, entre otros, y el ámbito norte, de Condorcanqui, en el cual la predominancia de comunidades indica la necesidad de prestar atención tanto a los cultivos como a los bosques mismos. </w:t>
      </w:r>
    </w:p>
    <w:p w14:paraId="3D1E3428" w14:textId="77777777" w:rsidR="00EA0A65" w:rsidRDefault="00EA0A65">
      <w:pPr>
        <w:ind w:left="-284" w:right="-336"/>
        <w:jc w:val="both"/>
        <w:rPr>
          <w:rFonts w:ascii="Arial Narrow" w:eastAsia="Arial Narrow" w:hAnsi="Arial Narrow" w:cs="Arial Narrow"/>
          <w:sz w:val="20"/>
          <w:szCs w:val="20"/>
        </w:rPr>
      </w:pPr>
    </w:p>
    <w:p w14:paraId="4AC3C37D" w14:textId="26926A05" w:rsidR="00EA0A65" w:rsidRPr="008B5590" w:rsidRDefault="008B5590">
      <w:pPr>
        <w:shd w:val="clear" w:color="auto" w:fill="FFFFFF"/>
        <w:ind w:left="-284" w:right="-336"/>
        <w:jc w:val="both"/>
        <w:rPr>
          <w:rFonts w:ascii="Arial Narrow" w:eastAsia="Arial Narrow" w:hAnsi="Arial Narrow" w:cs="Arial Narrow"/>
          <w:sz w:val="20"/>
          <w:szCs w:val="20"/>
        </w:rPr>
      </w:pPr>
      <w:r w:rsidRPr="008B5590">
        <w:rPr>
          <w:rFonts w:ascii="Arial Narrow" w:eastAsia="Arial Narrow" w:hAnsi="Arial Narrow" w:cs="Arial Narrow"/>
          <w:sz w:val="20"/>
          <w:szCs w:val="20"/>
        </w:rPr>
        <w:t xml:space="preserve">Otra oportunidad particular de Amazonas, es que se cuenta con </w:t>
      </w:r>
      <w:r w:rsidR="002959E9" w:rsidRPr="008B5590">
        <w:rPr>
          <w:rFonts w:ascii="Arial Narrow" w:eastAsia="Arial Narrow" w:hAnsi="Arial Narrow" w:cs="Arial Narrow"/>
          <w:sz w:val="20"/>
          <w:szCs w:val="20"/>
        </w:rPr>
        <w:t xml:space="preserve">PROAMAZONAS </w:t>
      </w:r>
      <w:r w:rsidRPr="008B5590">
        <w:rPr>
          <w:rFonts w:ascii="Arial Narrow" w:eastAsia="Arial Narrow" w:hAnsi="Arial Narrow" w:cs="Arial Narrow"/>
          <w:sz w:val="20"/>
          <w:szCs w:val="20"/>
        </w:rPr>
        <w:t xml:space="preserve">que </w:t>
      </w:r>
      <w:r w:rsidR="002959E9" w:rsidRPr="008B5590">
        <w:rPr>
          <w:rFonts w:ascii="Arial Narrow" w:eastAsia="Arial Narrow" w:hAnsi="Arial Narrow" w:cs="Arial Narrow"/>
          <w:sz w:val="20"/>
          <w:szCs w:val="20"/>
        </w:rPr>
        <w:t>es una unidad ejecutora con presupuesto propio y autoridad de ejecutar el proyecto que forma parte del Gobierno Regional Amazonas en el marco del Convenio de Préstamo entre la Agencia de Cooperación Internacional de Japón y la República del Perú. El objetivo del proyecto es establecer las bases del desarrollo rural de la Región del Amazonas, contribuyendo así al desarrollo económico y social rural equitativo e inclusivo y la mejora del nivel de vida de la población en la zona de destino. Destacan acciones en torno a la infraestructura local, el manejo de los residuos sólidos y la generación de las condiciones para el turismo regional. La presencia de esta herramienta regional que debe ser revalorada en el proceso de construcción de la estrategia jurisdiccional de desarrollo rural bajo en emisiones.</w:t>
      </w:r>
    </w:p>
    <w:p w14:paraId="532F6DE6" w14:textId="77777777" w:rsidR="00EA0A65" w:rsidRDefault="00EA0A65">
      <w:pPr>
        <w:widowControl w:val="0"/>
        <w:ind w:left="-284" w:right="-336"/>
        <w:jc w:val="both"/>
        <w:rPr>
          <w:rFonts w:ascii="Arial Narrow" w:eastAsia="Arial Narrow" w:hAnsi="Arial Narrow" w:cs="Arial Narrow"/>
          <w:sz w:val="20"/>
          <w:szCs w:val="20"/>
        </w:rPr>
      </w:pPr>
    </w:p>
    <w:p w14:paraId="5D97E213" w14:textId="77777777" w:rsidR="00EA0A65" w:rsidRDefault="002959E9">
      <w:pPr>
        <w:widowControl w:val="0"/>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Finalmente, y como parte de los resultados del GCF-TF en Perú, los Gobernadores Amazónicos peruanos</w:t>
      </w:r>
      <w:r>
        <w:rPr>
          <w:rFonts w:ascii="Arial Narrow" w:eastAsia="Arial Narrow" w:hAnsi="Arial Narrow" w:cs="Arial Narrow"/>
          <w:sz w:val="20"/>
          <w:szCs w:val="20"/>
          <w:vertAlign w:val="superscript"/>
        </w:rPr>
        <w:footnoteReference w:id="8"/>
      </w:r>
      <w:r>
        <w:rPr>
          <w:rFonts w:ascii="Arial Narrow" w:eastAsia="Arial Narrow" w:hAnsi="Arial Narrow" w:cs="Arial Narrow"/>
          <w:sz w:val="20"/>
          <w:szCs w:val="20"/>
        </w:rPr>
        <w:t xml:space="preserve"> son cada vez más conscientes de la importancia de promover cambios transformacionales para promover el desarrollo rural bajo en emisiones de sus regiones. Existe gran expectativa, con base a la evidencia de otros estados miembros del GCF-TF, para generar resultados tempranos a favor de sus regiones. Esta voluntad no debe ser desaprovechada y debe potenciarse para generar un liderazgo que permita generar compromisos de los actores regionales necesarios para reducir la deforestación. Se considera que este Proyecto permitirá, a través de sus estrategias de comunicación y desarrollo de capacidades, fortalecer este liderazgo y generar capacidades en otros actores clave de modo tal que se pueda implementar el plan una vez aprobado. </w:t>
      </w:r>
    </w:p>
    <w:p w14:paraId="26C8E4B8" w14:textId="77777777" w:rsidR="00EA0A65" w:rsidRDefault="00EA0A65">
      <w:pPr>
        <w:widowControl w:val="0"/>
        <w:ind w:left="-284" w:right="-336"/>
        <w:jc w:val="both"/>
        <w:rPr>
          <w:rFonts w:ascii="Arial Narrow" w:eastAsia="Arial Narrow" w:hAnsi="Arial Narrow" w:cs="Arial Narrow"/>
          <w:sz w:val="20"/>
          <w:szCs w:val="20"/>
        </w:rPr>
      </w:pPr>
    </w:p>
    <w:p w14:paraId="31A90DE3" w14:textId="605148FF" w:rsidR="002A4D20" w:rsidRDefault="002A4D20" w:rsidP="002A4D20">
      <w:pPr>
        <w:widowControl w:val="0"/>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Por ello se considera que la elaboración de la estrategia y plan de DRBE es prioritario y urgente para organizar las intervenciones actuales y futuras, y orientarlas hacia esta meta. De igual modo, es necesario medir el impacto de estas políticas y asegurarse que están enfocadas en base a un análisis de causas de la deforestación que permita priorizar las acciones estratégicamente. </w:t>
      </w:r>
    </w:p>
    <w:p w14:paraId="03FB3D51" w14:textId="77777777" w:rsidR="00EA0A65" w:rsidRPr="00845CDC" w:rsidRDefault="002959E9">
      <w:pPr>
        <w:widowControl w:val="0"/>
        <w:ind w:left="-284" w:right="-336"/>
        <w:jc w:val="both"/>
        <w:rPr>
          <w:rFonts w:ascii="Arial Narrow" w:eastAsia="Arial Narrow" w:hAnsi="Arial Narrow" w:cs="Arial Narrow"/>
          <w:b/>
          <w:i/>
          <w:sz w:val="20"/>
          <w:szCs w:val="20"/>
        </w:rPr>
      </w:pPr>
      <w:r w:rsidRPr="00845CDC">
        <w:rPr>
          <w:rFonts w:ascii="Arial Narrow" w:eastAsia="Arial Narrow" w:hAnsi="Arial Narrow" w:cs="Arial Narrow"/>
          <w:b/>
          <w:i/>
          <w:sz w:val="20"/>
          <w:szCs w:val="20"/>
        </w:rPr>
        <w:lastRenderedPageBreak/>
        <w:t>Teoría del cambio</w:t>
      </w:r>
    </w:p>
    <w:p w14:paraId="296A399A" w14:textId="77777777" w:rsidR="006C6F5E" w:rsidRPr="00845CDC" w:rsidRDefault="006C6F5E">
      <w:pPr>
        <w:widowControl w:val="0"/>
        <w:ind w:left="-284" w:right="-336"/>
        <w:jc w:val="both"/>
        <w:rPr>
          <w:rFonts w:ascii="Arial Narrow" w:eastAsia="Arial Narrow" w:hAnsi="Arial Narrow" w:cs="Arial Narrow"/>
          <w:b/>
          <w:i/>
          <w:sz w:val="20"/>
          <w:szCs w:val="20"/>
        </w:rPr>
      </w:pPr>
    </w:p>
    <w:p w14:paraId="6D654118" w14:textId="02B735ED" w:rsidR="00F8316C" w:rsidRDefault="002959E9" w:rsidP="00F8316C">
      <w:pPr>
        <w:widowControl w:val="0"/>
        <w:ind w:left="-284" w:right="-336"/>
        <w:jc w:val="both"/>
        <w:rPr>
          <w:rFonts w:ascii="Arial Narrow" w:eastAsia="Arial Narrow" w:hAnsi="Arial Narrow" w:cs="Arial Narrow"/>
          <w:color w:val="26282A"/>
          <w:sz w:val="20"/>
          <w:szCs w:val="20"/>
        </w:rPr>
      </w:pPr>
      <w:r w:rsidRPr="00845CDC">
        <w:rPr>
          <w:rFonts w:ascii="Arial Narrow" w:eastAsia="Arial Narrow" w:hAnsi="Arial Narrow" w:cs="Arial Narrow"/>
          <w:sz w:val="20"/>
          <w:szCs w:val="20"/>
        </w:rPr>
        <w:t xml:space="preserve">La principal causa de la deforestación en Amazonas, que tiene lugar principalmente en su porción amazónica, es la expansión de la agricultura a pequeña y mediana escala, acompañada de tráfico de tierras. </w:t>
      </w:r>
      <w:r w:rsidR="00F8316C" w:rsidRPr="00845CDC">
        <w:rPr>
          <w:rFonts w:ascii="Arial Narrow" w:eastAsia="Arial Narrow" w:hAnsi="Arial Narrow" w:cs="Arial Narrow"/>
          <w:sz w:val="20"/>
          <w:szCs w:val="20"/>
        </w:rPr>
        <w:t xml:space="preserve">Tal como se ha señalado </w:t>
      </w:r>
      <w:r w:rsidR="00F8316C" w:rsidRPr="00845CDC">
        <w:rPr>
          <w:rFonts w:ascii="Arial Narrow" w:eastAsia="Arial Narrow" w:hAnsi="Arial Narrow" w:cs="Arial Narrow"/>
          <w:color w:val="26282A"/>
          <w:sz w:val="20"/>
          <w:szCs w:val="20"/>
        </w:rPr>
        <w:t xml:space="preserve">en la Región Amazonas la tendencia de la pérdida de bosques en ascendente. </w:t>
      </w:r>
      <w:r w:rsidR="00845CDC" w:rsidRPr="00845CDC">
        <w:rPr>
          <w:rFonts w:ascii="Arial Narrow" w:eastAsia="Arial Narrow" w:hAnsi="Arial Narrow" w:cs="Arial Narrow"/>
          <w:color w:val="26282A"/>
          <w:sz w:val="20"/>
          <w:szCs w:val="20"/>
        </w:rPr>
        <w:t xml:space="preserve">Tal como puede observarse en la Figura No 1. </w:t>
      </w:r>
      <w:r w:rsidR="00F8316C" w:rsidRPr="00845CDC">
        <w:rPr>
          <w:rFonts w:ascii="Arial Narrow" w:eastAsia="Arial Narrow" w:hAnsi="Arial Narrow" w:cs="Arial Narrow"/>
          <w:color w:val="26282A"/>
          <w:sz w:val="20"/>
          <w:szCs w:val="20"/>
        </w:rPr>
        <w:t>en el 2016 la deforestación fue de 6,983.91 hectáreas</w:t>
      </w:r>
      <w:r w:rsidR="00F8316C">
        <w:rPr>
          <w:rFonts w:ascii="Arial Narrow" w:eastAsia="Arial Narrow" w:hAnsi="Arial Narrow" w:cs="Arial Narrow"/>
          <w:color w:val="26282A"/>
          <w:sz w:val="20"/>
          <w:szCs w:val="20"/>
        </w:rPr>
        <w:t xml:space="preserve"> y que durante el período 2001-2016 se han perdido más de 72,372 hectáreas. Se ha identificado además que el 95% del tamaño de la pérdida es explicado por áreas menores a 5 hectáreas. En el 2016, el 59.25% de la deforestación se dio en áreas menores a 1 hectárea, mientras que el 31.86% de la deforestación por áreas entre 1 y 5 hectáreas. No se ha reportado pérdida en áreas mayores a 500 ha.  </w:t>
      </w:r>
    </w:p>
    <w:p w14:paraId="499C7534" w14:textId="77777777" w:rsidR="00845CDC" w:rsidRDefault="00845CDC" w:rsidP="00F8316C">
      <w:pPr>
        <w:widowControl w:val="0"/>
        <w:ind w:left="-284" w:right="-336"/>
        <w:jc w:val="both"/>
        <w:rPr>
          <w:rFonts w:ascii="Arial Narrow" w:eastAsia="Arial Narrow" w:hAnsi="Arial Narrow" w:cs="Arial Narrow"/>
          <w:color w:val="26282A"/>
          <w:sz w:val="20"/>
          <w:szCs w:val="20"/>
        </w:rPr>
      </w:pPr>
    </w:p>
    <w:p w14:paraId="124916E6" w14:textId="67B75B6C" w:rsidR="00845CDC" w:rsidRPr="00845CDC" w:rsidRDefault="00845CDC" w:rsidP="00845CDC">
      <w:pPr>
        <w:widowControl w:val="0"/>
        <w:ind w:left="-284" w:right="-336"/>
        <w:jc w:val="center"/>
        <w:rPr>
          <w:rFonts w:ascii="Arial Narrow" w:eastAsia="Arial Narrow" w:hAnsi="Arial Narrow" w:cs="Arial Narrow"/>
          <w:b/>
          <w:color w:val="26282A"/>
          <w:sz w:val="20"/>
          <w:szCs w:val="20"/>
        </w:rPr>
      </w:pPr>
      <w:r w:rsidRPr="00845CDC">
        <w:rPr>
          <w:rFonts w:ascii="Arial Narrow" w:eastAsia="Arial Narrow" w:hAnsi="Arial Narrow" w:cs="Arial Narrow"/>
          <w:b/>
          <w:color w:val="26282A"/>
          <w:sz w:val="20"/>
          <w:szCs w:val="20"/>
        </w:rPr>
        <w:t>Figura No 1 Tamaño de la pérdida de bosques en la Región Amazonas</w:t>
      </w:r>
    </w:p>
    <w:p w14:paraId="36FB74A9" w14:textId="48C36A5C" w:rsidR="00845CDC" w:rsidRPr="00F8316C" w:rsidRDefault="00845CDC" w:rsidP="00845CDC">
      <w:pPr>
        <w:widowControl w:val="0"/>
        <w:ind w:left="-284" w:right="-336"/>
        <w:jc w:val="center"/>
        <w:rPr>
          <w:rFonts w:ascii="Arial Narrow" w:eastAsia="Arial Narrow" w:hAnsi="Arial Narrow" w:cs="Arial Narrow"/>
          <w:sz w:val="20"/>
          <w:szCs w:val="20"/>
        </w:rPr>
      </w:pPr>
      <w:r w:rsidRPr="00845CDC">
        <w:rPr>
          <w:rFonts w:ascii="Arial Narrow" w:eastAsia="Arial Narrow" w:hAnsi="Arial Narrow" w:cs="Arial Narrow"/>
          <w:noProof/>
          <w:sz w:val="20"/>
          <w:szCs w:val="20"/>
          <w:lang w:val="es-ES_tradnl" w:eastAsia="es-ES_tradnl"/>
        </w:rPr>
        <w:drawing>
          <wp:inline distT="0" distB="0" distL="0" distR="0" wp14:anchorId="0BD43380" wp14:editId="4E22D9BD">
            <wp:extent cx="3705092" cy="1690001"/>
            <wp:effectExtent l="25400" t="25400" r="29210" b="374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378" r="12438" b="2352"/>
                    <a:stretch/>
                  </pic:blipFill>
                  <pic:spPr bwMode="auto">
                    <a:xfrm>
                      <a:off x="0" y="0"/>
                      <a:ext cx="3721923" cy="169767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07F176C" w14:textId="3447BB11" w:rsidR="00F8316C" w:rsidRDefault="00845CDC" w:rsidP="00845CDC">
      <w:pPr>
        <w:shd w:val="clear" w:color="auto" w:fill="FFFFFF"/>
        <w:ind w:left="-284" w:right="-336"/>
        <w:jc w:val="center"/>
        <w:rPr>
          <w:rFonts w:ascii="Arial Narrow" w:eastAsia="Arial Narrow" w:hAnsi="Arial Narrow" w:cs="Arial Narrow"/>
          <w:color w:val="26282A"/>
          <w:sz w:val="20"/>
          <w:szCs w:val="20"/>
        </w:rPr>
      </w:pPr>
      <w:r>
        <w:rPr>
          <w:rFonts w:ascii="Arial Narrow" w:eastAsia="Arial Narrow" w:hAnsi="Arial Narrow" w:cs="Arial Narrow"/>
          <w:color w:val="26282A"/>
          <w:sz w:val="20"/>
          <w:szCs w:val="20"/>
        </w:rPr>
        <w:t>Fuente: GEOBOSQUES, 2018</w:t>
      </w:r>
    </w:p>
    <w:p w14:paraId="76E8C7F1" w14:textId="77777777" w:rsidR="00845CDC" w:rsidRDefault="00845CDC" w:rsidP="00F8316C">
      <w:pPr>
        <w:shd w:val="clear" w:color="auto" w:fill="FFFFFF"/>
        <w:ind w:left="-284" w:right="-336"/>
        <w:jc w:val="both"/>
        <w:rPr>
          <w:rFonts w:ascii="Arial Narrow" w:eastAsia="Arial Narrow" w:hAnsi="Arial Narrow" w:cs="Arial Narrow"/>
          <w:color w:val="26282A"/>
          <w:sz w:val="20"/>
          <w:szCs w:val="20"/>
        </w:rPr>
      </w:pPr>
    </w:p>
    <w:p w14:paraId="06B2850C" w14:textId="1A3AE235" w:rsidR="00F8316C" w:rsidRDefault="00F8316C" w:rsidP="00F8316C">
      <w:pPr>
        <w:shd w:val="clear" w:color="auto" w:fill="FFFFFF"/>
        <w:ind w:left="-284" w:right="-336"/>
        <w:jc w:val="both"/>
        <w:rPr>
          <w:rFonts w:ascii="Arial Narrow" w:eastAsia="Arial Narrow" w:hAnsi="Arial Narrow" w:cs="Arial Narrow"/>
          <w:sz w:val="20"/>
          <w:szCs w:val="20"/>
        </w:rPr>
      </w:pPr>
      <w:r>
        <w:rPr>
          <w:rFonts w:ascii="Arial Narrow" w:eastAsia="Arial Narrow" w:hAnsi="Arial Narrow" w:cs="Arial Narrow"/>
          <w:color w:val="26282A"/>
          <w:sz w:val="20"/>
          <w:szCs w:val="20"/>
        </w:rPr>
        <w:t xml:space="preserve">De igual modo, la deforestación en Amazonas es localizada. </w:t>
      </w:r>
      <w:r w:rsidR="00845CDC">
        <w:rPr>
          <w:rFonts w:ascii="Arial Narrow" w:eastAsia="Arial Narrow" w:hAnsi="Arial Narrow" w:cs="Arial Narrow"/>
          <w:color w:val="26282A"/>
          <w:sz w:val="20"/>
          <w:szCs w:val="20"/>
        </w:rPr>
        <w:t>Tal como puede observarse en la Figura No 2, c</w:t>
      </w:r>
      <w:r>
        <w:rPr>
          <w:rFonts w:ascii="Arial Narrow" w:eastAsia="Arial Narrow" w:hAnsi="Arial Narrow" w:cs="Arial Narrow"/>
          <w:color w:val="26282A"/>
          <w:sz w:val="20"/>
          <w:szCs w:val="20"/>
        </w:rPr>
        <w:t>inco distritos en la Región explican el 67.58% de la pérdida de bosques en el 2016. Tres de ellos (Nieva, Rio Santiago y El Cenepa) pertenecen a la provincia de Condorcanqui</w:t>
      </w:r>
      <w:r>
        <w:rPr>
          <w:rFonts w:ascii="Arial Narrow" w:eastAsia="Arial Narrow" w:hAnsi="Arial Narrow" w:cs="Arial Narrow"/>
          <w:sz w:val="20"/>
          <w:szCs w:val="20"/>
          <w:vertAlign w:val="superscript"/>
        </w:rPr>
        <w:footnoteReference w:id="9"/>
      </w:r>
      <w:r>
        <w:rPr>
          <w:rFonts w:ascii="Arial Narrow" w:eastAsia="Arial Narrow" w:hAnsi="Arial Narrow" w:cs="Arial Narrow"/>
          <w:sz w:val="20"/>
          <w:szCs w:val="20"/>
        </w:rPr>
        <w:t xml:space="preserve">, por lo que se puede inferir que la deforestación está localizada a la expansión de la pequeña agricultura, sobre todo en tierras de comunidades nativas, la minería ilegal y la migración de colonos alrededor del eje carretero Bagua-Santa Maria de Nieva. </w:t>
      </w:r>
    </w:p>
    <w:p w14:paraId="6004C22D" w14:textId="77777777" w:rsidR="00845CDC" w:rsidRDefault="00845CDC" w:rsidP="00F8316C">
      <w:pPr>
        <w:shd w:val="clear" w:color="auto" w:fill="FFFFFF"/>
        <w:ind w:left="-284" w:right="-336"/>
        <w:jc w:val="both"/>
        <w:rPr>
          <w:rFonts w:ascii="Arial Narrow" w:eastAsia="Arial Narrow" w:hAnsi="Arial Narrow" w:cs="Arial Narrow"/>
          <w:sz w:val="20"/>
          <w:szCs w:val="20"/>
        </w:rPr>
      </w:pPr>
    </w:p>
    <w:p w14:paraId="7B1E7694" w14:textId="588FCE38" w:rsidR="00845CDC" w:rsidRPr="00845CDC" w:rsidRDefault="00845CDC" w:rsidP="00845CDC">
      <w:pPr>
        <w:shd w:val="clear" w:color="auto" w:fill="FFFFFF"/>
        <w:ind w:left="-284" w:right="-336"/>
        <w:jc w:val="center"/>
        <w:rPr>
          <w:rFonts w:ascii="Arial Narrow" w:eastAsia="Arial Narrow" w:hAnsi="Arial Narrow" w:cs="Arial Narrow"/>
          <w:b/>
          <w:sz w:val="20"/>
          <w:szCs w:val="20"/>
        </w:rPr>
      </w:pPr>
      <w:r w:rsidRPr="00845CDC">
        <w:rPr>
          <w:rFonts w:ascii="Arial Narrow" w:eastAsia="Arial Narrow" w:hAnsi="Arial Narrow" w:cs="Arial Narrow"/>
          <w:b/>
          <w:sz w:val="20"/>
          <w:szCs w:val="20"/>
        </w:rPr>
        <w:t>Figura No 2. Concentración de la pérdida de bosques (2011-2014)</w:t>
      </w:r>
    </w:p>
    <w:p w14:paraId="319A17A8" w14:textId="08750073" w:rsidR="00845CDC" w:rsidRDefault="00845CDC" w:rsidP="00845CDC">
      <w:pPr>
        <w:shd w:val="clear" w:color="auto" w:fill="FFFFFF"/>
        <w:ind w:left="-284" w:right="-336"/>
        <w:jc w:val="center"/>
        <w:rPr>
          <w:rFonts w:ascii="Arial Narrow" w:eastAsia="Arial Narrow" w:hAnsi="Arial Narrow" w:cs="Arial Narrow"/>
          <w:sz w:val="20"/>
          <w:szCs w:val="20"/>
        </w:rPr>
      </w:pPr>
      <w:r>
        <w:rPr>
          <w:rFonts w:ascii="Helvetica" w:hAnsi="Helvetica" w:cs="Helvetica"/>
          <w:noProof/>
          <w:lang w:val="es-ES_tradnl" w:eastAsia="es-ES_tradnl"/>
        </w:rPr>
        <w:drawing>
          <wp:inline distT="0" distB="0" distL="0" distR="0" wp14:anchorId="1583258D" wp14:editId="7F520702">
            <wp:extent cx="1427416" cy="2513453"/>
            <wp:effectExtent l="25400" t="25400" r="20955"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3820" cy="2542337"/>
                    </a:xfrm>
                    <a:prstGeom prst="rect">
                      <a:avLst/>
                    </a:prstGeom>
                    <a:noFill/>
                    <a:ln>
                      <a:solidFill>
                        <a:schemeClr val="tx1"/>
                      </a:solidFill>
                    </a:ln>
                  </pic:spPr>
                </pic:pic>
              </a:graphicData>
            </a:graphic>
          </wp:inline>
        </w:drawing>
      </w:r>
    </w:p>
    <w:p w14:paraId="50A412A7" w14:textId="75EE7E07" w:rsidR="00845CDC" w:rsidRPr="004025CB" w:rsidRDefault="00845CDC" w:rsidP="00845CDC">
      <w:pPr>
        <w:shd w:val="clear" w:color="auto" w:fill="FFFFFF"/>
        <w:ind w:left="-284" w:right="-336"/>
        <w:jc w:val="center"/>
        <w:rPr>
          <w:rFonts w:ascii="Arial Narrow" w:eastAsia="Arial Narrow" w:hAnsi="Arial Narrow" w:cs="Arial Narrow"/>
          <w:color w:val="26282A"/>
          <w:sz w:val="18"/>
          <w:szCs w:val="18"/>
        </w:rPr>
      </w:pPr>
      <w:r w:rsidRPr="004025CB">
        <w:rPr>
          <w:rFonts w:ascii="Arial Narrow" w:eastAsia="Arial Narrow" w:hAnsi="Arial Narrow" w:cs="Arial Narrow"/>
          <w:color w:val="26282A"/>
          <w:sz w:val="18"/>
          <w:szCs w:val="18"/>
        </w:rPr>
        <w:t>Fuente: GEOBOSQUES, 2018</w:t>
      </w:r>
    </w:p>
    <w:p w14:paraId="02D862EF" w14:textId="77777777" w:rsidR="00845CDC" w:rsidRDefault="00845CDC">
      <w:pPr>
        <w:widowControl w:val="0"/>
        <w:ind w:left="-284" w:right="-336"/>
        <w:jc w:val="both"/>
        <w:rPr>
          <w:rFonts w:ascii="Arial Narrow" w:eastAsia="Arial Narrow" w:hAnsi="Arial Narrow" w:cs="Arial Narrow"/>
          <w:sz w:val="20"/>
          <w:szCs w:val="20"/>
        </w:rPr>
      </w:pPr>
    </w:p>
    <w:p w14:paraId="3C6F983A" w14:textId="1FD447EE" w:rsidR="00EA0A65" w:rsidRDefault="00845CDC" w:rsidP="00845CDC">
      <w:pPr>
        <w:widowControl w:val="0"/>
        <w:ind w:left="-284" w:right="-336"/>
        <w:jc w:val="both"/>
        <w:rPr>
          <w:rFonts w:ascii="Arial Narrow" w:eastAsia="Arial Narrow" w:hAnsi="Arial Narrow" w:cs="Arial Narrow"/>
          <w:sz w:val="20"/>
          <w:szCs w:val="20"/>
        </w:rPr>
        <w:sectPr w:rsidR="00EA0A65">
          <w:footerReference w:type="even" r:id="rId16"/>
          <w:footerReference w:type="default" r:id="rId17"/>
          <w:pgSz w:w="11900" w:h="16840"/>
          <w:pgMar w:top="1440" w:right="1440" w:bottom="1440" w:left="1440" w:header="720" w:footer="720" w:gutter="0"/>
          <w:pgNumType w:start="1"/>
          <w:cols w:space="720"/>
        </w:sectPr>
      </w:pPr>
      <w:r>
        <w:rPr>
          <w:rFonts w:ascii="Arial Narrow" w:eastAsia="Arial Narrow" w:hAnsi="Arial Narrow" w:cs="Arial Narrow"/>
          <w:sz w:val="20"/>
          <w:szCs w:val="20"/>
        </w:rPr>
        <w:t>En la Figura 3</w:t>
      </w:r>
      <w:r w:rsidR="002959E9">
        <w:rPr>
          <w:rFonts w:ascii="Arial Narrow" w:eastAsia="Arial Narrow" w:hAnsi="Arial Narrow" w:cs="Arial Narrow"/>
          <w:sz w:val="20"/>
          <w:szCs w:val="20"/>
        </w:rPr>
        <w:t>, de la página siguiente, se muestra de manera preliminar</w:t>
      </w:r>
      <w:r w:rsidR="002959E9">
        <w:rPr>
          <w:rFonts w:ascii="Arial Narrow" w:eastAsia="Arial Narrow" w:hAnsi="Arial Narrow" w:cs="Arial Narrow"/>
          <w:sz w:val="20"/>
          <w:szCs w:val="20"/>
          <w:vertAlign w:val="superscript"/>
        </w:rPr>
        <w:footnoteReference w:id="10"/>
      </w:r>
      <w:r w:rsidR="002959E9">
        <w:rPr>
          <w:rFonts w:ascii="Arial Narrow" w:eastAsia="Arial Narrow" w:hAnsi="Arial Narrow" w:cs="Arial Narrow"/>
          <w:sz w:val="20"/>
          <w:szCs w:val="20"/>
        </w:rPr>
        <w:t xml:space="preserve"> las principales causas directas e indirectas que generan que la deforestación aumente en Amazonas y por lo tanto no se pueda cumplir con los compromisos asumidos en la Declaración de Rio Branco. La expansión de la pequeña y mediana agricultura es incentivada por un conjunto de causas subyacentes como el limitado acceso a incentivos para una producción sostenible, políticas de desarrollo desarticuladas y sin salvaguardas, la demanda del mercado, el desarrollo de economías ilegales  (cultivos ilícitos, tala ilegal, tráfico de tierras, etc.), la falta de ordenamiento y asignación de derechos bajo un catastro ordenado además de la limitada puesta en valor del bosque. </w:t>
      </w:r>
      <w:r w:rsidR="002959E9">
        <w:br w:type="page"/>
      </w:r>
    </w:p>
    <w:p w14:paraId="592FC5D7" w14:textId="5C02CA31" w:rsidR="0060648B" w:rsidRDefault="00845CDC" w:rsidP="0018117A">
      <w:pPr>
        <w:ind w:left="-567" w:right="-567"/>
        <w:jc w:val="center"/>
        <w:rPr>
          <w:rFonts w:ascii="Arial Narrow" w:eastAsia="Arial Narrow" w:hAnsi="Arial Narrow" w:cs="Arial Narrow"/>
          <w:sz w:val="20"/>
          <w:szCs w:val="20"/>
        </w:rPr>
      </w:pPr>
      <w:r>
        <w:rPr>
          <w:rFonts w:ascii="Arial Narrow" w:eastAsia="Arial Narrow" w:hAnsi="Arial Narrow" w:cs="Arial Narrow"/>
          <w:b/>
          <w:sz w:val="22"/>
          <w:szCs w:val="22"/>
        </w:rPr>
        <w:lastRenderedPageBreak/>
        <w:t>Figura 3</w:t>
      </w:r>
      <w:r w:rsidR="002959E9">
        <w:rPr>
          <w:rFonts w:ascii="Arial Narrow" w:eastAsia="Arial Narrow" w:hAnsi="Arial Narrow" w:cs="Arial Narrow"/>
          <w:b/>
          <w:sz w:val="22"/>
          <w:szCs w:val="22"/>
        </w:rPr>
        <w:t>: Esquema de la Teoría del Cambio</w:t>
      </w:r>
      <w:r w:rsidR="00C30001" w:rsidRPr="00C30001">
        <w:rPr>
          <w:noProof/>
        </w:rPr>
        <w:t xml:space="preserve"> </w:t>
      </w:r>
    </w:p>
    <w:p w14:paraId="23E2B975" w14:textId="6020E46D" w:rsidR="00F86489" w:rsidRPr="00F86489" w:rsidRDefault="00F86489" w:rsidP="0060648B">
      <w:pPr>
        <w:pStyle w:val="NoSpacing"/>
        <w:ind w:left="-284"/>
        <w:rPr>
          <w:rFonts w:eastAsia="Arial Narrow"/>
          <w:sz w:val="20"/>
          <w:szCs w:val="20"/>
        </w:rPr>
      </w:pPr>
      <w:r>
        <w:rPr>
          <w:rFonts w:eastAsia="Arial Narrow"/>
          <w:noProof/>
          <w:lang w:val="es-ES_tradnl" w:eastAsia="es-ES_tradnl"/>
        </w:rPr>
        <w:drawing>
          <wp:inline distT="0" distB="0" distL="0" distR="0" wp14:anchorId="1B23501B" wp14:editId="1ACE58AD">
            <wp:extent cx="9293469" cy="5267279"/>
            <wp:effectExtent l="19050" t="19050" r="2222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4628" cy="5284939"/>
                    </a:xfrm>
                    <a:prstGeom prst="rect">
                      <a:avLst/>
                    </a:prstGeom>
                    <a:noFill/>
                    <a:ln>
                      <a:solidFill>
                        <a:schemeClr val="accent3">
                          <a:lumMod val="50000"/>
                        </a:schemeClr>
                      </a:solidFill>
                    </a:ln>
                  </pic:spPr>
                </pic:pic>
              </a:graphicData>
            </a:graphic>
          </wp:inline>
        </w:drawing>
      </w:r>
    </w:p>
    <w:p w14:paraId="4256E0BB" w14:textId="792CA19D" w:rsidR="00EA0A65" w:rsidRPr="004025CB" w:rsidRDefault="002959E9" w:rsidP="00F86489">
      <w:pPr>
        <w:rPr>
          <w:rFonts w:ascii="Arial Narrow" w:eastAsia="Arial Narrow" w:hAnsi="Arial Narrow" w:cs="Arial Narrow"/>
          <w:b/>
          <w:sz w:val="18"/>
          <w:szCs w:val="18"/>
        </w:rPr>
      </w:pPr>
      <w:r w:rsidRPr="004025CB">
        <w:rPr>
          <w:rFonts w:ascii="Arial Narrow" w:eastAsia="Arial Narrow" w:hAnsi="Arial Narrow" w:cs="Arial Narrow"/>
          <w:sz w:val="18"/>
          <w:szCs w:val="18"/>
        </w:rPr>
        <w:t>Fuente: Elaboración propia</w:t>
      </w:r>
    </w:p>
    <w:p w14:paraId="19F84A57" w14:textId="78F1FA1B" w:rsidR="006D2466" w:rsidRPr="006D2466" w:rsidRDefault="006D2466">
      <w:pPr>
        <w:widowControl w:val="0"/>
        <w:pBdr>
          <w:top w:val="nil"/>
          <w:left w:val="nil"/>
          <w:bottom w:val="nil"/>
          <w:right w:val="nil"/>
          <w:between w:val="nil"/>
        </w:pBdr>
        <w:spacing w:line="276" w:lineRule="auto"/>
        <w:rPr>
          <w:rPrChange w:id="5" w:author="Matthew Warren" w:date="2018-07-13T09:58:00Z">
            <w:rPr>
              <w:rFonts w:ascii="Arial Narrow" w:eastAsia="Arial Narrow" w:hAnsi="Arial Narrow" w:cs="Arial Narrow"/>
              <w:b/>
              <w:sz w:val="20"/>
              <w:szCs w:val="20"/>
            </w:rPr>
          </w:rPrChange>
        </w:rPr>
        <w:sectPr w:rsidR="006D2466" w:rsidRPr="006D2466" w:rsidSect="0018117A">
          <w:pgSz w:w="16840" w:h="11900" w:orient="landscape"/>
          <w:pgMar w:top="1440" w:right="1440" w:bottom="1440" w:left="1440" w:header="720" w:footer="720" w:gutter="0"/>
          <w:cols w:space="720"/>
          <w:docGrid w:linePitch="326"/>
        </w:sectPr>
      </w:pPr>
    </w:p>
    <w:p w14:paraId="5A21D60A" w14:textId="77777777" w:rsidR="00845CDC" w:rsidRDefault="00845CDC" w:rsidP="00845CDC">
      <w:pPr>
        <w:ind w:left="-284" w:right="-336"/>
        <w:jc w:val="both"/>
        <w:rPr>
          <w:rFonts w:ascii="Arial Narrow" w:eastAsia="Arial Narrow" w:hAnsi="Arial Narrow" w:cs="Arial Narrow"/>
          <w:sz w:val="20"/>
          <w:szCs w:val="20"/>
        </w:rPr>
      </w:pPr>
    </w:p>
    <w:p w14:paraId="5C29181F" w14:textId="77777777" w:rsidR="00B0749C" w:rsidRDefault="00845CDC" w:rsidP="00845CDC">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Estas causas subyacentes tienen como elemento común que son consecuencia, entre otros factores, de políticas de desarrollo regional no articuladas bajo un enfoque de crecimiento verde y de gestión integrada de paisajes, la falta de recursos e incentivos para ser implementadas, y una débil articulación entre actores. Para abordar esta situación se ha identificado que es necesario promover una gestión integrada de la Región Amazonas bajo un enfoque de paisaje y crecimiento verde que permita alinear las políticas, incentivos, mejorar el otorgamiento de derechos y poner en valor el bosque. </w:t>
      </w:r>
    </w:p>
    <w:p w14:paraId="27696DC7" w14:textId="77777777" w:rsidR="00B0749C" w:rsidRDefault="00B0749C" w:rsidP="00845CDC">
      <w:pPr>
        <w:ind w:left="-284" w:right="-336"/>
        <w:jc w:val="both"/>
        <w:rPr>
          <w:rFonts w:ascii="Arial Narrow" w:eastAsia="Arial Narrow" w:hAnsi="Arial Narrow" w:cs="Arial Narrow"/>
          <w:sz w:val="20"/>
          <w:szCs w:val="20"/>
        </w:rPr>
      </w:pPr>
    </w:p>
    <w:p w14:paraId="5F1D2029" w14:textId="2F8F4C28" w:rsidR="00845CDC" w:rsidRDefault="00845CDC" w:rsidP="00845CDC">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De igual modo es necesario promover una agricultura familiar competitiva y eficiente que pueda acceder a mercados que generen una alta rentabilidad y trabajen bajo estándares de sostenibilidad. Incrementar productividad y generar mayor riqueza es fundamental para que las inversiones necesarias para el mantenimiento de la capacidad productiva de los suelos puedan tener lugar. La importante presencia de comunidades nativas en la mayor parte de la actual superficie de bosques de la región es una característica fundamental que orientará el diseño de la estrategia. </w:t>
      </w:r>
    </w:p>
    <w:p w14:paraId="12A53D91" w14:textId="77777777" w:rsidR="00B0749C" w:rsidRDefault="00B0749C" w:rsidP="00845CDC">
      <w:pPr>
        <w:ind w:left="-284" w:right="-336"/>
        <w:jc w:val="both"/>
        <w:rPr>
          <w:rFonts w:ascii="Arial Narrow" w:eastAsia="Arial Narrow" w:hAnsi="Arial Narrow" w:cs="Arial Narrow"/>
          <w:sz w:val="20"/>
          <w:szCs w:val="20"/>
        </w:rPr>
      </w:pPr>
    </w:p>
    <w:p w14:paraId="7B67BFA0" w14:textId="77777777" w:rsidR="00845CDC" w:rsidRDefault="00845CDC" w:rsidP="00845CDC">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La necesidad y pertinencia de atender grupos poblacionales y condiciones ecológicas bastante diferentes debería llevar a diseñar programas de intervención específicos y diferenciados, lo que sin duda se reflejará en la estrategia y plan. </w:t>
      </w:r>
    </w:p>
    <w:p w14:paraId="735334E9" w14:textId="77777777" w:rsidR="00845CDC" w:rsidRDefault="00845CDC">
      <w:pPr>
        <w:ind w:left="-284" w:right="-336"/>
        <w:rPr>
          <w:rFonts w:ascii="Arial Narrow" w:eastAsia="Arial Narrow" w:hAnsi="Arial Narrow" w:cs="Arial Narrow"/>
          <w:b/>
          <w:sz w:val="20"/>
          <w:szCs w:val="20"/>
        </w:rPr>
      </w:pPr>
    </w:p>
    <w:p w14:paraId="6548AE5D" w14:textId="77777777" w:rsidR="00EA0A65" w:rsidRDefault="002959E9">
      <w:pPr>
        <w:ind w:left="-284" w:right="-336"/>
        <w:rPr>
          <w:rFonts w:ascii="Arial Narrow" w:eastAsia="Arial Narrow" w:hAnsi="Arial Narrow" w:cs="Arial Narrow"/>
          <w:b/>
          <w:sz w:val="20"/>
          <w:szCs w:val="20"/>
        </w:rPr>
      </w:pPr>
      <w:r>
        <w:rPr>
          <w:rFonts w:ascii="Arial Narrow" w:eastAsia="Arial Narrow" w:hAnsi="Arial Narrow" w:cs="Arial Narrow"/>
          <w:b/>
          <w:sz w:val="20"/>
          <w:szCs w:val="20"/>
        </w:rPr>
        <w:t xml:space="preserve">Situación de inicio previa de la intervención del proyecto </w:t>
      </w:r>
    </w:p>
    <w:p w14:paraId="37E5F1BD" w14:textId="77777777" w:rsidR="00A65C28" w:rsidRDefault="00A65C28" w:rsidP="0095221B">
      <w:pPr>
        <w:ind w:left="-284" w:right="-336"/>
        <w:jc w:val="both"/>
        <w:rPr>
          <w:rFonts w:ascii="Arial Narrow" w:eastAsia="Arial Narrow" w:hAnsi="Arial Narrow" w:cs="Arial Narrow"/>
          <w:sz w:val="20"/>
          <w:szCs w:val="20"/>
        </w:rPr>
      </w:pPr>
    </w:p>
    <w:p w14:paraId="1CD6EF6E" w14:textId="77777777" w:rsidR="00B0749C" w:rsidRDefault="002959E9" w:rsidP="00B0749C">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A inicios de abril del 2018 se ha determinado que el G</w:t>
      </w:r>
      <w:r w:rsidR="00A65C28">
        <w:rPr>
          <w:rFonts w:ascii="Arial Narrow" w:eastAsia="Arial Narrow" w:hAnsi="Arial Narrow" w:cs="Arial Narrow"/>
          <w:sz w:val="20"/>
          <w:szCs w:val="20"/>
        </w:rPr>
        <w:t xml:space="preserve">obierno Regional de Amazonas </w:t>
      </w:r>
      <w:r>
        <w:rPr>
          <w:rFonts w:ascii="Arial Narrow" w:eastAsia="Arial Narrow" w:hAnsi="Arial Narrow" w:cs="Arial Narrow"/>
          <w:sz w:val="20"/>
          <w:szCs w:val="20"/>
        </w:rPr>
        <w:t xml:space="preserve">ha avanzado en la construcción de instrumentos de planificación para promover el desarrollo regional, adaptarse y mitigar el cambio climático, y conservar la biodiversidad. </w:t>
      </w:r>
      <w:r w:rsidR="00604B11">
        <w:rPr>
          <w:rFonts w:ascii="Arial Narrow" w:eastAsia="Arial Narrow" w:hAnsi="Arial Narrow" w:cs="Arial Narrow"/>
          <w:sz w:val="20"/>
          <w:szCs w:val="20"/>
        </w:rPr>
        <w:t xml:space="preserve">De igual modo ha </w:t>
      </w:r>
      <w:r>
        <w:rPr>
          <w:rFonts w:ascii="Arial Narrow" w:eastAsia="Arial Narrow" w:hAnsi="Arial Narrow" w:cs="Arial Narrow"/>
          <w:sz w:val="20"/>
          <w:szCs w:val="20"/>
        </w:rPr>
        <w:t>promovido políticas públicas para la conservación de los bosques y desarrollo agrario, lo que ha permitido avances iniciales en el ordenamiento forestal, el establecimiento de áreas naturales protegidas de administración nacional y regional, y el reconocimiento de las dinámicas territoriales de los pueblos Awajún y Wampis</w:t>
      </w:r>
      <w:r w:rsidR="0095221B">
        <w:rPr>
          <w:rFonts w:ascii="Arial Narrow" w:eastAsia="Arial Narrow" w:hAnsi="Arial Narrow" w:cs="Arial Narrow"/>
          <w:sz w:val="20"/>
          <w:szCs w:val="20"/>
        </w:rPr>
        <w:t>, aun cuando el carácter de región andina y amazónica no ha facilitado este último proceso.</w:t>
      </w:r>
      <w:r w:rsidR="00B0749C">
        <w:rPr>
          <w:rFonts w:ascii="Arial Narrow" w:eastAsia="Arial Narrow" w:hAnsi="Arial Narrow" w:cs="Arial Narrow"/>
          <w:sz w:val="20"/>
          <w:szCs w:val="20"/>
        </w:rPr>
        <w:t xml:space="preserve"> </w:t>
      </w:r>
    </w:p>
    <w:p w14:paraId="6E7BCDA2" w14:textId="77777777" w:rsidR="00B0749C" w:rsidRDefault="00B0749C" w:rsidP="00B0749C">
      <w:pPr>
        <w:ind w:left="-284" w:right="-336"/>
        <w:jc w:val="both"/>
        <w:rPr>
          <w:rFonts w:ascii="Arial Narrow" w:eastAsia="Arial Narrow" w:hAnsi="Arial Narrow" w:cs="Arial Narrow"/>
          <w:sz w:val="20"/>
          <w:szCs w:val="20"/>
        </w:rPr>
      </w:pPr>
    </w:p>
    <w:p w14:paraId="1E8CA947" w14:textId="77777777" w:rsidR="00B0749C" w:rsidRDefault="002959E9" w:rsidP="00B0749C">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Sin embargo, también se ha determinado que estos instrumentos de planificación no están articulados, lo que puede generar políticas contradictorias. Como herencia del proceso de descentralización en Perú, las diferentes áreas del gobierno regional han desarrollado instrumentos “sectoriales” correspondientes a su área de competencia, que no se integran o retroalimentan entre si. De igual modo, </w:t>
      </w:r>
      <w:r w:rsidR="00B0749C">
        <w:rPr>
          <w:rFonts w:ascii="Arial Narrow" w:eastAsia="Arial Narrow" w:hAnsi="Arial Narrow" w:cs="Arial Narrow"/>
          <w:sz w:val="20"/>
          <w:szCs w:val="20"/>
        </w:rPr>
        <w:t xml:space="preserve">si bien los instrumentos aprobados abordar estrategias para conservar bosques no se propone la transformación de las actividades productivas que generan la deforestación o propone acciones para reducir el impacto de algunas actividades ilegales como la minería ilegal. </w:t>
      </w:r>
    </w:p>
    <w:p w14:paraId="58F8CEF9" w14:textId="77777777" w:rsidR="00B0749C" w:rsidRDefault="00B0749C" w:rsidP="00B0749C">
      <w:pPr>
        <w:ind w:left="-284" w:right="-336"/>
        <w:jc w:val="both"/>
        <w:rPr>
          <w:rFonts w:ascii="Arial Narrow" w:eastAsia="Arial Narrow" w:hAnsi="Arial Narrow" w:cs="Arial Narrow"/>
          <w:sz w:val="20"/>
          <w:szCs w:val="20"/>
        </w:rPr>
      </w:pPr>
    </w:p>
    <w:p w14:paraId="47FFA860" w14:textId="1546D227" w:rsidR="00EA0A65" w:rsidRDefault="00B0749C" w:rsidP="00B0749C">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Finalmente </w:t>
      </w:r>
      <w:r w:rsidR="002959E9">
        <w:rPr>
          <w:rFonts w:ascii="Arial Narrow" w:eastAsia="Arial Narrow" w:hAnsi="Arial Narrow" w:cs="Arial Narrow"/>
          <w:sz w:val="20"/>
          <w:szCs w:val="20"/>
        </w:rPr>
        <w:t xml:space="preserve">si bien muchos de los instrumentos señalados en la autoevaluación han sido construidos a través de procesos participativos todavía no se han desarrollados los acuerdos con actores claves (p.ej. comunidades campesinas, nativas o asociaciones de productores agrarios o empresas) para transformar aquellas causas directas e indirectas que incentivan la deforestación en Amazonas. </w:t>
      </w:r>
    </w:p>
    <w:p w14:paraId="35EB411E" w14:textId="77777777" w:rsidR="00EA0A65" w:rsidRDefault="00EA0A65">
      <w:pPr>
        <w:ind w:left="-284" w:right="-336"/>
        <w:rPr>
          <w:rFonts w:ascii="Arial Narrow" w:eastAsia="Arial Narrow" w:hAnsi="Arial Narrow" w:cs="Arial Narrow"/>
          <w:sz w:val="20"/>
          <w:szCs w:val="20"/>
        </w:rPr>
      </w:pPr>
    </w:p>
    <w:p w14:paraId="1D2DF85D" w14:textId="77777777" w:rsidR="00EA0A65" w:rsidRDefault="002959E9">
      <w:pPr>
        <w:ind w:left="-284" w:right="-336"/>
        <w:rPr>
          <w:rFonts w:ascii="Arial Narrow" w:eastAsia="Arial Narrow" w:hAnsi="Arial Narrow" w:cs="Arial Narrow"/>
          <w:b/>
          <w:sz w:val="20"/>
          <w:szCs w:val="20"/>
        </w:rPr>
      </w:pPr>
      <w:r>
        <w:rPr>
          <w:rFonts w:ascii="Arial Narrow" w:eastAsia="Arial Narrow" w:hAnsi="Arial Narrow" w:cs="Arial Narrow"/>
          <w:b/>
          <w:sz w:val="20"/>
          <w:szCs w:val="20"/>
        </w:rPr>
        <w:t xml:space="preserve">Situación esperada después del proyecto </w:t>
      </w:r>
    </w:p>
    <w:p w14:paraId="2A1D144C" w14:textId="77777777" w:rsidR="00B0749C" w:rsidRDefault="00B0749C">
      <w:pPr>
        <w:ind w:left="-284" w:right="-336"/>
        <w:rPr>
          <w:rFonts w:ascii="Arial Narrow" w:eastAsia="Arial Narrow" w:hAnsi="Arial Narrow" w:cs="Arial Narrow"/>
          <w:b/>
          <w:sz w:val="20"/>
          <w:szCs w:val="20"/>
        </w:rPr>
      </w:pPr>
    </w:p>
    <w:p w14:paraId="079DC0CF" w14:textId="3B2F1EE0"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Gracias a la intervención de este proyecto, que es promovido y será liderado por el Gobierno Regional de Amazonas, se espera que el Gobierno Regional y los principales actores de esta región</w:t>
      </w:r>
      <w:r w:rsidR="00B0749C">
        <w:rPr>
          <w:rFonts w:ascii="Arial Narrow" w:eastAsia="Arial Narrow" w:hAnsi="Arial Narrow" w:cs="Arial Narrow"/>
          <w:sz w:val="20"/>
          <w:szCs w:val="20"/>
        </w:rPr>
        <w:t xml:space="preserve"> – especialmente los pueblos indígenas y mujeres rurales- construyan una estrategia de desarrollo rural bajo en emisiones para la región y un plan de inversión desarrollando </w:t>
      </w:r>
      <w:r>
        <w:rPr>
          <w:rFonts w:ascii="Arial Narrow" w:eastAsia="Arial Narrow" w:hAnsi="Arial Narrow" w:cs="Arial Narrow"/>
          <w:sz w:val="20"/>
          <w:szCs w:val="20"/>
        </w:rPr>
        <w:t>destrezas, durante este proceso, que les permiten afianzar su liderazgo para gestionar su jurisdicción bajo un enfoque de paisajes, promover el desarrollo rural bajo en emisiones, incrementar su producción y competitividad mientras reducen la deforestación y cumplen con sus compromisos nacionales e internacionales de reducción de emisiones de gases de efecto invernadero asociadas al cambio de uso del suelo.</w:t>
      </w:r>
    </w:p>
    <w:p w14:paraId="49FA8171" w14:textId="77777777" w:rsidR="00EA0A65" w:rsidRDefault="00EA0A65">
      <w:pPr>
        <w:ind w:left="-284" w:right="-336"/>
        <w:jc w:val="both"/>
        <w:rPr>
          <w:rFonts w:ascii="Arial Narrow" w:eastAsia="Arial Narrow" w:hAnsi="Arial Narrow" w:cs="Arial Narrow"/>
          <w:sz w:val="20"/>
          <w:szCs w:val="20"/>
        </w:rPr>
      </w:pPr>
    </w:p>
    <w:p w14:paraId="08B18C93" w14:textId="1E6A9E13" w:rsidR="00B0749C" w:rsidRDefault="00B0749C" w:rsidP="00B0749C">
      <w:pPr>
        <w:shd w:val="clear" w:color="auto" w:fill="FFFFFF"/>
        <w:ind w:left="-284" w:right="-336"/>
        <w:jc w:val="both"/>
        <w:rPr>
          <w:rFonts w:ascii="Arial Narrow" w:eastAsia="Arial Narrow" w:hAnsi="Arial Narrow" w:cs="Arial Narrow"/>
          <w:color w:val="26282A"/>
          <w:sz w:val="20"/>
          <w:szCs w:val="20"/>
        </w:rPr>
      </w:pPr>
      <w:r>
        <w:rPr>
          <w:rFonts w:ascii="Arial Narrow" w:eastAsia="Arial Narrow" w:hAnsi="Arial Narrow" w:cs="Arial Narrow"/>
          <w:sz w:val="20"/>
          <w:szCs w:val="20"/>
        </w:rPr>
        <w:t>De esta manera al final del proyecto se espera que el Gobierno Regional cuente con:</w:t>
      </w:r>
      <w:r w:rsidRPr="00B0749C">
        <w:rPr>
          <w:rFonts w:ascii="Arial Narrow" w:eastAsia="Arial Narrow" w:hAnsi="Arial Narrow" w:cs="Arial Narrow"/>
          <w:color w:val="26282A"/>
          <w:sz w:val="20"/>
          <w:szCs w:val="20"/>
        </w:rPr>
        <w:t xml:space="preserve"> </w:t>
      </w:r>
      <w:r>
        <w:rPr>
          <w:rFonts w:ascii="Arial Narrow" w:eastAsia="Arial Narrow" w:hAnsi="Arial Narrow" w:cs="Arial Narrow"/>
          <w:color w:val="26282A"/>
          <w:sz w:val="20"/>
          <w:szCs w:val="20"/>
        </w:rPr>
        <w:t xml:space="preserve">1) una estrategia de desarrollo rural bajo en emisiones y un plan de inversión para su implementación elaborado, validado y acordado con actores clave a escala de la Región que permitan implementar de manera sinérgica y convergente acciones, en curso y futuras, para incrementar la producción, conservar los bosques y  reducir la deforestación de modo tal que se promueva un desarrollo rural bajo en emisiones en esta jurisdicción, 2) fortalecer al gobierno regional y actores clave, durante el proceso de elaboración de estos instrumentos para liderar la aplicación, monitoreo y sistematización de lecciones aprendidas, mientras retroalimentan y adaptan sus actividades para promover un desarrollo rural bajo en emisiones, 3) promover acuerdos para la implementación de estos instrumentos con actores claves; y 4) identificar los recursos necesarios y estrategias financieras apropiadas para implementar estos instrumentos de planificación además de definir las fuentes de financiamiento, público y privado, disponibles y potenciales, y prioridades de inversión. </w:t>
      </w:r>
    </w:p>
    <w:p w14:paraId="2C17B8BF" w14:textId="05DCA610" w:rsidR="00B0749C" w:rsidRDefault="00B0749C">
      <w:pPr>
        <w:ind w:left="-284" w:right="-336"/>
        <w:jc w:val="both"/>
        <w:rPr>
          <w:rFonts w:ascii="Arial Narrow" w:eastAsia="Arial Narrow" w:hAnsi="Arial Narrow" w:cs="Arial Narrow"/>
          <w:sz w:val="20"/>
          <w:szCs w:val="20"/>
        </w:rPr>
      </w:pPr>
    </w:p>
    <w:p w14:paraId="6837A815" w14:textId="77777777" w:rsidR="00B0749C" w:rsidRDefault="00B0749C">
      <w:pPr>
        <w:ind w:left="-284" w:right="-336"/>
        <w:jc w:val="both"/>
        <w:rPr>
          <w:rFonts w:ascii="Arial Narrow" w:eastAsia="Arial Narrow" w:hAnsi="Arial Narrow" w:cs="Arial Narrow"/>
          <w:sz w:val="20"/>
          <w:szCs w:val="20"/>
        </w:rPr>
      </w:pPr>
    </w:p>
    <w:p w14:paraId="3A38279D" w14:textId="77777777" w:rsidR="00B0749C" w:rsidRDefault="00B0749C">
      <w:pPr>
        <w:ind w:left="-284" w:right="-336"/>
        <w:jc w:val="both"/>
        <w:rPr>
          <w:rFonts w:ascii="Arial Narrow" w:eastAsia="Arial Narrow" w:hAnsi="Arial Narrow" w:cs="Arial Narrow"/>
          <w:sz w:val="20"/>
          <w:szCs w:val="20"/>
        </w:rPr>
      </w:pPr>
    </w:p>
    <w:p w14:paraId="2A44A764" w14:textId="18CBF340"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Cabe precisar que </w:t>
      </w:r>
      <w:r w:rsidR="00B0749C">
        <w:rPr>
          <w:rFonts w:ascii="Arial Narrow" w:eastAsia="Arial Narrow" w:hAnsi="Arial Narrow" w:cs="Arial Narrow"/>
          <w:sz w:val="20"/>
          <w:szCs w:val="20"/>
        </w:rPr>
        <w:t>se espera que la estrategia y</w:t>
      </w:r>
      <w:r>
        <w:rPr>
          <w:rFonts w:ascii="Arial Narrow" w:eastAsia="Arial Narrow" w:hAnsi="Arial Narrow" w:cs="Arial Narrow"/>
          <w:sz w:val="20"/>
          <w:szCs w:val="20"/>
        </w:rPr>
        <w:t xml:space="preserve"> plan de inversiones a construir con este proyecto </w:t>
      </w:r>
      <w:r w:rsidR="00B0749C">
        <w:rPr>
          <w:rFonts w:ascii="Arial Narrow" w:eastAsia="Arial Narrow" w:hAnsi="Arial Narrow" w:cs="Arial Narrow"/>
          <w:sz w:val="20"/>
          <w:szCs w:val="20"/>
        </w:rPr>
        <w:t xml:space="preserve">retroalimentará </w:t>
      </w:r>
      <w:r>
        <w:rPr>
          <w:rFonts w:ascii="Arial Narrow" w:eastAsia="Arial Narrow" w:hAnsi="Arial Narrow" w:cs="Arial Narrow"/>
          <w:sz w:val="20"/>
          <w:szCs w:val="20"/>
        </w:rPr>
        <w:t>otros instrumentos aprobados o formu</w:t>
      </w:r>
      <w:r w:rsidR="00B0749C">
        <w:rPr>
          <w:rFonts w:ascii="Arial Narrow" w:eastAsia="Arial Narrow" w:hAnsi="Arial Narrow" w:cs="Arial Narrow"/>
          <w:sz w:val="20"/>
          <w:szCs w:val="20"/>
        </w:rPr>
        <w:t xml:space="preserve">lados (PDRC, ERCC, ERDB, etc.) y definir como </w:t>
      </w:r>
      <w:r>
        <w:rPr>
          <w:rFonts w:ascii="Arial Narrow" w:eastAsia="Arial Narrow" w:hAnsi="Arial Narrow" w:cs="Arial Narrow"/>
          <w:sz w:val="20"/>
          <w:szCs w:val="20"/>
        </w:rPr>
        <w:t>el Gobierno Regional de Amazonas cumple con el compromiso asumido en la Declaración de Rio Branco y generar insumos a instrumentos nacionales como la ENCC, la NDC, la DCI, la ENBCC, entre otros.</w:t>
      </w:r>
    </w:p>
    <w:p w14:paraId="26D66AEA" w14:textId="77777777" w:rsidR="00EA0A65" w:rsidRDefault="00EA0A65">
      <w:pPr>
        <w:ind w:left="-284" w:right="-336"/>
        <w:jc w:val="both"/>
        <w:rPr>
          <w:rFonts w:ascii="Arial Narrow" w:eastAsia="Arial Narrow" w:hAnsi="Arial Narrow" w:cs="Arial Narrow"/>
          <w:sz w:val="20"/>
          <w:szCs w:val="20"/>
        </w:rPr>
      </w:pPr>
    </w:p>
    <w:p w14:paraId="0AD066B5" w14:textId="77777777" w:rsidR="00EA0A65" w:rsidRDefault="002959E9" w:rsidP="00B0749C">
      <w:pPr>
        <w:widowControl w:val="0"/>
        <w:numPr>
          <w:ilvl w:val="1"/>
          <w:numId w:val="19"/>
        </w:numPr>
        <w:pBdr>
          <w:top w:val="nil"/>
          <w:left w:val="nil"/>
          <w:bottom w:val="nil"/>
          <w:right w:val="nil"/>
          <w:between w:val="nil"/>
        </w:pBdr>
        <w:ind w:left="-284" w:right="-336" w:firstLine="0"/>
        <w:contextualSpacing/>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OBJETIVOS Y RESULTADOS ESPERADOS</w:t>
      </w:r>
    </w:p>
    <w:p w14:paraId="7800DD1B" w14:textId="77777777" w:rsidR="00EA0A65" w:rsidRDefault="00EA0A65">
      <w:pPr>
        <w:ind w:left="-284" w:right="-336"/>
        <w:jc w:val="both"/>
        <w:rPr>
          <w:rFonts w:ascii="Arial Narrow" w:eastAsia="Arial Narrow" w:hAnsi="Arial Narrow" w:cs="Arial Narrow"/>
          <w:sz w:val="20"/>
          <w:szCs w:val="20"/>
          <w:u w:val="single"/>
        </w:rPr>
      </w:pPr>
    </w:p>
    <w:p w14:paraId="542F4D38" w14:textId="77777777" w:rsidR="00EA0A65" w:rsidRDefault="002959E9">
      <w:pPr>
        <w:ind w:left="-284" w:right="-336"/>
        <w:jc w:val="both"/>
        <w:rPr>
          <w:rFonts w:ascii="Arial Narrow" w:eastAsia="Arial Narrow" w:hAnsi="Arial Narrow" w:cs="Arial Narrow"/>
          <w:b/>
          <w:sz w:val="20"/>
          <w:szCs w:val="20"/>
        </w:rPr>
      </w:pPr>
      <w:r>
        <w:rPr>
          <w:rFonts w:ascii="Arial Narrow" w:eastAsia="Arial Narrow" w:hAnsi="Arial Narrow" w:cs="Arial Narrow"/>
          <w:b/>
          <w:sz w:val="20"/>
          <w:szCs w:val="20"/>
        </w:rPr>
        <w:t>Objetivo principal</w:t>
      </w:r>
    </w:p>
    <w:p w14:paraId="175480CA" w14:textId="77777777" w:rsidR="00B0749C" w:rsidRDefault="00B0749C">
      <w:pPr>
        <w:ind w:left="-284" w:right="-336"/>
        <w:jc w:val="both"/>
        <w:rPr>
          <w:rFonts w:ascii="Arial Narrow" w:eastAsia="Arial Narrow" w:hAnsi="Arial Narrow" w:cs="Arial Narrow"/>
          <w:b/>
          <w:sz w:val="20"/>
          <w:szCs w:val="20"/>
        </w:rPr>
      </w:pPr>
    </w:p>
    <w:p w14:paraId="35B2334A" w14:textId="2640EFD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El Gobierno Regional de Amazonas y los principales actores clave de esta Región</w:t>
      </w:r>
      <w:r w:rsidR="009449BC">
        <w:rPr>
          <w:rFonts w:ascii="Arial Narrow" w:eastAsia="Arial Narrow" w:hAnsi="Arial Narrow" w:cs="Arial Narrow"/>
          <w:sz w:val="20"/>
          <w:szCs w:val="20"/>
        </w:rPr>
        <w:t>, incluyendo los pueblos indígenas Awajún y Wampis</w:t>
      </w:r>
      <w:r w:rsidR="00595556">
        <w:rPr>
          <w:rFonts w:ascii="Arial Narrow" w:eastAsia="Arial Narrow" w:hAnsi="Arial Narrow" w:cs="Arial Narrow"/>
          <w:sz w:val="20"/>
          <w:szCs w:val="20"/>
        </w:rPr>
        <w:t>,</w:t>
      </w:r>
      <w:r w:rsidR="009449BC">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han generado herramientas de planificación estratégica, desarrollando destrezas para ello durante el proceso, afianzando su liderazgo para promover el desarrollo rural bajo en emisiones, reducir la deforestación y gestionar su jurisdicción bajo un enfoque de gestión de paisajes, cumpliendo así con sus metas de desarrollo regional y los compromisos asumidos en el marco del GCF-TF, contribuyendo al logro de la NDC del Perú. </w:t>
      </w:r>
    </w:p>
    <w:p w14:paraId="10665E79" w14:textId="7777777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 </w:t>
      </w:r>
    </w:p>
    <w:p w14:paraId="42431176" w14:textId="77777777" w:rsidR="00EA0A65" w:rsidRDefault="002959E9">
      <w:pPr>
        <w:ind w:left="-284" w:right="-336"/>
        <w:jc w:val="both"/>
        <w:rPr>
          <w:rFonts w:ascii="Arial Narrow" w:eastAsia="Arial Narrow" w:hAnsi="Arial Narrow" w:cs="Arial Narrow"/>
          <w:b/>
          <w:sz w:val="20"/>
          <w:szCs w:val="20"/>
        </w:rPr>
      </w:pPr>
      <w:r>
        <w:rPr>
          <w:rFonts w:ascii="Arial Narrow" w:eastAsia="Arial Narrow" w:hAnsi="Arial Narrow" w:cs="Arial Narrow"/>
          <w:b/>
          <w:sz w:val="20"/>
          <w:szCs w:val="20"/>
        </w:rPr>
        <w:t>Objetivos secundarios</w:t>
      </w:r>
    </w:p>
    <w:p w14:paraId="2201BCFA" w14:textId="77777777" w:rsidR="00EA0A65" w:rsidRDefault="00EA0A65">
      <w:pPr>
        <w:ind w:left="-284" w:right="-336"/>
        <w:jc w:val="both"/>
        <w:rPr>
          <w:rFonts w:ascii="Arial Narrow" w:eastAsia="Arial Narrow" w:hAnsi="Arial Narrow" w:cs="Arial Narrow"/>
          <w:sz w:val="20"/>
          <w:szCs w:val="20"/>
        </w:rPr>
      </w:pPr>
    </w:p>
    <w:p w14:paraId="37BB85E2" w14:textId="1FDD7530" w:rsidR="00EA0A65" w:rsidRDefault="002959E9" w:rsidP="00B0749C">
      <w:pPr>
        <w:ind w:right="-336" w:hanging="284"/>
        <w:jc w:val="both"/>
        <w:rPr>
          <w:rFonts w:ascii="Arial Narrow" w:eastAsia="Arial Narrow" w:hAnsi="Arial Narrow" w:cs="Arial Narrow"/>
          <w:sz w:val="20"/>
          <w:szCs w:val="20"/>
        </w:rPr>
      </w:pPr>
      <w:r>
        <w:rPr>
          <w:rFonts w:ascii="Arial Narrow" w:eastAsia="Arial Narrow" w:hAnsi="Arial Narrow" w:cs="Arial Narrow"/>
          <w:sz w:val="20"/>
          <w:szCs w:val="20"/>
        </w:rPr>
        <w:t xml:space="preserve">1) </w:t>
      </w:r>
      <w:r w:rsidR="00B0749C">
        <w:rPr>
          <w:rFonts w:ascii="Arial Narrow" w:eastAsia="Arial Narrow" w:hAnsi="Arial Narrow" w:cs="Arial Narrow"/>
          <w:sz w:val="20"/>
          <w:szCs w:val="20"/>
        </w:rPr>
        <w:t xml:space="preserve"> </w:t>
      </w:r>
      <w:r>
        <w:rPr>
          <w:rFonts w:ascii="Arial Narrow" w:eastAsia="Arial Narrow" w:hAnsi="Arial Narrow" w:cs="Arial Narrow"/>
          <w:sz w:val="20"/>
          <w:szCs w:val="20"/>
        </w:rPr>
        <w:t>Contar con una Estrategia jurisdiccional de desarrollo rural bajo en emisiones, sustentada en un análisis de causas de la deforestación y diagnóstico de cuellos de botella de la producción regional, validada y adoptada por el Gobierno Regional Amazonas y actores claves para reducir la desforestación.</w:t>
      </w:r>
    </w:p>
    <w:p w14:paraId="300BF862" w14:textId="77777777" w:rsidR="00EA0A65" w:rsidRDefault="00EA0A65" w:rsidP="00B0749C">
      <w:pPr>
        <w:ind w:right="-336" w:hanging="284"/>
        <w:jc w:val="both"/>
        <w:rPr>
          <w:rFonts w:ascii="Arial Narrow" w:eastAsia="Arial Narrow" w:hAnsi="Arial Narrow" w:cs="Arial Narrow"/>
          <w:sz w:val="20"/>
          <w:szCs w:val="20"/>
        </w:rPr>
      </w:pPr>
    </w:p>
    <w:p w14:paraId="564493CD" w14:textId="0DE587EF" w:rsidR="00EA0A65" w:rsidRDefault="002959E9" w:rsidP="00B0749C">
      <w:pPr>
        <w:ind w:right="-336" w:hanging="284"/>
        <w:jc w:val="both"/>
        <w:rPr>
          <w:rFonts w:ascii="Arial Narrow" w:eastAsia="Arial Narrow" w:hAnsi="Arial Narrow" w:cs="Arial Narrow"/>
          <w:sz w:val="20"/>
          <w:szCs w:val="20"/>
        </w:rPr>
      </w:pPr>
      <w:r>
        <w:rPr>
          <w:rFonts w:ascii="Arial Narrow" w:eastAsia="Arial Narrow" w:hAnsi="Arial Narrow" w:cs="Arial Narrow"/>
          <w:sz w:val="20"/>
          <w:szCs w:val="20"/>
        </w:rPr>
        <w:t xml:space="preserve">2) </w:t>
      </w:r>
      <w:r w:rsidR="00B0749C">
        <w:rPr>
          <w:rFonts w:ascii="Arial Narrow" w:eastAsia="Arial Narrow" w:hAnsi="Arial Narrow" w:cs="Arial Narrow"/>
          <w:sz w:val="20"/>
          <w:szCs w:val="20"/>
        </w:rPr>
        <w:t xml:space="preserve"> </w:t>
      </w:r>
      <w:r>
        <w:rPr>
          <w:rFonts w:ascii="Arial Narrow" w:eastAsia="Arial Narrow" w:hAnsi="Arial Narrow" w:cs="Arial Narrow"/>
          <w:sz w:val="20"/>
          <w:szCs w:val="20"/>
        </w:rPr>
        <w:t>Contar con un Plan financiero</w:t>
      </w:r>
      <w:r>
        <w:rPr>
          <w:rFonts w:ascii="Arial Narrow" w:eastAsia="Arial Narrow" w:hAnsi="Arial Narrow" w:cs="Arial Narrow"/>
          <w:sz w:val="20"/>
          <w:szCs w:val="20"/>
          <w:vertAlign w:val="superscript"/>
        </w:rPr>
        <w:footnoteReference w:id="11"/>
      </w:r>
      <w:r>
        <w:rPr>
          <w:rFonts w:ascii="Arial Narrow" w:eastAsia="Arial Narrow" w:hAnsi="Arial Narrow" w:cs="Arial Narrow"/>
          <w:sz w:val="20"/>
          <w:szCs w:val="20"/>
        </w:rPr>
        <w:t>, sustentado en un robusto análisis de causas de la deforestación y diagnóstico de cuellos de botella de la producción regional, para implementar la estrategia validado por actores claves y adoptado por el Gobierno Regional de Amazonas.</w:t>
      </w:r>
    </w:p>
    <w:p w14:paraId="1FE71543" w14:textId="77777777" w:rsidR="00EA0A65" w:rsidRDefault="00EA0A65" w:rsidP="00B0749C">
      <w:pPr>
        <w:ind w:right="-336" w:hanging="284"/>
        <w:jc w:val="both"/>
        <w:rPr>
          <w:rFonts w:ascii="Arial Narrow" w:eastAsia="Arial Narrow" w:hAnsi="Arial Narrow" w:cs="Arial Narrow"/>
          <w:sz w:val="20"/>
          <w:szCs w:val="20"/>
        </w:rPr>
      </w:pPr>
    </w:p>
    <w:p w14:paraId="7F27737E" w14:textId="399C98F7" w:rsidR="00EA0A65" w:rsidRDefault="002959E9" w:rsidP="00B0749C">
      <w:pPr>
        <w:ind w:right="-336" w:hanging="284"/>
        <w:jc w:val="both"/>
        <w:rPr>
          <w:rFonts w:ascii="Arial Narrow" w:eastAsia="Arial Narrow" w:hAnsi="Arial Narrow" w:cs="Arial Narrow"/>
          <w:sz w:val="20"/>
          <w:szCs w:val="20"/>
        </w:rPr>
      </w:pPr>
      <w:r>
        <w:rPr>
          <w:rFonts w:ascii="Arial Narrow" w:eastAsia="Arial Narrow" w:hAnsi="Arial Narrow" w:cs="Arial Narrow"/>
          <w:sz w:val="20"/>
          <w:szCs w:val="20"/>
        </w:rPr>
        <w:t xml:space="preserve">3) </w:t>
      </w:r>
      <w:r w:rsidR="00B0749C">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Asegurar que el Gobierno Regional de Amazonas y actores clave desarrollen destrezas, durante el proceso de elaboración de la estrategia y el plan, para promover el desarrollo rural bajo en emisiones y la gestión de paisajes climáticamente inteligentes </w:t>
      </w:r>
    </w:p>
    <w:p w14:paraId="2786A5E8" w14:textId="77777777" w:rsidR="00EA0A65" w:rsidRDefault="00EA0A65">
      <w:pPr>
        <w:ind w:left="-284" w:right="-336"/>
        <w:jc w:val="both"/>
        <w:rPr>
          <w:rFonts w:ascii="Arial Narrow" w:eastAsia="Arial Narrow" w:hAnsi="Arial Narrow" w:cs="Arial Narrow"/>
          <w:sz w:val="20"/>
          <w:szCs w:val="20"/>
        </w:rPr>
      </w:pPr>
    </w:p>
    <w:p w14:paraId="7E77C7CD" w14:textId="4EACC383" w:rsidR="002959E9" w:rsidRDefault="002959E9" w:rsidP="00EC0FF3">
      <w:pPr>
        <w:ind w:left="-284" w:right="-336"/>
        <w:jc w:val="both"/>
        <w:rPr>
          <w:rFonts w:ascii="Arial Narrow" w:eastAsia="Arial Narrow" w:hAnsi="Arial Narrow" w:cs="Arial Narrow"/>
          <w:sz w:val="20"/>
          <w:szCs w:val="20"/>
        </w:rPr>
        <w:sectPr w:rsidR="002959E9">
          <w:type w:val="continuous"/>
          <w:pgSz w:w="11900" w:h="16840"/>
          <w:pgMar w:top="1440" w:right="1440" w:bottom="1440" w:left="1440" w:header="720" w:footer="720" w:gutter="0"/>
          <w:cols w:space="720"/>
        </w:sectPr>
      </w:pPr>
      <w:bookmarkStart w:id="6" w:name="_2et92p0" w:colFirst="0" w:colLast="0"/>
      <w:bookmarkEnd w:id="6"/>
      <w:r>
        <w:rPr>
          <w:rFonts w:ascii="Arial Narrow" w:eastAsia="Arial Narrow" w:hAnsi="Arial Narrow" w:cs="Arial Narrow"/>
          <w:sz w:val="20"/>
          <w:szCs w:val="20"/>
        </w:rPr>
        <w:t>Para alcanzar estos objetivos, se elaborarán los productos</w:t>
      </w:r>
      <w:r>
        <w:rPr>
          <w:sz w:val="18"/>
          <w:szCs w:val="18"/>
          <w:vertAlign w:val="superscript"/>
        </w:rPr>
        <w:footnoteReference w:id="12"/>
      </w:r>
      <w:r>
        <w:rPr>
          <w:rFonts w:ascii="Arial Narrow" w:eastAsia="Arial Narrow" w:hAnsi="Arial Narrow" w:cs="Arial Narrow"/>
          <w:sz w:val="20"/>
          <w:szCs w:val="20"/>
        </w:rPr>
        <w:t xml:space="preserve"> señalados en el Cuadro 1, en las páginas siguientes. </w:t>
      </w:r>
    </w:p>
    <w:p w14:paraId="5439088B"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sz w:val="20"/>
          <w:szCs w:val="20"/>
        </w:rPr>
      </w:pPr>
    </w:p>
    <w:tbl>
      <w:tblPr>
        <w:tblStyle w:val="a1"/>
        <w:tblW w:w="15310" w:type="dxa"/>
        <w:tblInd w:w="-527" w:type="dxa"/>
        <w:tblBorders>
          <w:top w:val="nil"/>
          <w:left w:val="nil"/>
          <w:right w:val="nil"/>
        </w:tblBorders>
        <w:tblLayout w:type="fixed"/>
        <w:tblCellMar>
          <w:left w:w="170" w:type="dxa"/>
          <w:right w:w="170" w:type="dxa"/>
        </w:tblCellMar>
        <w:tblLook w:val="0000" w:firstRow="0" w:lastRow="0" w:firstColumn="0" w:lastColumn="0" w:noHBand="0" w:noVBand="0"/>
      </w:tblPr>
      <w:tblGrid>
        <w:gridCol w:w="1844"/>
        <w:gridCol w:w="1417"/>
        <w:gridCol w:w="1701"/>
        <w:gridCol w:w="709"/>
        <w:gridCol w:w="709"/>
        <w:gridCol w:w="1134"/>
        <w:gridCol w:w="4820"/>
        <w:gridCol w:w="2976"/>
      </w:tblGrid>
      <w:tr w:rsidR="00EA0A65" w:rsidRPr="00B0749C" w14:paraId="0020D32A" w14:textId="77777777" w:rsidTr="001327F2">
        <w:trPr>
          <w:trHeight w:val="140"/>
        </w:trPr>
        <w:tc>
          <w:tcPr>
            <w:tcW w:w="15310" w:type="dxa"/>
            <w:gridSpan w:val="8"/>
            <w:tcBorders>
              <w:top w:val="nil"/>
              <w:left w:val="nil"/>
              <w:right w:val="nil"/>
            </w:tcBorders>
            <w:shd w:val="clear" w:color="auto" w:fill="auto"/>
            <w:tcMar>
              <w:top w:w="0" w:type="dxa"/>
              <w:left w:w="0" w:type="dxa"/>
              <w:bottom w:w="0" w:type="dxa"/>
              <w:right w:w="0" w:type="dxa"/>
            </w:tcMar>
          </w:tcPr>
          <w:p w14:paraId="2B09AD1D" w14:textId="77777777" w:rsidR="00EA0A65" w:rsidRPr="00B0749C" w:rsidRDefault="002959E9">
            <w:pPr>
              <w:jc w:val="center"/>
              <w:rPr>
                <w:rFonts w:ascii="Arial Narrow" w:hAnsi="Arial Narrow"/>
                <w:b/>
                <w:color w:val="000000"/>
                <w:sz w:val="16"/>
                <w:szCs w:val="16"/>
              </w:rPr>
            </w:pPr>
            <w:r w:rsidRPr="00B0749C">
              <w:rPr>
                <w:rFonts w:ascii="Arial Narrow" w:hAnsi="Arial Narrow"/>
                <w:b/>
                <w:color w:val="000000"/>
                <w:sz w:val="16"/>
                <w:szCs w:val="16"/>
              </w:rPr>
              <w:t>Cuadro 1: Marco de resultados</w:t>
            </w:r>
          </w:p>
          <w:p w14:paraId="2D430B9A" w14:textId="77777777" w:rsidR="00EA0A65" w:rsidRPr="00B0749C" w:rsidRDefault="00EA0A65">
            <w:pPr>
              <w:widowControl w:val="0"/>
              <w:ind w:right="365"/>
              <w:jc w:val="center"/>
              <w:rPr>
                <w:rFonts w:ascii="Arial Narrow" w:hAnsi="Arial Narrow"/>
                <w:b/>
                <w:color w:val="000000"/>
                <w:sz w:val="16"/>
                <w:szCs w:val="16"/>
              </w:rPr>
            </w:pPr>
          </w:p>
        </w:tc>
      </w:tr>
      <w:tr w:rsidR="00EA0A65" w:rsidRPr="00B0749C" w14:paraId="09F34457" w14:textId="77777777" w:rsidTr="001327F2">
        <w:trPr>
          <w:trHeight w:val="140"/>
        </w:trPr>
        <w:tc>
          <w:tcPr>
            <w:tcW w:w="1844" w:type="dxa"/>
            <w:vMerge w:val="restart"/>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065198ED" w14:textId="77777777" w:rsidR="00EA0A65" w:rsidRPr="00B0749C" w:rsidRDefault="002959E9">
            <w:pPr>
              <w:widowControl w:val="0"/>
              <w:jc w:val="center"/>
              <w:rPr>
                <w:rFonts w:ascii="Arial Narrow" w:hAnsi="Arial Narrow"/>
                <w:color w:val="000000"/>
                <w:sz w:val="16"/>
                <w:szCs w:val="16"/>
              </w:rPr>
            </w:pPr>
            <w:r w:rsidRPr="00B0749C">
              <w:rPr>
                <w:rFonts w:ascii="Arial Narrow" w:hAnsi="Arial Narrow"/>
                <w:b/>
                <w:color w:val="000000"/>
                <w:sz w:val="16"/>
                <w:szCs w:val="16"/>
              </w:rPr>
              <w:t>Producto esperado</w:t>
            </w:r>
          </w:p>
        </w:tc>
        <w:tc>
          <w:tcPr>
            <w:tcW w:w="1417" w:type="dxa"/>
            <w:vMerge w:val="restart"/>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03646517" w14:textId="77777777" w:rsidR="00EA0A65" w:rsidRPr="00B0749C" w:rsidRDefault="002959E9">
            <w:pPr>
              <w:widowControl w:val="0"/>
              <w:jc w:val="center"/>
              <w:rPr>
                <w:rFonts w:ascii="Arial Narrow" w:hAnsi="Arial Narrow"/>
                <w:color w:val="000000"/>
                <w:sz w:val="16"/>
                <w:szCs w:val="16"/>
              </w:rPr>
            </w:pPr>
            <w:r w:rsidRPr="00B0749C">
              <w:rPr>
                <w:rFonts w:ascii="Arial Narrow" w:hAnsi="Arial Narrow"/>
                <w:b/>
                <w:color w:val="000000"/>
                <w:sz w:val="16"/>
                <w:szCs w:val="16"/>
              </w:rPr>
              <w:t>Indicador de producto</w:t>
            </w:r>
          </w:p>
        </w:tc>
        <w:tc>
          <w:tcPr>
            <w:tcW w:w="1701"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86CC8D" w14:textId="77777777" w:rsidR="00EA0A65" w:rsidRPr="00B0749C" w:rsidRDefault="002959E9">
            <w:pPr>
              <w:widowControl w:val="0"/>
              <w:jc w:val="center"/>
              <w:rPr>
                <w:rFonts w:ascii="Arial Narrow" w:hAnsi="Arial Narrow"/>
                <w:color w:val="000000"/>
                <w:sz w:val="16"/>
                <w:szCs w:val="16"/>
              </w:rPr>
            </w:pPr>
            <w:r w:rsidRPr="00B0749C">
              <w:rPr>
                <w:rFonts w:ascii="Arial Narrow" w:hAnsi="Arial Narrow"/>
                <w:b/>
                <w:color w:val="000000"/>
                <w:sz w:val="16"/>
                <w:szCs w:val="16"/>
              </w:rPr>
              <w:t>Origen de datos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76222CA" w14:textId="11416479" w:rsidR="00EA0A65" w:rsidRPr="00B0749C" w:rsidRDefault="0060648B">
            <w:pPr>
              <w:widowControl w:val="0"/>
              <w:jc w:val="center"/>
              <w:rPr>
                <w:rFonts w:ascii="Arial Narrow" w:hAnsi="Arial Narrow"/>
                <w:color w:val="000000"/>
                <w:sz w:val="16"/>
                <w:szCs w:val="16"/>
              </w:rPr>
            </w:pPr>
            <w:r w:rsidRPr="00B0749C">
              <w:rPr>
                <w:rFonts w:ascii="Arial Narrow" w:hAnsi="Arial Narrow"/>
                <w:b/>
                <w:color w:val="000000"/>
                <w:sz w:val="16"/>
                <w:szCs w:val="16"/>
              </w:rPr>
              <w:t>Línea</w:t>
            </w:r>
            <w:r w:rsidR="002959E9" w:rsidRPr="00B0749C">
              <w:rPr>
                <w:rFonts w:ascii="Arial Narrow" w:hAnsi="Arial Narrow"/>
                <w:b/>
                <w:color w:val="000000"/>
                <w:sz w:val="16"/>
                <w:szCs w:val="16"/>
              </w:rPr>
              <w:t xml:space="preserve"> base</w:t>
            </w:r>
          </w:p>
        </w:tc>
        <w:tc>
          <w:tcPr>
            <w:tcW w:w="1134" w:type="dxa"/>
            <w:vMerge w:val="restart"/>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0ADD9C38" w14:textId="77777777" w:rsidR="00EA0A65" w:rsidRPr="00B0749C" w:rsidRDefault="002959E9">
            <w:pPr>
              <w:widowControl w:val="0"/>
              <w:jc w:val="center"/>
              <w:rPr>
                <w:rFonts w:ascii="Arial Narrow" w:hAnsi="Arial Narrow"/>
                <w:color w:val="000000"/>
                <w:sz w:val="16"/>
                <w:szCs w:val="16"/>
              </w:rPr>
            </w:pPr>
            <w:r w:rsidRPr="00B0749C">
              <w:rPr>
                <w:rFonts w:ascii="Arial Narrow" w:hAnsi="Arial Narrow"/>
                <w:b/>
                <w:color w:val="000000"/>
                <w:sz w:val="16"/>
                <w:szCs w:val="16"/>
              </w:rPr>
              <w:t>Metas</w:t>
            </w:r>
          </w:p>
        </w:tc>
        <w:tc>
          <w:tcPr>
            <w:tcW w:w="4820" w:type="dxa"/>
            <w:vMerge w:val="restart"/>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72BEB521" w14:textId="54D55C18" w:rsidR="00EA0A65" w:rsidRPr="00B0749C" w:rsidRDefault="002959E9">
            <w:pPr>
              <w:widowControl w:val="0"/>
              <w:jc w:val="center"/>
              <w:rPr>
                <w:rFonts w:ascii="Arial Narrow" w:hAnsi="Arial Narrow"/>
                <w:i/>
                <w:color w:val="000000"/>
                <w:sz w:val="16"/>
                <w:szCs w:val="16"/>
                <w:u w:val="single"/>
              </w:rPr>
            </w:pPr>
            <w:r w:rsidRPr="00B0749C">
              <w:rPr>
                <w:rFonts w:ascii="Arial Narrow" w:hAnsi="Arial Narrow"/>
                <w:b/>
                <w:color w:val="000000"/>
                <w:sz w:val="16"/>
                <w:szCs w:val="16"/>
              </w:rPr>
              <w:t xml:space="preserve">Recolección de datos, </w:t>
            </w:r>
            <w:r w:rsidR="00EE6C15" w:rsidRPr="00B0749C">
              <w:rPr>
                <w:rFonts w:ascii="Arial Narrow" w:hAnsi="Arial Narrow"/>
                <w:b/>
                <w:color w:val="000000"/>
                <w:sz w:val="16"/>
                <w:szCs w:val="16"/>
              </w:rPr>
              <w:t>métodos</w:t>
            </w:r>
            <w:r w:rsidRPr="00B0749C">
              <w:rPr>
                <w:rFonts w:ascii="Arial Narrow" w:hAnsi="Arial Narrow"/>
                <w:b/>
                <w:color w:val="000000"/>
                <w:sz w:val="16"/>
                <w:szCs w:val="16"/>
              </w:rPr>
              <w:t xml:space="preserve"> y riesgos</w:t>
            </w:r>
          </w:p>
        </w:tc>
        <w:tc>
          <w:tcPr>
            <w:tcW w:w="2976" w:type="dxa"/>
            <w:vMerge w:val="restart"/>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1937BA50" w14:textId="77777777" w:rsidR="00EA0A65" w:rsidRPr="00B0749C" w:rsidRDefault="002959E9">
            <w:pPr>
              <w:widowControl w:val="0"/>
              <w:ind w:right="365"/>
              <w:jc w:val="center"/>
              <w:rPr>
                <w:rFonts w:ascii="Arial Narrow" w:hAnsi="Arial Narrow"/>
                <w:color w:val="000000"/>
                <w:sz w:val="16"/>
                <w:szCs w:val="16"/>
              </w:rPr>
            </w:pPr>
            <w:r w:rsidRPr="00B0749C">
              <w:rPr>
                <w:rFonts w:ascii="Arial Narrow" w:hAnsi="Arial Narrow"/>
                <w:b/>
                <w:color w:val="000000"/>
                <w:sz w:val="16"/>
                <w:szCs w:val="16"/>
              </w:rPr>
              <w:t xml:space="preserve">    Supuestos clave</w:t>
            </w:r>
          </w:p>
        </w:tc>
      </w:tr>
      <w:tr w:rsidR="00EA0A65" w:rsidRPr="00B0749C" w14:paraId="5370ED78" w14:textId="77777777" w:rsidTr="001327F2">
        <w:trPr>
          <w:trHeight w:val="60"/>
        </w:trPr>
        <w:tc>
          <w:tcPr>
            <w:tcW w:w="1844"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549176B3" w14:textId="77777777" w:rsidR="00EA0A65" w:rsidRPr="00B0749C" w:rsidRDefault="00EA0A65">
            <w:pPr>
              <w:widowControl w:val="0"/>
              <w:pBdr>
                <w:top w:val="nil"/>
                <w:left w:val="nil"/>
                <w:bottom w:val="nil"/>
                <w:right w:val="nil"/>
                <w:between w:val="nil"/>
              </w:pBdr>
              <w:spacing w:line="276" w:lineRule="auto"/>
              <w:rPr>
                <w:rFonts w:ascii="Arial Narrow" w:hAnsi="Arial Narrow"/>
                <w:color w:val="000000"/>
                <w:sz w:val="16"/>
                <w:szCs w:val="16"/>
              </w:rPr>
            </w:pPr>
          </w:p>
        </w:tc>
        <w:tc>
          <w:tcPr>
            <w:tcW w:w="1417"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6B839A99" w14:textId="77777777" w:rsidR="00EA0A65" w:rsidRPr="00B0749C" w:rsidRDefault="00EA0A65">
            <w:pPr>
              <w:widowControl w:val="0"/>
              <w:pBdr>
                <w:top w:val="nil"/>
                <w:left w:val="nil"/>
                <w:bottom w:val="nil"/>
                <w:right w:val="nil"/>
                <w:between w:val="nil"/>
              </w:pBdr>
              <w:spacing w:line="276" w:lineRule="auto"/>
              <w:rPr>
                <w:rFonts w:ascii="Arial Narrow" w:hAnsi="Arial Narrow"/>
                <w:color w:val="000000"/>
                <w:sz w:val="16"/>
                <w:szCs w:val="16"/>
              </w:rPr>
            </w:pPr>
          </w:p>
        </w:tc>
        <w:tc>
          <w:tcPr>
            <w:tcW w:w="1701"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CEDD2A" w14:textId="77777777" w:rsidR="00EA0A65" w:rsidRPr="00B0749C" w:rsidRDefault="00EA0A65">
            <w:pPr>
              <w:widowControl w:val="0"/>
              <w:pBdr>
                <w:top w:val="nil"/>
                <w:left w:val="nil"/>
                <w:bottom w:val="nil"/>
                <w:right w:val="nil"/>
                <w:between w:val="nil"/>
              </w:pBdr>
              <w:spacing w:line="276" w:lineRule="auto"/>
              <w:rPr>
                <w:rFonts w:ascii="Arial Narrow" w:hAnsi="Arial Narrow"/>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5075838" w14:textId="77777777" w:rsidR="00EA0A65" w:rsidRPr="00B0749C" w:rsidRDefault="002959E9">
            <w:pPr>
              <w:widowControl w:val="0"/>
              <w:jc w:val="center"/>
              <w:rPr>
                <w:rFonts w:ascii="Arial Narrow" w:hAnsi="Arial Narrow"/>
                <w:b/>
                <w:color w:val="000000"/>
                <w:sz w:val="16"/>
                <w:szCs w:val="16"/>
              </w:rPr>
            </w:pPr>
            <w:r w:rsidRPr="00B0749C">
              <w:rPr>
                <w:rFonts w:ascii="Arial Narrow" w:hAnsi="Arial Narrow"/>
                <w:b/>
                <w:color w:val="000000"/>
                <w:sz w:val="16"/>
                <w:szCs w:val="16"/>
              </w:rPr>
              <w:t xml:space="preserve">Valor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Pr>
          <w:p w14:paraId="45D02C84" w14:textId="77777777" w:rsidR="00EA0A65" w:rsidRPr="00B0749C" w:rsidRDefault="002959E9">
            <w:pPr>
              <w:widowControl w:val="0"/>
              <w:jc w:val="center"/>
              <w:rPr>
                <w:rFonts w:ascii="Arial Narrow" w:hAnsi="Arial Narrow"/>
                <w:b/>
                <w:color w:val="000000"/>
                <w:sz w:val="16"/>
                <w:szCs w:val="16"/>
              </w:rPr>
            </w:pPr>
            <w:r w:rsidRPr="00B0749C">
              <w:rPr>
                <w:rFonts w:ascii="Arial Narrow" w:hAnsi="Arial Narrow"/>
                <w:b/>
                <w:color w:val="000000"/>
                <w:sz w:val="16"/>
                <w:szCs w:val="16"/>
              </w:rPr>
              <w:t xml:space="preserve">Año </w:t>
            </w:r>
          </w:p>
        </w:tc>
        <w:tc>
          <w:tcPr>
            <w:tcW w:w="1134"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5E48AB6D" w14:textId="77777777" w:rsidR="00EA0A65" w:rsidRPr="00B0749C" w:rsidRDefault="00EA0A65">
            <w:pPr>
              <w:widowControl w:val="0"/>
              <w:pBdr>
                <w:top w:val="nil"/>
                <w:left w:val="nil"/>
                <w:bottom w:val="nil"/>
                <w:right w:val="nil"/>
                <w:between w:val="nil"/>
              </w:pBdr>
              <w:spacing w:line="276" w:lineRule="auto"/>
              <w:rPr>
                <w:rFonts w:ascii="Arial Narrow" w:hAnsi="Arial Narrow"/>
                <w:b/>
                <w:color w:val="000000"/>
                <w:sz w:val="16"/>
                <w:szCs w:val="16"/>
              </w:rPr>
            </w:pPr>
          </w:p>
        </w:tc>
        <w:tc>
          <w:tcPr>
            <w:tcW w:w="4820"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24E56EE2" w14:textId="77777777" w:rsidR="00EA0A65" w:rsidRPr="00B0749C" w:rsidRDefault="00EA0A65">
            <w:pPr>
              <w:widowControl w:val="0"/>
              <w:pBdr>
                <w:top w:val="nil"/>
                <w:left w:val="nil"/>
                <w:bottom w:val="nil"/>
                <w:right w:val="nil"/>
                <w:between w:val="nil"/>
              </w:pBdr>
              <w:spacing w:line="276" w:lineRule="auto"/>
              <w:rPr>
                <w:rFonts w:ascii="Arial Narrow" w:hAnsi="Arial Narrow"/>
                <w:b/>
                <w:color w:val="000000"/>
                <w:sz w:val="16"/>
                <w:szCs w:val="16"/>
              </w:rPr>
            </w:pPr>
          </w:p>
        </w:tc>
        <w:tc>
          <w:tcPr>
            <w:tcW w:w="297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10DB985D" w14:textId="77777777" w:rsidR="00EA0A65" w:rsidRPr="00B0749C" w:rsidRDefault="00EA0A65">
            <w:pPr>
              <w:widowControl w:val="0"/>
              <w:pBdr>
                <w:top w:val="nil"/>
                <w:left w:val="nil"/>
                <w:bottom w:val="nil"/>
                <w:right w:val="nil"/>
                <w:between w:val="nil"/>
              </w:pBdr>
              <w:spacing w:line="276" w:lineRule="auto"/>
              <w:rPr>
                <w:rFonts w:ascii="Arial Narrow" w:hAnsi="Arial Narrow"/>
                <w:b/>
                <w:color w:val="000000"/>
                <w:sz w:val="16"/>
                <w:szCs w:val="16"/>
              </w:rPr>
            </w:pPr>
          </w:p>
        </w:tc>
      </w:tr>
      <w:tr w:rsidR="00A647BB" w:rsidRPr="00B0749C" w14:paraId="7B10841A" w14:textId="77777777" w:rsidTr="001327F2">
        <w:tc>
          <w:tcPr>
            <w:tcW w:w="1844" w:type="dxa"/>
            <w:tcBorders>
              <w:top w:val="single" w:sz="4" w:space="0" w:color="000000"/>
              <w:left w:val="single" w:sz="4" w:space="0" w:color="000000"/>
              <w:right w:val="single" w:sz="4" w:space="0" w:color="000000"/>
            </w:tcBorders>
            <w:tcMar>
              <w:top w:w="0" w:type="dxa"/>
              <w:left w:w="0" w:type="dxa"/>
              <w:bottom w:w="0" w:type="dxa"/>
              <w:right w:w="0" w:type="dxa"/>
            </w:tcMar>
          </w:tcPr>
          <w:p w14:paraId="7B780235" w14:textId="0CF4694C" w:rsidR="00A647BB" w:rsidRPr="00F6762D" w:rsidRDefault="00A647BB" w:rsidP="002323B9">
            <w:pPr>
              <w:widowControl w:val="0"/>
              <w:tabs>
                <w:tab w:val="left" w:pos="5529"/>
              </w:tabs>
              <w:rPr>
                <w:rFonts w:ascii="Arial Narrow" w:hAnsi="Arial Narrow"/>
                <w:color w:val="000000"/>
                <w:sz w:val="16"/>
                <w:szCs w:val="16"/>
                <w:lang w:val="es-PE"/>
              </w:rPr>
            </w:pPr>
            <w:r w:rsidRPr="00F6762D">
              <w:rPr>
                <w:rFonts w:ascii="Arial Narrow" w:hAnsi="Arial Narrow" w:cs="Times"/>
                <w:i/>
                <w:color w:val="000000" w:themeColor="text1"/>
                <w:sz w:val="16"/>
                <w:szCs w:val="16"/>
                <w:lang w:val="es-PE"/>
              </w:rPr>
              <w:t>Resultado de impacto único  como consecuencia de la implementación de la estrategia de desarrollo rural al 2030 y su plan de acción</w:t>
            </w:r>
            <w:r w:rsidRPr="00F6762D">
              <w:rPr>
                <w:rFonts w:ascii="Arial Narrow" w:hAnsi="Arial Narrow" w:cs="Times"/>
                <w:color w:val="000000" w:themeColor="text1"/>
                <w:sz w:val="16"/>
                <w:szCs w:val="16"/>
                <w:lang w:val="es-PE"/>
              </w:rPr>
              <w:t>. La región Amazonas ha reducido la pérdida de sus bosques e incrementado la competitividad de su producción regional como consecuencia de la implementación de la estrategia regional de desarrollo rural baja en emisiones y su plan de inversiones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E6F2CD" w14:textId="77777777" w:rsidR="00A647BB" w:rsidRPr="00F6762D" w:rsidRDefault="00A647BB" w:rsidP="00395DA6">
            <w:pPr>
              <w:widowControl w:val="0"/>
              <w:autoSpaceDE w:val="0"/>
              <w:autoSpaceDN w:val="0"/>
              <w:adjustRightInd w:val="0"/>
              <w:rPr>
                <w:rFonts w:ascii="Arial Narrow" w:hAnsi="Arial Narrow" w:cs="Times"/>
                <w:color w:val="000000" w:themeColor="text1"/>
                <w:sz w:val="16"/>
                <w:szCs w:val="16"/>
                <w:lang w:val="es-PE"/>
              </w:rPr>
            </w:pPr>
            <w:r w:rsidRPr="00F6762D">
              <w:rPr>
                <w:rFonts w:ascii="Arial Narrow" w:hAnsi="Arial Narrow" w:cs="Times"/>
                <w:color w:val="000000" w:themeColor="text1"/>
                <w:sz w:val="16"/>
                <w:szCs w:val="16"/>
                <w:lang w:val="es-PE"/>
              </w:rPr>
              <w:t>Pérdida de cobertura de bosques</w:t>
            </w:r>
            <w:r w:rsidRPr="00F6762D">
              <w:rPr>
                <w:rStyle w:val="FootnoteReference"/>
                <w:rFonts w:ascii="Arial Narrow" w:hAnsi="Arial Narrow" w:cs="Times"/>
                <w:color w:val="000000" w:themeColor="text1"/>
                <w:sz w:val="16"/>
                <w:szCs w:val="16"/>
                <w:lang w:val="es-PE"/>
              </w:rPr>
              <w:footnoteReference w:id="13"/>
            </w:r>
          </w:p>
          <w:p w14:paraId="46CF574F" w14:textId="77777777" w:rsidR="00072906" w:rsidRPr="00F6762D" w:rsidRDefault="00072906" w:rsidP="00395DA6">
            <w:pPr>
              <w:widowControl w:val="0"/>
              <w:autoSpaceDE w:val="0"/>
              <w:autoSpaceDN w:val="0"/>
              <w:adjustRightInd w:val="0"/>
              <w:rPr>
                <w:rFonts w:ascii="Arial Narrow" w:hAnsi="Arial Narrow" w:cs="Times"/>
                <w:color w:val="000000" w:themeColor="text1"/>
                <w:sz w:val="16"/>
                <w:szCs w:val="16"/>
                <w:lang w:val="es-PE"/>
              </w:rPr>
            </w:pPr>
          </w:p>
          <w:p w14:paraId="1B554C71" w14:textId="77777777" w:rsidR="00072906" w:rsidRPr="00F6762D" w:rsidRDefault="00072906" w:rsidP="00395DA6">
            <w:pPr>
              <w:widowControl w:val="0"/>
              <w:autoSpaceDE w:val="0"/>
              <w:autoSpaceDN w:val="0"/>
              <w:adjustRightInd w:val="0"/>
              <w:rPr>
                <w:rFonts w:ascii="Arial Narrow" w:hAnsi="Arial Narrow" w:cs="Times"/>
                <w:color w:val="000000" w:themeColor="text1"/>
                <w:sz w:val="16"/>
                <w:szCs w:val="16"/>
                <w:lang w:val="es-PE"/>
              </w:rPr>
            </w:pPr>
          </w:p>
          <w:p w14:paraId="32623D41" w14:textId="0E548BC1" w:rsidR="00072906" w:rsidRPr="00F6762D" w:rsidRDefault="00072906" w:rsidP="00395DA6">
            <w:pPr>
              <w:widowControl w:val="0"/>
              <w:autoSpaceDE w:val="0"/>
              <w:autoSpaceDN w:val="0"/>
              <w:adjustRightInd w:val="0"/>
              <w:rPr>
                <w:rFonts w:ascii="Arial Narrow" w:hAnsi="Arial Narrow" w:cs="Times"/>
                <w:color w:val="000000" w:themeColor="text1"/>
                <w:sz w:val="16"/>
                <w:szCs w:val="16"/>
                <w:lang w:val="es-PE"/>
              </w:rPr>
            </w:pPr>
            <w:r w:rsidRPr="00F6762D">
              <w:rPr>
                <w:rFonts w:ascii="Arial Narrow" w:hAnsi="Arial Narrow" w:cs="Times"/>
                <w:color w:val="000000" w:themeColor="text1"/>
                <w:sz w:val="16"/>
                <w:szCs w:val="16"/>
                <w:lang w:val="es-PE"/>
              </w:rPr>
              <w:t xml:space="preserve">Porcentaje de </w:t>
            </w:r>
            <w:r w:rsidR="00F6762D" w:rsidRPr="00F6762D">
              <w:rPr>
                <w:rFonts w:ascii="Arial Narrow" w:hAnsi="Arial Narrow" w:cs="Times"/>
                <w:color w:val="000000" w:themeColor="text1"/>
                <w:sz w:val="16"/>
                <w:szCs w:val="16"/>
                <w:lang w:val="es-PE"/>
              </w:rPr>
              <w:t>áreas</w:t>
            </w:r>
            <w:r w:rsidRPr="00F6762D">
              <w:rPr>
                <w:rFonts w:ascii="Arial Narrow" w:hAnsi="Arial Narrow" w:cs="Times"/>
                <w:color w:val="000000" w:themeColor="text1"/>
                <w:sz w:val="16"/>
                <w:szCs w:val="16"/>
                <w:lang w:val="es-PE"/>
              </w:rPr>
              <w:t xml:space="preserve"> naturales protegidas </w:t>
            </w:r>
          </w:p>
          <w:p w14:paraId="36FD62D6" w14:textId="77777777" w:rsidR="00A647BB" w:rsidRPr="00F6762D" w:rsidRDefault="00A647BB" w:rsidP="00395DA6">
            <w:pPr>
              <w:widowControl w:val="0"/>
              <w:autoSpaceDE w:val="0"/>
              <w:autoSpaceDN w:val="0"/>
              <w:adjustRightInd w:val="0"/>
              <w:rPr>
                <w:rFonts w:ascii="Arial Narrow" w:hAnsi="Arial Narrow" w:cs="Times"/>
                <w:color w:val="000000" w:themeColor="text1"/>
                <w:sz w:val="16"/>
                <w:szCs w:val="16"/>
                <w:lang w:val="es-PE"/>
              </w:rPr>
            </w:pPr>
          </w:p>
          <w:p w14:paraId="31C586B5" w14:textId="77777777" w:rsidR="00A647BB" w:rsidRPr="00F6762D" w:rsidRDefault="00A647BB" w:rsidP="00395DA6">
            <w:pPr>
              <w:widowControl w:val="0"/>
              <w:autoSpaceDE w:val="0"/>
              <w:autoSpaceDN w:val="0"/>
              <w:adjustRightInd w:val="0"/>
              <w:rPr>
                <w:rFonts w:ascii="Arial Narrow" w:hAnsi="Arial Narrow" w:cs="Times"/>
                <w:color w:val="000000" w:themeColor="text1"/>
                <w:sz w:val="16"/>
                <w:szCs w:val="16"/>
                <w:lang w:val="es-PE"/>
              </w:rPr>
            </w:pPr>
          </w:p>
          <w:p w14:paraId="01CDA054" w14:textId="77777777" w:rsidR="00A647BB" w:rsidRPr="00F6762D" w:rsidRDefault="00A647BB" w:rsidP="00395DA6">
            <w:pPr>
              <w:widowControl w:val="0"/>
              <w:autoSpaceDE w:val="0"/>
              <w:autoSpaceDN w:val="0"/>
              <w:adjustRightInd w:val="0"/>
              <w:rPr>
                <w:rFonts w:ascii="Arial Narrow" w:hAnsi="Arial Narrow" w:cs="Times"/>
                <w:color w:val="000000" w:themeColor="text1"/>
                <w:sz w:val="16"/>
                <w:szCs w:val="16"/>
                <w:lang w:val="es-PE"/>
              </w:rPr>
            </w:pPr>
          </w:p>
          <w:p w14:paraId="45F9AA68" w14:textId="77777777" w:rsidR="00A647BB" w:rsidRPr="00F6762D" w:rsidRDefault="00A647BB" w:rsidP="002323B9">
            <w:pPr>
              <w:widowControl w:val="0"/>
              <w:tabs>
                <w:tab w:val="left" w:pos="5529"/>
              </w:tabs>
              <w:rPr>
                <w:rFonts w:ascii="Arial Narrow" w:hAnsi="Arial Narrow"/>
                <w:color w:val="000000"/>
                <w:sz w:val="16"/>
                <w:szCs w:val="16"/>
                <w:lang w:val="es-PE"/>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C23BD3" w14:textId="77777777"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r w:rsidRPr="00072906">
              <w:rPr>
                <w:rFonts w:ascii="Arial Narrow" w:hAnsi="Arial Narrow" w:cs="Times"/>
                <w:noProof/>
                <w:color w:val="000000" w:themeColor="text1"/>
                <w:sz w:val="16"/>
                <w:szCs w:val="16"/>
              </w:rPr>
              <w:t>PDRC</w:t>
            </w:r>
          </w:p>
          <w:p w14:paraId="0C7DF4E8" w14:textId="77777777"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p>
          <w:p w14:paraId="5729274B" w14:textId="77777777"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p>
          <w:p w14:paraId="60D55F3B" w14:textId="77777777"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p>
          <w:p w14:paraId="20328A94" w14:textId="77777777" w:rsidR="00072906" w:rsidRPr="00072906" w:rsidRDefault="00072906" w:rsidP="00072906">
            <w:pPr>
              <w:widowControl w:val="0"/>
              <w:autoSpaceDE w:val="0"/>
              <w:autoSpaceDN w:val="0"/>
              <w:adjustRightInd w:val="0"/>
              <w:jc w:val="center"/>
              <w:rPr>
                <w:rFonts w:ascii="Arial Narrow" w:hAnsi="Arial Narrow" w:cs="Times"/>
                <w:noProof/>
                <w:color w:val="000000" w:themeColor="text1"/>
                <w:sz w:val="16"/>
                <w:szCs w:val="16"/>
              </w:rPr>
            </w:pPr>
            <w:r w:rsidRPr="00072906">
              <w:rPr>
                <w:rFonts w:ascii="Arial Narrow" w:hAnsi="Arial Narrow" w:cs="Times"/>
                <w:noProof/>
                <w:color w:val="000000" w:themeColor="text1"/>
                <w:sz w:val="16"/>
                <w:szCs w:val="16"/>
              </w:rPr>
              <w:t>PDRC</w:t>
            </w:r>
          </w:p>
          <w:p w14:paraId="74B3455A" w14:textId="77777777"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p>
          <w:p w14:paraId="160B3B10" w14:textId="77777777" w:rsidR="00A647BB" w:rsidRPr="00072906" w:rsidRDefault="00A647BB" w:rsidP="002323B9">
            <w:pPr>
              <w:widowControl w:val="0"/>
              <w:tabs>
                <w:tab w:val="left" w:pos="5529"/>
              </w:tabs>
              <w:rPr>
                <w:rFonts w:ascii="Arial Narrow" w:hAnsi="Arial Narrow"/>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78959E" w14:textId="71939BDD" w:rsidR="00A647BB" w:rsidRPr="00072906" w:rsidRDefault="00072906" w:rsidP="00395DA6">
            <w:pPr>
              <w:widowControl w:val="0"/>
              <w:autoSpaceDE w:val="0"/>
              <w:autoSpaceDN w:val="0"/>
              <w:adjustRightInd w:val="0"/>
              <w:jc w:val="center"/>
              <w:rPr>
                <w:rFonts w:ascii="Arial Narrow" w:hAnsi="Arial Narrow" w:cs="Times"/>
                <w:noProof/>
                <w:color w:val="000000" w:themeColor="text1"/>
                <w:sz w:val="16"/>
                <w:szCs w:val="16"/>
              </w:rPr>
            </w:pPr>
            <w:r w:rsidRPr="00072906">
              <w:rPr>
                <w:rFonts w:ascii="Arial Narrow" w:hAnsi="Arial Narrow" w:cs="Times"/>
                <w:noProof/>
                <w:color w:val="000000" w:themeColor="text1"/>
                <w:sz w:val="16"/>
                <w:szCs w:val="16"/>
              </w:rPr>
              <w:t>6,482</w:t>
            </w:r>
          </w:p>
          <w:p w14:paraId="5910950E" w14:textId="77777777"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p>
          <w:p w14:paraId="6C331EF0" w14:textId="77777777" w:rsidR="00A647BB" w:rsidRPr="00072906" w:rsidRDefault="00A647BB" w:rsidP="00395DA6">
            <w:pPr>
              <w:widowControl w:val="0"/>
              <w:autoSpaceDE w:val="0"/>
              <w:autoSpaceDN w:val="0"/>
              <w:adjustRightInd w:val="0"/>
              <w:rPr>
                <w:rFonts w:ascii="Arial Narrow" w:hAnsi="Arial Narrow" w:cs="Times"/>
                <w:noProof/>
                <w:color w:val="000000" w:themeColor="text1"/>
                <w:sz w:val="16"/>
                <w:szCs w:val="16"/>
              </w:rPr>
            </w:pPr>
          </w:p>
          <w:p w14:paraId="4720FF26" w14:textId="77777777" w:rsidR="00A647BB" w:rsidRDefault="00A647BB" w:rsidP="002323B9">
            <w:pPr>
              <w:widowControl w:val="0"/>
              <w:tabs>
                <w:tab w:val="left" w:pos="5529"/>
              </w:tabs>
              <w:jc w:val="center"/>
              <w:rPr>
                <w:rFonts w:ascii="Arial Narrow" w:hAnsi="Arial Narrow"/>
                <w:color w:val="000000"/>
                <w:sz w:val="16"/>
                <w:szCs w:val="16"/>
              </w:rPr>
            </w:pPr>
          </w:p>
          <w:p w14:paraId="47E5A223" w14:textId="57E926C6" w:rsidR="00072906" w:rsidRPr="00072906" w:rsidRDefault="00072906" w:rsidP="002323B9">
            <w:pPr>
              <w:widowControl w:val="0"/>
              <w:tabs>
                <w:tab w:val="left" w:pos="5529"/>
              </w:tabs>
              <w:jc w:val="center"/>
              <w:rPr>
                <w:rFonts w:ascii="Arial Narrow" w:hAnsi="Arial Narrow"/>
                <w:color w:val="000000"/>
                <w:sz w:val="16"/>
                <w:szCs w:val="16"/>
              </w:rPr>
            </w:pPr>
            <w:r>
              <w:rPr>
                <w:rFonts w:ascii="Arial Narrow" w:hAnsi="Arial Narrow"/>
                <w:color w:val="000000"/>
                <w:sz w:val="16"/>
                <w:szCs w:val="16"/>
              </w:rPr>
              <w:t>15%</w:t>
            </w:r>
          </w:p>
        </w:tc>
        <w:tc>
          <w:tcPr>
            <w:tcW w:w="709" w:type="dxa"/>
            <w:tcBorders>
              <w:top w:val="single" w:sz="4" w:space="0" w:color="000000"/>
              <w:left w:val="single" w:sz="4" w:space="0" w:color="000000"/>
              <w:bottom w:val="single" w:sz="4" w:space="0" w:color="000000"/>
              <w:right w:val="single" w:sz="4" w:space="0" w:color="000000"/>
            </w:tcBorders>
          </w:tcPr>
          <w:p w14:paraId="0036C9C3" w14:textId="77777777" w:rsidR="00A647BB" w:rsidRDefault="00A647BB" w:rsidP="00395DA6">
            <w:pPr>
              <w:widowControl w:val="0"/>
              <w:autoSpaceDE w:val="0"/>
              <w:autoSpaceDN w:val="0"/>
              <w:adjustRightInd w:val="0"/>
              <w:jc w:val="center"/>
              <w:rPr>
                <w:rFonts w:ascii="Arial Narrow" w:hAnsi="Arial Narrow" w:cs="Times"/>
                <w:noProof/>
                <w:color w:val="000000" w:themeColor="text1"/>
                <w:sz w:val="16"/>
                <w:szCs w:val="16"/>
              </w:rPr>
            </w:pPr>
            <w:r w:rsidRPr="00072906">
              <w:rPr>
                <w:rFonts w:ascii="Arial Narrow" w:hAnsi="Arial Narrow" w:cs="Times"/>
                <w:noProof/>
                <w:color w:val="000000" w:themeColor="text1"/>
                <w:sz w:val="16"/>
                <w:szCs w:val="16"/>
              </w:rPr>
              <w:t>2013</w:t>
            </w:r>
          </w:p>
          <w:p w14:paraId="4DFB10CE" w14:textId="77777777" w:rsidR="00072906" w:rsidRDefault="00072906" w:rsidP="00395DA6">
            <w:pPr>
              <w:widowControl w:val="0"/>
              <w:autoSpaceDE w:val="0"/>
              <w:autoSpaceDN w:val="0"/>
              <w:adjustRightInd w:val="0"/>
              <w:jc w:val="center"/>
              <w:rPr>
                <w:rFonts w:ascii="Arial Narrow" w:hAnsi="Arial Narrow" w:cs="Times"/>
                <w:noProof/>
                <w:color w:val="000000" w:themeColor="text1"/>
                <w:sz w:val="16"/>
                <w:szCs w:val="16"/>
              </w:rPr>
            </w:pPr>
          </w:p>
          <w:p w14:paraId="33C07BCA" w14:textId="77777777" w:rsidR="00072906" w:rsidRDefault="00072906" w:rsidP="00395DA6">
            <w:pPr>
              <w:widowControl w:val="0"/>
              <w:autoSpaceDE w:val="0"/>
              <w:autoSpaceDN w:val="0"/>
              <w:adjustRightInd w:val="0"/>
              <w:jc w:val="center"/>
              <w:rPr>
                <w:rFonts w:ascii="Arial Narrow" w:hAnsi="Arial Narrow" w:cs="Times"/>
                <w:noProof/>
                <w:color w:val="000000" w:themeColor="text1"/>
                <w:sz w:val="16"/>
                <w:szCs w:val="16"/>
              </w:rPr>
            </w:pPr>
          </w:p>
          <w:p w14:paraId="7A59BCC3" w14:textId="77777777" w:rsidR="00072906" w:rsidRDefault="00072906" w:rsidP="00395DA6">
            <w:pPr>
              <w:widowControl w:val="0"/>
              <w:autoSpaceDE w:val="0"/>
              <w:autoSpaceDN w:val="0"/>
              <w:adjustRightInd w:val="0"/>
              <w:jc w:val="center"/>
              <w:rPr>
                <w:rFonts w:ascii="Arial Narrow" w:hAnsi="Arial Narrow" w:cs="Times"/>
                <w:noProof/>
                <w:color w:val="000000" w:themeColor="text1"/>
                <w:sz w:val="16"/>
                <w:szCs w:val="16"/>
              </w:rPr>
            </w:pPr>
          </w:p>
          <w:p w14:paraId="4F082C2D" w14:textId="0793AB58" w:rsidR="00072906" w:rsidRPr="00072906" w:rsidRDefault="00072906" w:rsidP="00072906">
            <w:pPr>
              <w:widowControl w:val="0"/>
              <w:autoSpaceDE w:val="0"/>
              <w:autoSpaceDN w:val="0"/>
              <w:adjustRightInd w:val="0"/>
              <w:rPr>
                <w:rFonts w:ascii="Arial Narrow" w:hAnsi="Arial Narrow" w:cs="Times"/>
                <w:noProof/>
                <w:color w:val="000000" w:themeColor="text1"/>
                <w:sz w:val="16"/>
                <w:szCs w:val="16"/>
              </w:rPr>
            </w:pPr>
            <w:r>
              <w:rPr>
                <w:rFonts w:ascii="Arial Narrow" w:hAnsi="Arial Narrow" w:cs="Times"/>
                <w:noProof/>
                <w:color w:val="000000" w:themeColor="text1"/>
                <w:sz w:val="16"/>
                <w:szCs w:val="16"/>
              </w:rPr>
              <w:t>2015</w:t>
            </w:r>
          </w:p>
          <w:p w14:paraId="50E6F8F5" w14:textId="77777777"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p>
          <w:p w14:paraId="47E9B4E8" w14:textId="77777777"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p>
          <w:p w14:paraId="6BCE11B4" w14:textId="77777777" w:rsidR="00A647BB" w:rsidRPr="00072906" w:rsidRDefault="00A647BB" w:rsidP="00395DA6">
            <w:pPr>
              <w:widowControl w:val="0"/>
              <w:autoSpaceDE w:val="0"/>
              <w:autoSpaceDN w:val="0"/>
              <w:adjustRightInd w:val="0"/>
              <w:rPr>
                <w:rFonts w:ascii="Arial Narrow" w:hAnsi="Arial Narrow" w:cs="Times"/>
                <w:noProof/>
                <w:color w:val="000000" w:themeColor="text1"/>
                <w:sz w:val="16"/>
                <w:szCs w:val="16"/>
              </w:rPr>
            </w:pPr>
          </w:p>
          <w:p w14:paraId="5B8A1608" w14:textId="77777777"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p>
          <w:p w14:paraId="4F8A03F0" w14:textId="77777777" w:rsidR="00A647BB" w:rsidRPr="00072906" w:rsidRDefault="00A647BB" w:rsidP="002323B9">
            <w:pPr>
              <w:widowControl w:val="0"/>
              <w:tabs>
                <w:tab w:val="left" w:pos="5529"/>
              </w:tabs>
              <w:jc w:val="center"/>
              <w:rPr>
                <w:rFonts w:ascii="Arial Narrow" w:hAnsi="Arial Narrow"/>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C239F" w14:textId="02ED8006" w:rsidR="00A647BB" w:rsidRPr="00072906" w:rsidRDefault="00A647BB" w:rsidP="00395DA6">
            <w:pPr>
              <w:widowControl w:val="0"/>
              <w:autoSpaceDE w:val="0"/>
              <w:autoSpaceDN w:val="0"/>
              <w:adjustRightInd w:val="0"/>
              <w:jc w:val="center"/>
              <w:rPr>
                <w:rFonts w:ascii="Arial Narrow" w:hAnsi="Arial Narrow" w:cs="Times"/>
                <w:noProof/>
                <w:color w:val="000000" w:themeColor="text1"/>
                <w:sz w:val="16"/>
                <w:szCs w:val="16"/>
              </w:rPr>
            </w:pPr>
            <w:r w:rsidRPr="00072906">
              <w:rPr>
                <w:rFonts w:ascii="Arial Narrow" w:hAnsi="Arial Narrow" w:cs="Times"/>
                <w:noProof/>
                <w:color w:val="000000" w:themeColor="text1"/>
                <w:sz w:val="16"/>
                <w:szCs w:val="16"/>
              </w:rPr>
              <w:t>menos de 1</w:t>
            </w:r>
            <w:r w:rsidR="00072906" w:rsidRPr="00072906">
              <w:rPr>
                <w:rFonts w:ascii="Arial Narrow" w:hAnsi="Arial Narrow" w:cs="Times"/>
                <w:noProof/>
                <w:color w:val="000000" w:themeColor="text1"/>
                <w:sz w:val="16"/>
                <w:szCs w:val="16"/>
              </w:rPr>
              <w:t>000 ha/año</w:t>
            </w:r>
            <w:r w:rsidRPr="00072906">
              <w:rPr>
                <w:rStyle w:val="FootnoteReference"/>
                <w:rFonts w:ascii="Arial Narrow" w:hAnsi="Arial Narrow" w:cs="Times"/>
                <w:noProof/>
                <w:color w:val="000000" w:themeColor="text1"/>
                <w:sz w:val="16"/>
                <w:szCs w:val="16"/>
              </w:rPr>
              <w:footnoteReference w:id="14"/>
            </w:r>
          </w:p>
          <w:p w14:paraId="26816F32" w14:textId="77777777" w:rsidR="00A647BB" w:rsidRDefault="00A647BB" w:rsidP="002323B9">
            <w:pPr>
              <w:widowControl w:val="0"/>
              <w:tabs>
                <w:tab w:val="left" w:pos="5529"/>
              </w:tabs>
              <w:jc w:val="center"/>
              <w:rPr>
                <w:rFonts w:ascii="Arial Narrow" w:hAnsi="Arial Narrow"/>
                <w:color w:val="000000"/>
                <w:sz w:val="16"/>
                <w:szCs w:val="16"/>
              </w:rPr>
            </w:pPr>
          </w:p>
          <w:p w14:paraId="4E938EE8" w14:textId="77777777" w:rsidR="00072906" w:rsidRDefault="00072906" w:rsidP="002323B9">
            <w:pPr>
              <w:widowControl w:val="0"/>
              <w:tabs>
                <w:tab w:val="left" w:pos="5529"/>
              </w:tabs>
              <w:jc w:val="center"/>
              <w:rPr>
                <w:rFonts w:ascii="Arial Narrow" w:hAnsi="Arial Narrow"/>
                <w:color w:val="000000"/>
                <w:sz w:val="16"/>
                <w:szCs w:val="16"/>
              </w:rPr>
            </w:pPr>
          </w:p>
          <w:p w14:paraId="7CC5E540" w14:textId="0DDE2789" w:rsidR="00072906" w:rsidRPr="00072906" w:rsidRDefault="00072906" w:rsidP="002323B9">
            <w:pPr>
              <w:widowControl w:val="0"/>
              <w:tabs>
                <w:tab w:val="left" w:pos="5529"/>
              </w:tabs>
              <w:jc w:val="center"/>
              <w:rPr>
                <w:rFonts w:ascii="Arial Narrow" w:hAnsi="Arial Narrow"/>
                <w:color w:val="000000"/>
                <w:sz w:val="16"/>
                <w:szCs w:val="16"/>
              </w:rPr>
            </w:pPr>
            <w:r>
              <w:rPr>
                <w:rFonts w:ascii="Arial Narrow" w:hAnsi="Arial Narrow"/>
                <w:color w:val="000000"/>
                <w:sz w:val="16"/>
                <w:szCs w:val="16"/>
              </w:rPr>
              <w:t>hasta 25%</w:t>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FA538B" w14:textId="77777777" w:rsidR="00A647BB" w:rsidRPr="00072906" w:rsidRDefault="00A647BB" w:rsidP="00395DA6">
            <w:pPr>
              <w:widowControl w:val="0"/>
              <w:autoSpaceDE w:val="0"/>
              <w:autoSpaceDN w:val="0"/>
              <w:adjustRightInd w:val="0"/>
              <w:jc w:val="both"/>
              <w:rPr>
                <w:rFonts w:ascii="Arial Narrow" w:hAnsi="Arial Narrow" w:cs="Times"/>
                <w:noProof/>
                <w:color w:val="000000" w:themeColor="text1"/>
                <w:sz w:val="16"/>
                <w:szCs w:val="16"/>
              </w:rPr>
            </w:pPr>
            <w:r w:rsidRPr="00072906">
              <w:rPr>
                <w:rFonts w:ascii="Arial Narrow" w:hAnsi="Arial Narrow" w:cs="Times"/>
                <w:b/>
                <w:i/>
                <w:noProof/>
                <w:color w:val="000000" w:themeColor="text1"/>
                <w:sz w:val="16"/>
                <w:szCs w:val="16"/>
              </w:rPr>
              <w:t>Medios de verificación:</w:t>
            </w:r>
            <w:r w:rsidRPr="00072906">
              <w:rPr>
                <w:rFonts w:ascii="Arial Narrow" w:hAnsi="Arial Narrow" w:cs="Times"/>
                <w:i/>
                <w:noProof/>
                <w:color w:val="000000" w:themeColor="text1"/>
                <w:sz w:val="16"/>
                <w:szCs w:val="16"/>
              </w:rPr>
              <w:t xml:space="preserve"> </w:t>
            </w:r>
            <w:r w:rsidRPr="00072906">
              <w:rPr>
                <w:rFonts w:ascii="Arial Narrow" w:hAnsi="Arial Narrow" w:cs="Times"/>
                <w:noProof/>
                <w:color w:val="000000" w:themeColor="text1"/>
                <w:sz w:val="16"/>
                <w:szCs w:val="16"/>
              </w:rPr>
              <w:t xml:space="preserve">reportes anuales de GEOBOSQUES (cobertua de bosque y no bosque). </w:t>
            </w:r>
          </w:p>
          <w:p w14:paraId="1E63ACA7" w14:textId="77777777" w:rsidR="00A647BB" w:rsidRPr="00072906" w:rsidRDefault="00A647BB" w:rsidP="00395DA6">
            <w:pPr>
              <w:widowControl w:val="0"/>
              <w:autoSpaceDE w:val="0"/>
              <w:autoSpaceDN w:val="0"/>
              <w:adjustRightInd w:val="0"/>
              <w:jc w:val="both"/>
              <w:rPr>
                <w:rFonts w:ascii="Arial Narrow" w:hAnsi="Arial Narrow" w:cs="Times"/>
                <w:noProof/>
                <w:color w:val="000000" w:themeColor="text1"/>
                <w:sz w:val="16"/>
                <w:szCs w:val="16"/>
              </w:rPr>
            </w:pPr>
          </w:p>
          <w:p w14:paraId="70E33C23" w14:textId="77777777" w:rsidR="00A647BB" w:rsidRDefault="00A647BB" w:rsidP="00395DA6">
            <w:pPr>
              <w:widowControl w:val="0"/>
              <w:autoSpaceDE w:val="0"/>
              <w:autoSpaceDN w:val="0"/>
              <w:adjustRightInd w:val="0"/>
              <w:jc w:val="both"/>
              <w:rPr>
                <w:rFonts w:ascii="Arial Narrow" w:hAnsi="Arial Narrow" w:cs="Times"/>
                <w:noProof/>
                <w:color w:val="000000" w:themeColor="text1"/>
                <w:sz w:val="16"/>
                <w:szCs w:val="16"/>
              </w:rPr>
            </w:pPr>
          </w:p>
          <w:p w14:paraId="04D65E98" w14:textId="77777777" w:rsidR="00072906" w:rsidRDefault="00072906" w:rsidP="00072906">
            <w:pPr>
              <w:widowControl w:val="0"/>
              <w:autoSpaceDE w:val="0"/>
              <w:autoSpaceDN w:val="0"/>
              <w:adjustRightInd w:val="0"/>
              <w:jc w:val="both"/>
              <w:rPr>
                <w:rFonts w:ascii="Arial Narrow" w:hAnsi="Arial Narrow" w:cs="Times"/>
                <w:i/>
                <w:noProof/>
                <w:color w:val="000000" w:themeColor="text1"/>
                <w:sz w:val="16"/>
                <w:szCs w:val="16"/>
              </w:rPr>
            </w:pPr>
            <w:r>
              <w:rPr>
                <w:rFonts w:ascii="Arial Narrow" w:hAnsi="Arial Narrow" w:cs="Times"/>
                <w:b/>
                <w:i/>
                <w:noProof/>
                <w:color w:val="000000" w:themeColor="text1"/>
                <w:sz w:val="16"/>
                <w:szCs w:val="16"/>
              </w:rPr>
              <w:t>Medios de verificación</w:t>
            </w:r>
            <w:r w:rsidRPr="00072906">
              <w:rPr>
                <w:rFonts w:ascii="Arial Narrow" w:hAnsi="Arial Narrow" w:cs="Times"/>
                <w:b/>
                <w:i/>
                <w:noProof/>
                <w:color w:val="000000" w:themeColor="text1"/>
                <w:sz w:val="16"/>
                <w:szCs w:val="16"/>
              </w:rPr>
              <w:t>:</w:t>
            </w:r>
            <w:r w:rsidRPr="00072906">
              <w:rPr>
                <w:rFonts w:ascii="Arial Narrow" w:hAnsi="Arial Narrow" w:cs="Times"/>
                <w:i/>
                <w:noProof/>
                <w:color w:val="000000" w:themeColor="text1"/>
                <w:sz w:val="16"/>
                <w:szCs w:val="16"/>
              </w:rPr>
              <w:t xml:space="preserve"> </w:t>
            </w:r>
            <w:r>
              <w:rPr>
                <w:rFonts w:ascii="Arial Narrow" w:hAnsi="Arial Narrow" w:cs="Times"/>
                <w:i/>
                <w:noProof/>
                <w:color w:val="000000" w:themeColor="text1"/>
                <w:sz w:val="16"/>
                <w:szCs w:val="16"/>
              </w:rPr>
              <w:t>listado de áreas naturales protegidas oficial SERNANP</w:t>
            </w:r>
          </w:p>
          <w:p w14:paraId="65B1DE95" w14:textId="77777777" w:rsidR="00072906" w:rsidRPr="00072906" w:rsidRDefault="00072906" w:rsidP="00395DA6">
            <w:pPr>
              <w:widowControl w:val="0"/>
              <w:autoSpaceDE w:val="0"/>
              <w:autoSpaceDN w:val="0"/>
              <w:adjustRightInd w:val="0"/>
              <w:jc w:val="both"/>
              <w:rPr>
                <w:rFonts w:ascii="Arial Narrow" w:hAnsi="Arial Narrow" w:cs="Times"/>
                <w:noProof/>
                <w:color w:val="000000" w:themeColor="text1"/>
                <w:sz w:val="16"/>
                <w:szCs w:val="16"/>
              </w:rPr>
            </w:pPr>
          </w:p>
          <w:p w14:paraId="5886FC44" w14:textId="77777777" w:rsidR="00A647BB" w:rsidRPr="00072906" w:rsidRDefault="00A647BB" w:rsidP="00395DA6">
            <w:pPr>
              <w:widowControl w:val="0"/>
              <w:autoSpaceDE w:val="0"/>
              <w:autoSpaceDN w:val="0"/>
              <w:adjustRightInd w:val="0"/>
              <w:jc w:val="both"/>
              <w:rPr>
                <w:rFonts w:ascii="Arial Narrow" w:hAnsi="Arial Narrow" w:cs="Times"/>
                <w:noProof/>
                <w:color w:val="000000" w:themeColor="text1"/>
                <w:sz w:val="16"/>
                <w:szCs w:val="16"/>
              </w:rPr>
            </w:pPr>
          </w:p>
          <w:p w14:paraId="4D88B45D" w14:textId="77777777" w:rsidR="00A647BB" w:rsidRPr="00072906" w:rsidRDefault="00A647BB" w:rsidP="00395DA6">
            <w:pPr>
              <w:widowControl w:val="0"/>
              <w:autoSpaceDE w:val="0"/>
              <w:autoSpaceDN w:val="0"/>
              <w:adjustRightInd w:val="0"/>
              <w:jc w:val="both"/>
              <w:rPr>
                <w:rFonts w:ascii="Arial Narrow" w:hAnsi="Arial Narrow" w:cs="Times"/>
                <w:noProof/>
                <w:color w:val="000000" w:themeColor="text1"/>
                <w:sz w:val="16"/>
                <w:szCs w:val="16"/>
              </w:rPr>
            </w:pPr>
          </w:p>
          <w:p w14:paraId="107C30B3" w14:textId="77777777" w:rsidR="00A647BB" w:rsidRPr="00072906" w:rsidRDefault="00A647BB" w:rsidP="00395DA6">
            <w:pPr>
              <w:widowControl w:val="0"/>
              <w:autoSpaceDE w:val="0"/>
              <w:autoSpaceDN w:val="0"/>
              <w:adjustRightInd w:val="0"/>
              <w:jc w:val="both"/>
              <w:rPr>
                <w:rFonts w:ascii="Arial Narrow" w:hAnsi="Arial Narrow" w:cs="Times"/>
                <w:noProof/>
                <w:color w:val="000000" w:themeColor="text1"/>
                <w:sz w:val="16"/>
                <w:szCs w:val="16"/>
              </w:rPr>
            </w:pPr>
          </w:p>
          <w:p w14:paraId="4EF8CB00" w14:textId="77777777" w:rsidR="00A647BB" w:rsidRPr="00072906" w:rsidRDefault="00A647BB" w:rsidP="002323B9">
            <w:pPr>
              <w:widowControl w:val="0"/>
              <w:tabs>
                <w:tab w:val="left" w:pos="5529"/>
              </w:tabs>
              <w:rPr>
                <w:rFonts w:ascii="Arial Narrow" w:hAnsi="Arial Narrow"/>
                <w:b/>
                <w:i/>
                <w:color w:val="000000"/>
                <w:sz w:val="16"/>
                <w:szCs w:val="16"/>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64FF80" w14:textId="77777777" w:rsidR="00A647BB" w:rsidRDefault="00A647BB" w:rsidP="00395DA6">
            <w:pPr>
              <w:widowControl w:val="0"/>
              <w:autoSpaceDE w:val="0"/>
              <w:autoSpaceDN w:val="0"/>
              <w:adjustRightInd w:val="0"/>
              <w:ind w:right="34"/>
              <w:jc w:val="both"/>
              <w:rPr>
                <w:rFonts w:ascii="Arial Narrow" w:hAnsi="Arial Narrow" w:cs="Times"/>
                <w:noProof/>
                <w:color w:val="000000" w:themeColor="text1"/>
                <w:sz w:val="16"/>
                <w:szCs w:val="16"/>
              </w:rPr>
            </w:pPr>
            <w:r>
              <w:rPr>
                <w:rFonts w:ascii="Arial Narrow" w:hAnsi="Arial Narrow" w:cs="Times"/>
                <w:noProof/>
                <w:color w:val="000000" w:themeColor="text1"/>
                <w:sz w:val="16"/>
                <w:szCs w:val="16"/>
              </w:rPr>
              <w:t xml:space="preserve">Se cuenta con los recursos necesarios para la implementación de la estrategia y su plan de inversión. </w:t>
            </w:r>
          </w:p>
          <w:p w14:paraId="48AA7504" w14:textId="77777777" w:rsidR="00A647BB" w:rsidRDefault="00A647BB" w:rsidP="00395DA6">
            <w:pPr>
              <w:widowControl w:val="0"/>
              <w:autoSpaceDE w:val="0"/>
              <w:autoSpaceDN w:val="0"/>
              <w:adjustRightInd w:val="0"/>
              <w:ind w:right="34"/>
              <w:jc w:val="both"/>
              <w:rPr>
                <w:rFonts w:ascii="Arial Narrow" w:hAnsi="Arial Narrow" w:cs="Times"/>
                <w:noProof/>
                <w:color w:val="000000" w:themeColor="text1"/>
                <w:sz w:val="16"/>
                <w:szCs w:val="16"/>
              </w:rPr>
            </w:pPr>
          </w:p>
          <w:p w14:paraId="4E57F80A" w14:textId="77777777" w:rsidR="00A647BB" w:rsidRDefault="00A647BB" w:rsidP="00395DA6">
            <w:pPr>
              <w:widowControl w:val="0"/>
              <w:autoSpaceDE w:val="0"/>
              <w:autoSpaceDN w:val="0"/>
              <w:adjustRightInd w:val="0"/>
              <w:ind w:right="34"/>
              <w:jc w:val="both"/>
              <w:rPr>
                <w:rFonts w:ascii="Arial Narrow" w:hAnsi="Arial Narrow" w:cs="Times"/>
                <w:noProof/>
                <w:color w:val="000000" w:themeColor="text1"/>
                <w:sz w:val="16"/>
                <w:szCs w:val="16"/>
              </w:rPr>
            </w:pPr>
            <w:r>
              <w:rPr>
                <w:rFonts w:ascii="Arial Narrow" w:hAnsi="Arial Narrow" w:cs="Times"/>
                <w:noProof/>
                <w:color w:val="000000" w:themeColor="text1"/>
                <w:sz w:val="16"/>
                <w:szCs w:val="16"/>
              </w:rPr>
              <w:t xml:space="preserve">Los actores claves se han comprometido en la implementación de la estrategia y plan de inversión. </w:t>
            </w:r>
          </w:p>
          <w:p w14:paraId="3990977E" w14:textId="77777777" w:rsidR="00A647BB" w:rsidRPr="00B0749C" w:rsidRDefault="00A647BB" w:rsidP="002323B9">
            <w:pPr>
              <w:widowControl w:val="0"/>
              <w:tabs>
                <w:tab w:val="left" w:pos="5529"/>
              </w:tabs>
              <w:ind w:right="34"/>
              <w:rPr>
                <w:rFonts w:ascii="Arial Narrow" w:hAnsi="Arial Narrow"/>
                <w:color w:val="000000"/>
                <w:sz w:val="16"/>
                <w:szCs w:val="16"/>
              </w:rPr>
            </w:pPr>
          </w:p>
        </w:tc>
      </w:tr>
      <w:tr w:rsidR="004106B5" w:rsidRPr="00B0749C" w14:paraId="2B664D45" w14:textId="77777777" w:rsidTr="001327F2">
        <w:tc>
          <w:tcPr>
            <w:tcW w:w="1844" w:type="dxa"/>
            <w:tcBorders>
              <w:top w:val="single" w:sz="4" w:space="0" w:color="000000"/>
              <w:left w:val="single" w:sz="4" w:space="0" w:color="000000"/>
              <w:right w:val="single" w:sz="4" w:space="0" w:color="000000"/>
            </w:tcBorders>
            <w:tcMar>
              <w:top w:w="0" w:type="dxa"/>
              <w:left w:w="0" w:type="dxa"/>
              <w:bottom w:w="0" w:type="dxa"/>
              <w:right w:w="0" w:type="dxa"/>
            </w:tcMar>
          </w:tcPr>
          <w:p w14:paraId="79EB617C" w14:textId="2EF7ABA3" w:rsidR="004106B5" w:rsidRPr="005F7D91" w:rsidRDefault="004106B5" w:rsidP="002323B9">
            <w:pPr>
              <w:widowControl w:val="0"/>
              <w:tabs>
                <w:tab w:val="left" w:pos="5529"/>
              </w:tabs>
              <w:rPr>
                <w:rFonts w:ascii="Arial Narrow" w:hAnsi="Arial Narrow" w:cs="Times"/>
                <w:i/>
                <w:color w:val="000000" w:themeColor="text1"/>
                <w:sz w:val="16"/>
                <w:szCs w:val="16"/>
              </w:rPr>
            </w:pPr>
            <w:r w:rsidRPr="003901E8">
              <w:rPr>
                <w:rFonts w:ascii="Arial Narrow" w:hAnsi="Arial Narrow" w:cs="Times"/>
                <w:i/>
                <w:color w:val="000000" w:themeColor="text1"/>
                <w:sz w:val="16"/>
                <w:szCs w:val="16"/>
              </w:rPr>
              <w:t>Resultado único como consecuencia de la implementación del proyecto</w:t>
            </w:r>
            <w:r>
              <w:rPr>
                <w:rFonts w:ascii="Arial Narrow" w:hAnsi="Arial Narrow" w:cs="Times"/>
                <w:color w:val="000000" w:themeColor="text1"/>
                <w:sz w:val="16"/>
                <w:szCs w:val="16"/>
              </w:rPr>
              <w:t>. El Gobierno Regional de Amazonas</w:t>
            </w:r>
            <w:r w:rsidRPr="005F7D91">
              <w:rPr>
                <w:rFonts w:ascii="Arial Narrow" w:hAnsi="Arial Narrow" w:cs="Times"/>
                <w:color w:val="000000" w:themeColor="text1"/>
                <w:sz w:val="16"/>
                <w:szCs w:val="16"/>
              </w:rPr>
              <w:t xml:space="preserve"> y los principales actores de esta región</w:t>
            </w:r>
            <w:r>
              <w:rPr>
                <w:rFonts w:ascii="Arial Narrow" w:hAnsi="Arial Narrow" w:cs="Times"/>
                <w:color w:val="000000" w:themeColor="text1"/>
                <w:sz w:val="16"/>
                <w:szCs w:val="16"/>
              </w:rPr>
              <w:t xml:space="preserve"> cuentan con compromisos para implementar la </w:t>
            </w:r>
            <w:r w:rsidRPr="005F7D91">
              <w:rPr>
                <w:rFonts w:ascii="Arial Narrow" w:hAnsi="Arial Narrow" w:cs="Times"/>
                <w:color w:val="000000" w:themeColor="text1"/>
                <w:sz w:val="16"/>
                <w:szCs w:val="16"/>
              </w:rPr>
              <w:t>estrategia regi</w:t>
            </w:r>
            <w:r>
              <w:rPr>
                <w:rFonts w:ascii="Arial Narrow" w:hAnsi="Arial Narrow" w:cs="Times"/>
                <w:color w:val="000000" w:themeColor="text1"/>
                <w:sz w:val="16"/>
                <w:szCs w:val="16"/>
              </w:rPr>
              <w:t>o</w:t>
            </w:r>
            <w:r w:rsidRPr="005F7D91">
              <w:rPr>
                <w:rFonts w:ascii="Arial Narrow" w:hAnsi="Arial Narrow" w:cs="Times"/>
                <w:color w:val="000000" w:themeColor="text1"/>
                <w:sz w:val="16"/>
                <w:szCs w:val="16"/>
              </w:rPr>
              <w:t>nal de des</w:t>
            </w:r>
            <w:r>
              <w:rPr>
                <w:rFonts w:ascii="Arial Narrow" w:hAnsi="Arial Narrow" w:cs="Times"/>
                <w:color w:val="000000" w:themeColor="text1"/>
                <w:sz w:val="16"/>
                <w:szCs w:val="16"/>
              </w:rPr>
              <w:t xml:space="preserve">arrollo rural bajo en emisiones y su plan de inversiones bajo un enfoque de gestión de paisajes e inclusión.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07CAD5" w14:textId="6E8304E3" w:rsidR="004106B5" w:rsidRPr="00A647BB" w:rsidRDefault="004106B5" w:rsidP="00395DA6">
            <w:pPr>
              <w:widowControl w:val="0"/>
              <w:autoSpaceDE w:val="0"/>
              <w:autoSpaceDN w:val="0"/>
              <w:adjustRightInd w:val="0"/>
              <w:rPr>
                <w:rFonts w:ascii="Arial Narrow" w:hAnsi="Arial Narrow" w:cs="Times"/>
                <w:color w:val="000000" w:themeColor="text1"/>
                <w:sz w:val="16"/>
                <w:szCs w:val="16"/>
                <w:highlight w:val="yellow"/>
                <w:lang w:val="es-PE"/>
              </w:rPr>
            </w:pPr>
            <w:r>
              <w:rPr>
                <w:rFonts w:ascii="Arial Narrow" w:hAnsi="Arial Narrow" w:cs="Times"/>
                <w:color w:val="000000" w:themeColor="text1"/>
                <w:sz w:val="16"/>
                <w:szCs w:val="16"/>
              </w:rPr>
              <w:t>Número de acuerdos sostenibles para la implementación de la estrategia de desarrollo rural bajo en emisiones y su plan de inversión.</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FD1FBB" w14:textId="335F638A" w:rsidR="004106B5" w:rsidRPr="00A647BB" w:rsidRDefault="004106B5" w:rsidP="00395DA6">
            <w:pPr>
              <w:widowControl w:val="0"/>
              <w:autoSpaceDE w:val="0"/>
              <w:autoSpaceDN w:val="0"/>
              <w:adjustRightInd w:val="0"/>
              <w:jc w:val="center"/>
              <w:rPr>
                <w:rFonts w:ascii="Arial Narrow" w:hAnsi="Arial Narrow" w:cs="Times"/>
                <w:noProof/>
                <w:color w:val="000000" w:themeColor="text1"/>
                <w:sz w:val="16"/>
                <w:szCs w:val="16"/>
                <w:highlight w:val="yellow"/>
              </w:rPr>
            </w:pPr>
            <w:r>
              <w:rPr>
                <w:rFonts w:ascii="Arial Narrow" w:hAnsi="Arial Narrow" w:cs="Times"/>
                <w:noProof/>
                <w:color w:val="000000" w:themeColor="text1"/>
                <w:sz w:val="16"/>
                <w:szCs w:val="16"/>
              </w:rPr>
              <w:t>Autoevaluación</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B6EDF3" w14:textId="6D7A6E56" w:rsidR="004106B5" w:rsidRPr="00A647BB" w:rsidRDefault="004106B5" w:rsidP="00395DA6">
            <w:pPr>
              <w:widowControl w:val="0"/>
              <w:autoSpaceDE w:val="0"/>
              <w:autoSpaceDN w:val="0"/>
              <w:adjustRightInd w:val="0"/>
              <w:jc w:val="center"/>
              <w:rPr>
                <w:rFonts w:ascii="Arial Narrow" w:hAnsi="Arial Narrow" w:cs="Times"/>
                <w:noProof/>
                <w:color w:val="000000" w:themeColor="text1"/>
                <w:sz w:val="16"/>
                <w:szCs w:val="16"/>
                <w:highlight w:val="yellow"/>
              </w:rPr>
            </w:pPr>
            <w:r>
              <w:rPr>
                <w:rFonts w:ascii="Arial Narrow" w:hAnsi="Arial Narrow" w:cs="Times"/>
                <w:noProof/>
                <w:color w:val="000000" w:themeColor="text1"/>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24D352C7" w14:textId="0CE7C4D8" w:rsidR="004106B5" w:rsidRPr="00A647BB" w:rsidRDefault="004106B5" w:rsidP="00395DA6">
            <w:pPr>
              <w:widowControl w:val="0"/>
              <w:autoSpaceDE w:val="0"/>
              <w:autoSpaceDN w:val="0"/>
              <w:adjustRightInd w:val="0"/>
              <w:jc w:val="center"/>
              <w:rPr>
                <w:rFonts w:ascii="Arial Narrow" w:hAnsi="Arial Narrow" w:cs="Times"/>
                <w:noProof/>
                <w:color w:val="000000" w:themeColor="text1"/>
                <w:sz w:val="16"/>
                <w:szCs w:val="16"/>
                <w:highlight w:val="yellow"/>
              </w:rPr>
            </w:pPr>
            <w:r>
              <w:rPr>
                <w:rFonts w:ascii="Arial Narrow" w:hAnsi="Arial Narrow" w:cs="Times"/>
                <w:noProof/>
                <w:color w:val="000000" w:themeColor="text1"/>
                <w:sz w:val="16"/>
                <w:szCs w:val="16"/>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1B6B6A" w14:textId="2164F656" w:rsidR="004106B5" w:rsidRPr="00A647BB" w:rsidRDefault="004106B5" w:rsidP="00CB6DA5">
            <w:pPr>
              <w:widowControl w:val="0"/>
              <w:autoSpaceDE w:val="0"/>
              <w:autoSpaceDN w:val="0"/>
              <w:adjustRightInd w:val="0"/>
              <w:jc w:val="center"/>
              <w:rPr>
                <w:rFonts w:ascii="Arial Narrow" w:hAnsi="Arial Narrow" w:cs="Times"/>
                <w:noProof/>
                <w:color w:val="000000" w:themeColor="text1"/>
                <w:sz w:val="16"/>
                <w:szCs w:val="16"/>
                <w:highlight w:val="yellow"/>
              </w:rPr>
            </w:pPr>
            <w:r>
              <w:rPr>
                <w:rFonts w:ascii="Arial Narrow" w:hAnsi="Arial Narrow" w:cs="Times"/>
                <w:noProof/>
                <w:color w:val="000000" w:themeColor="text1"/>
                <w:sz w:val="16"/>
                <w:szCs w:val="16"/>
              </w:rPr>
              <w:t xml:space="preserve">Al menos </w:t>
            </w:r>
            <w:r w:rsidR="00CB6DA5">
              <w:rPr>
                <w:rFonts w:ascii="Arial Narrow" w:hAnsi="Arial Narrow" w:cs="Times"/>
                <w:noProof/>
                <w:color w:val="000000" w:themeColor="text1"/>
                <w:sz w:val="16"/>
                <w:szCs w:val="16"/>
              </w:rPr>
              <w:t xml:space="preserve"> cuatro</w:t>
            </w:r>
            <w:r>
              <w:rPr>
                <w:rFonts w:ascii="Arial Narrow" w:hAnsi="Arial Narrow" w:cs="Times"/>
                <w:noProof/>
                <w:color w:val="000000" w:themeColor="text1"/>
                <w:sz w:val="16"/>
                <w:szCs w:val="16"/>
              </w:rPr>
              <w:t xml:space="preserve"> (considera municipios, organizaciones de productores y organizaciones de pueblos indigenas)</w:t>
            </w:r>
            <w:r>
              <w:rPr>
                <w:rStyle w:val="FootnoteReference"/>
                <w:rFonts w:ascii="Arial Narrow" w:hAnsi="Arial Narrow" w:cs="Times"/>
                <w:noProof/>
                <w:color w:val="000000" w:themeColor="text1"/>
                <w:sz w:val="16"/>
                <w:szCs w:val="16"/>
              </w:rPr>
              <w:footnoteReference w:id="15"/>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F4BA84" w14:textId="3E916311" w:rsidR="004106B5" w:rsidRPr="00A647BB" w:rsidRDefault="004106B5" w:rsidP="00395DA6">
            <w:pPr>
              <w:widowControl w:val="0"/>
              <w:autoSpaceDE w:val="0"/>
              <w:autoSpaceDN w:val="0"/>
              <w:adjustRightInd w:val="0"/>
              <w:jc w:val="both"/>
              <w:rPr>
                <w:rFonts w:ascii="Arial Narrow" w:hAnsi="Arial Narrow" w:cs="Times"/>
                <w:b/>
                <w:i/>
                <w:noProof/>
                <w:color w:val="000000" w:themeColor="text1"/>
                <w:sz w:val="16"/>
                <w:szCs w:val="16"/>
                <w:highlight w:val="yellow"/>
              </w:rPr>
            </w:pPr>
            <w:r w:rsidRPr="00B61E95">
              <w:rPr>
                <w:rFonts w:ascii="Arial Narrow" w:hAnsi="Arial Narrow" w:cs="Times"/>
                <w:b/>
                <w:i/>
                <w:noProof/>
                <w:color w:val="000000" w:themeColor="text1"/>
                <w:sz w:val="16"/>
                <w:szCs w:val="16"/>
              </w:rPr>
              <w:t>Medios de verificación:</w:t>
            </w:r>
            <w:r w:rsidRPr="00B61E95">
              <w:rPr>
                <w:rFonts w:ascii="Arial Narrow" w:hAnsi="Arial Narrow" w:cs="Times"/>
                <w:i/>
                <w:noProof/>
                <w:color w:val="000000" w:themeColor="text1"/>
                <w:sz w:val="16"/>
                <w:szCs w:val="16"/>
              </w:rPr>
              <w:t xml:space="preserve"> </w:t>
            </w:r>
            <w:r>
              <w:rPr>
                <w:rFonts w:ascii="Arial Narrow" w:hAnsi="Arial Narrow" w:cs="Times"/>
                <w:noProof/>
                <w:color w:val="000000" w:themeColor="text1"/>
                <w:sz w:val="16"/>
                <w:szCs w:val="16"/>
              </w:rPr>
              <w:t xml:space="preserve">evaluación independiente del proyecto. </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A44135" w14:textId="77777777" w:rsidR="004106B5" w:rsidRDefault="004106B5" w:rsidP="00395DA6">
            <w:pPr>
              <w:widowControl w:val="0"/>
              <w:autoSpaceDE w:val="0"/>
              <w:autoSpaceDN w:val="0"/>
              <w:adjustRightInd w:val="0"/>
              <w:ind w:right="34"/>
              <w:jc w:val="both"/>
              <w:rPr>
                <w:rFonts w:ascii="Arial Narrow" w:hAnsi="Arial Narrow" w:cs="Times"/>
                <w:noProof/>
                <w:color w:val="000000" w:themeColor="text1"/>
                <w:sz w:val="16"/>
                <w:szCs w:val="16"/>
              </w:rPr>
            </w:pPr>
          </w:p>
        </w:tc>
      </w:tr>
      <w:tr w:rsidR="00395DA6" w:rsidRPr="00B0749C" w14:paraId="28613EA0" w14:textId="77777777" w:rsidTr="001327F2">
        <w:trPr>
          <w:trHeight w:val="1570"/>
        </w:trPr>
        <w:tc>
          <w:tcPr>
            <w:tcW w:w="1844" w:type="dxa"/>
            <w:vMerge w:val="restart"/>
            <w:tcBorders>
              <w:top w:val="single" w:sz="4" w:space="0" w:color="000000"/>
              <w:left w:val="single" w:sz="4" w:space="0" w:color="000000"/>
              <w:right w:val="single" w:sz="4" w:space="0" w:color="000000"/>
            </w:tcBorders>
            <w:tcMar>
              <w:top w:w="0" w:type="dxa"/>
              <w:left w:w="0" w:type="dxa"/>
              <w:bottom w:w="0" w:type="dxa"/>
              <w:right w:w="0" w:type="dxa"/>
            </w:tcMar>
          </w:tcPr>
          <w:p w14:paraId="2E52EB96" w14:textId="0D6F9370" w:rsidR="00395DA6" w:rsidRPr="00B0749C" w:rsidRDefault="00395DA6" w:rsidP="002323B9">
            <w:pPr>
              <w:widowControl w:val="0"/>
              <w:tabs>
                <w:tab w:val="left" w:pos="5529"/>
              </w:tabs>
              <w:rPr>
                <w:rFonts w:ascii="Arial Narrow" w:hAnsi="Arial Narrow"/>
                <w:color w:val="000000"/>
                <w:sz w:val="16"/>
                <w:szCs w:val="16"/>
              </w:rPr>
            </w:pPr>
            <w:r>
              <w:rPr>
                <w:rFonts w:ascii="Arial Narrow" w:hAnsi="Arial Narrow"/>
                <w:color w:val="000000"/>
                <w:sz w:val="16"/>
                <w:szCs w:val="16"/>
              </w:rPr>
              <w:t xml:space="preserve">Producto 1. </w:t>
            </w:r>
            <w:r w:rsidRPr="00B0749C">
              <w:rPr>
                <w:rFonts w:ascii="Arial Narrow" w:hAnsi="Arial Narrow"/>
                <w:color w:val="000000"/>
                <w:sz w:val="16"/>
                <w:szCs w:val="16"/>
              </w:rPr>
              <w:t xml:space="preserve">Estrategia jurisdiccional de desarrollo rural bajo en emisiones, sustentada en un análisis de causas de la deforestación y diagnóstico de cuellos de botella de la producción regional, validada y adoptada por el Gobierno Regional </w:t>
            </w:r>
            <w:r w:rsidRPr="00B0749C">
              <w:rPr>
                <w:rFonts w:ascii="Arial Narrow" w:hAnsi="Arial Narrow"/>
                <w:color w:val="000000"/>
                <w:sz w:val="16"/>
                <w:szCs w:val="16"/>
              </w:rPr>
              <w:lastRenderedPageBreak/>
              <w:t>Amazonas</w:t>
            </w:r>
            <w:r w:rsidRPr="00B0749C">
              <w:rPr>
                <w:rFonts w:ascii="Arial Narrow" w:hAnsi="Arial Narrow"/>
                <w:color w:val="000000"/>
                <w:sz w:val="16"/>
                <w:szCs w:val="16"/>
                <w:vertAlign w:val="superscript"/>
              </w:rPr>
              <w:footnoteReference w:id="16"/>
            </w:r>
            <w:r w:rsidRPr="00B0749C">
              <w:rPr>
                <w:rFonts w:ascii="Arial Narrow" w:hAnsi="Arial Narrow"/>
                <w:color w:val="000000"/>
                <w:sz w:val="16"/>
                <w:szCs w:val="16"/>
              </w:rPr>
              <w:t xml:space="preserve"> y actores claves para reducir la desforestación.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3BB410" w14:textId="34D3D864" w:rsidR="00395DA6" w:rsidRPr="00B0749C" w:rsidRDefault="00395DA6" w:rsidP="002323B9">
            <w:pPr>
              <w:widowControl w:val="0"/>
              <w:tabs>
                <w:tab w:val="left" w:pos="5529"/>
              </w:tabs>
              <w:rPr>
                <w:rFonts w:ascii="Arial Narrow" w:hAnsi="Arial Narrow"/>
                <w:color w:val="000000"/>
                <w:sz w:val="16"/>
                <w:szCs w:val="16"/>
              </w:rPr>
            </w:pPr>
            <w:r>
              <w:rPr>
                <w:rFonts w:ascii="Arial Narrow" w:hAnsi="Arial Narrow"/>
                <w:color w:val="000000"/>
                <w:sz w:val="16"/>
                <w:szCs w:val="16"/>
              </w:rPr>
              <w:lastRenderedPageBreak/>
              <w:t>1.1</w:t>
            </w:r>
            <w:r w:rsidRPr="00B0749C">
              <w:rPr>
                <w:rFonts w:ascii="Arial Narrow" w:hAnsi="Arial Narrow"/>
                <w:color w:val="000000"/>
                <w:sz w:val="16"/>
                <w:szCs w:val="16"/>
              </w:rPr>
              <w:t>a. Análisis de causas primarias y secundarias de la deforestación en la región de Amazonas elaborado y validado con aportes de expertos</w:t>
            </w:r>
            <w:r w:rsidRPr="00B0749C">
              <w:rPr>
                <w:rFonts w:ascii="Arial Narrow" w:hAnsi="Arial Narrow"/>
                <w:color w:val="000000"/>
                <w:sz w:val="16"/>
                <w:szCs w:val="16"/>
                <w:vertAlign w:val="superscript"/>
              </w:rPr>
              <w:footnoteReference w:id="17"/>
            </w:r>
            <w:r w:rsidRPr="00B0749C">
              <w:rPr>
                <w:rFonts w:ascii="Arial Narrow" w:hAnsi="Arial Narrow"/>
                <w:color w:val="000000"/>
                <w:sz w:val="16"/>
                <w:szCs w:val="16"/>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92A11A" w14:textId="77777777" w:rsidR="00395DA6" w:rsidRPr="00B0749C" w:rsidRDefault="00395DA6" w:rsidP="00395DA6">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Autoevaluación del Proyecto (2018)</w:t>
            </w:r>
          </w:p>
          <w:p w14:paraId="303B3F0F" w14:textId="77777777" w:rsidR="00395DA6" w:rsidRPr="00B0749C" w:rsidRDefault="00395DA6" w:rsidP="00395DA6">
            <w:pPr>
              <w:widowControl w:val="0"/>
              <w:tabs>
                <w:tab w:val="left" w:pos="5529"/>
              </w:tabs>
              <w:rPr>
                <w:rFonts w:ascii="Arial Narrow" w:hAnsi="Arial Narrow"/>
                <w:color w:val="000000"/>
                <w:sz w:val="16"/>
                <w:szCs w:val="16"/>
              </w:rPr>
            </w:pPr>
          </w:p>
          <w:p w14:paraId="6BEEE967" w14:textId="77777777" w:rsidR="00395DA6" w:rsidRPr="00B0749C" w:rsidRDefault="00395DA6" w:rsidP="00395DA6">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Informe Regional del Estado del Ambiente.</w:t>
            </w:r>
          </w:p>
          <w:p w14:paraId="477D1525" w14:textId="77777777" w:rsidR="00395DA6" w:rsidRPr="00B0749C" w:rsidRDefault="00395DA6" w:rsidP="00395DA6">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 xml:space="preserve">GORE Amazonas (2016) </w:t>
            </w:r>
            <w:r w:rsidRPr="00B0749C">
              <w:rPr>
                <w:rFonts w:ascii="Arial Narrow" w:hAnsi="Arial Narrow"/>
                <w:color w:val="000000"/>
                <w:sz w:val="16"/>
                <w:szCs w:val="16"/>
                <w:vertAlign w:val="superscript"/>
              </w:rPr>
              <w:footnoteReference w:id="18"/>
            </w:r>
          </w:p>
          <w:p w14:paraId="24A108AE" w14:textId="77777777" w:rsidR="00395DA6" w:rsidRDefault="00395DA6" w:rsidP="00395DA6">
            <w:pPr>
              <w:widowControl w:val="0"/>
              <w:tabs>
                <w:tab w:val="left" w:pos="5529"/>
              </w:tabs>
              <w:rPr>
                <w:rFonts w:ascii="Arial Narrow" w:hAnsi="Arial Narrow"/>
                <w:color w:val="000000"/>
                <w:sz w:val="16"/>
                <w:szCs w:val="16"/>
              </w:rPr>
            </w:pPr>
          </w:p>
          <w:p w14:paraId="15C89B1E" w14:textId="77777777" w:rsidR="00201F61" w:rsidRDefault="00201F61" w:rsidP="00395DA6">
            <w:pPr>
              <w:widowControl w:val="0"/>
              <w:tabs>
                <w:tab w:val="left" w:pos="5529"/>
              </w:tabs>
              <w:rPr>
                <w:rFonts w:ascii="Arial Narrow" w:hAnsi="Arial Narrow"/>
                <w:color w:val="000000"/>
                <w:sz w:val="16"/>
                <w:szCs w:val="16"/>
              </w:rPr>
            </w:pPr>
          </w:p>
          <w:p w14:paraId="4BF38785" w14:textId="77777777" w:rsidR="00201F61" w:rsidRDefault="00201F61" w:rsidP="00395DA6">
            <w:pPr>
              <w:widowControl w:val="0"/>
              <w:tabs>
                <w:tab w:val="left" w:pos="5529"/>
              </w:tabs>
              <w:rPr>
                <w:rFonts w:ascii="Arial Narrow" w:hAnsi="Arial Narrow"/>
                <w:color w:val="000000"/>
                <w:sz w:val="16"/>
                <w:szCs w:val="16"/>
              </w:rPr>
            </w:pPr>
          </w:p>
          <w:p w14:paraId="58A2C6F1" w14:textId="77777777" w:rsidR="00201F61" w:rsidRPr="00B0749C" w:rsidRDefault="00201F61" w:rsidP="00395DA6">
            <w:pPr>
              <w:widowControl w:val="0"/>
              <w:tabs>
                <w:tab w:val="left" w:pos="5529"/>
              </w:tabs>
              <w:rPr>
                <w:rFonts w:ascii="Arial Narrow" w:hAnsi="Arial Narrow"/>
                <w:color w:val="000000"/>
                <w:sz w:val="16"/>
                <w:szCs w:val="16"/>
              </w:rPr>
            </w:pPr>
          </w:p>
          <w:p w14:paraId="50D6C5B0" w14:textId="77777777" w:rsidR="00395DA6" w:rsidRPr="00B0749C" w:rsidRDefault="00395DA6" w:rsidP="00395DA6">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lastRenderedPageBreak/>
              <w:t>Diagnóstico Ambiental Regional 2012-2021 y la Política Regional</w:t>
            </w:r>
          </w:p>
          <w:p w14:paraId="1FDCED3B" w14:textId="5A6ADFE8" w:rsidR="00395DA6" w:rsidRPr="00B0749C" w:rsidRDefault="00395DA6"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de Amazonas (2014)</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85B24B" w14:textId="526C5349" w:rsidR="00395DA6" w:rsidRPr="00B0749C" w:rsidRDefault="00395DA6"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lastRenderedPageBreak/>
              <w:t>0</w:t>
            </w:r>
          </w:p>
        </w:tc>
        <w:tc>
          <w:tcPr>
            <w:tcW w:w="709" w:type="dxa"/>
            <w:tcBorders>
              <w:top w:val="single" w:sz="4" w:space="0" w:color="000000"/>
              <w:left w:val="single" w:sz="4" w:space="0" w:color="000000"/>
              <w:bottom w:val="single" w:sz="4" w:space="0" w:color="000000"/>
              <w:right w:val="single" w:sz="4" w:space="0" w:color="000000"/>
            </w:tcBorders>
          </w:tcPr>
          <w:p w14:paraId="1915DA7D" w14:textId="20C402AB" w:rsidR="00395DA6" w:rsidRPr="00B0749C" w:rsidRDefault="00395DA6"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6BAEF8" w14:textId="1AA72A39" w:rsidR="00395DA6" w:rsidRPr="00B0749C" w:rsidRDefault="00395DA6"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1</w:t>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0B86DB" w14:textId="77777777" w:rsidR="00395DA6" w:rsidRPr="00B0749C" w:rsidRDefault="00395DA6" w:rsidP="00395DA6">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Medios de verificación:</w:t>
            </w:r>
            <w:r w:rsidRPr="00B0749C">
              <w:rPr>
                <w:rFonts w:ascii="Arial Narrow" w:hAnsi="Arial Narrow"/>
                <w:i/>
                <w:color w:val="000000"/>
                <w:sz w:val="16"/>
                <w:szCs w:val="16"/>
              </w:rPr>
              <w:t xml:space="preserve"> </w:t>
            </w:r>
            <w:r w:rsidRPr="00B0749C">
              <w:rPr>
                <w:rFonts w:ascii="Arial Narrow" w:hAnsi="Arial Narrow"/>
                <w:color w:val="000000"/>
                <w:sz w:val="16"/>
                <w:szCs w:val="16"/>
              </w:rPr>
              <w:t>documento técnico de análisis de causas de la deforestación, teoría del cambio de la estrategia de desarrollo rural bajo en emisiones, minutas de talleres o reuniones de expertos, listas de asistencia.</w:t>
            </w:r>
          </w:p>
          <w:p w14:paraId="4741313C" w14:textId="77777777" w:rsidR="00395DA6" w:rsidRPr="00B0749C" w:rsidRDefault="00395DA6" w:rsidP="00395DA6">
            <w:pPr>
              <w:widowControl w:val="0"/>
              <w:tabs>
                <w:tab w:val="left" w:pos="5529"/>
              </w:tabs>
              <w:rPr>
                <w:rFonts w:ascii="Arial Narrow" w:hAnsi="Arial Narrow"/>
                <w:i/>
                <w:color w:val="000000"/>
                <w:sz w:val="16"/>
                <w:szCs w:val="16"/>
              </w:rPr>
            </w:pPr>
          </w:p>
          <w:p w14:paraId="2B0AB50C" w14:textId="77777777" w:rsidR="00395DA6" w:rsidRPr="00B0749C" w:rsidRDefault="00395DA6" w:rsidP="00395DA6">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Metodologías:</w:t>
            </w:r>
            <w:r w:rsidRPr="00B0749C">
              <w:rPr>
                <w:rFonts w:ascii="Arial Narrow" w:hAnsi="Arial Narrow"/>
                <w:i/>
                <w:color w:val="000000"/>
                <w:sz w:val="16"/>
                <w:szCs w:val="16"/>
              </w:rPr>
              <w:t xml:space="preserve"> </w:t>
            </w:r>
            <w:r w:rsidRPr="00B0749C">
              <w:rPr>
                <w:rFonts w:ascii="Arial Narrow" w:hAnsi="Arial Narrow"/>
                <w:color w:val="000000"/>
                <w:sz w:val="16"/>
                <w:szCs w:val="16"/>
              </w:rPr>
              <w:t xml:space="preserve">Para recopilar esta información se sistematizará los informes, minutas y productos complementarios elaborados para el análisis de causas de la deforestación. Se realizará un análisis espacial en el cual se identifique además los frentes de deforestación. </w:t>
            </w:r>
          </w:p>
          <w:p w14:paraId="54D05690" w14:textId="77777777" w:rsidR="00395DA6" w:rsidRDefault="00395DA6" w:rsidP="00395DA6">
            <w:pPr>
              <w:widowControl w:val="0"/>
              <w:tabs>
                <w:tab w:val="left" w:pos="5529"/>
              </w:tabs>
              <w:rPr>
                <w:rFonts w:ascii="Arial Narrow" w:hAnsi="Arial Narrow"/>
                <w:color w:val="000000"/>
                <w:sz w:val="16"/>
                <w:szCs w:val="16"/>
              </w:rPr>
            </w:pPr>
          </w:p>
          <w:p w14:paraId="7D2CD582" w14:textId="77777777" w:rsidR="00201F61" w:rsidRPr="00B0749C" w:rsidRDefault="00201F61" w:rsidP="00395DA6">
            <w:pPr>
              <w:widowControl w:val="0"/>
              <w:tabs>
                <w:tab w:val="left" w:pos="5529"/>
              </w:tabs>
              <w:rPr>
                <w:rFonts w:ascii="Arial Narrow" w:hAnsi="Arial Narrow"/>
                <w:color w:val="000000"/>
                <w:sz w:val="16"/>
                <w:szCs w:val="16"/>
              </w:rPr>
            </w:pPr>
          </w:p>
          <w:p w14:paraId="5795BDE9" w14:textId="77777777" w:rsidR="00395DA6" w:rsidRPr="00B0749C" w:rsidRDefault="00395DA6" w:rsidP="00395DA6">
            <w:pPr>
              <w:widowControl w:val="0"/>
              <w:tabs>
                <w:tab w:val="left" w:pos="5529"/>
              </w:tabs>
              <w:rPr>
                <w:rFonts w:ascii="Arial Narrow" w:hAnsi="Arial Narrow"/>
                <w:b/>
                <w:color w:val="000000"/>
                <w:sz w:val="16"/>
                <w:szCs w:val="16"/>
              </w:rPr>
            </w:pPr>
            <w:r w:rsidRPr="00B0749C">
              <w:rPr>
                <w:rFonts w:ascii="Arial Narrow" w:hAnsi="Arial Narrow"/>
                <w:b/>
                <w:i/>
                <w:color w:val="000000"/>
                <w:sz w:val="16"/>
                <w:szCs w:val="16"/>
              </w:rPr>
              <w:lastRenderedPageBreak/>
              <w:t>Riesgos</w:t>
            </w:r>
            <w:r w:rsidRPr="00B0749C">
              <w:rPr>
                <w:rFonts w:ascii="Arial Narrow" w:hAnsi="Arial Narrow"/>
                <w:b/>
                <w:color w:val="000000"/>
                <w:sz w:val="16"/>
                <w:szCs w:val="16"/>
              </w:rPr>
              <w:t xml:space="preserve">: </w:t>
            </w:r>
            <w:r w:rsidRPr="00B0749C">
              <w:rPr>
                <w:rFonts w:ascii="Arial Narrow" w:hAnsi="Arial Narrow"/>
                <w:color w:val="000000"/>
                <w:sz w:val="16"/>
                <w:szCs w:val="16"/>
              </w:rPr>
              <w:t xml:space="preserve">a) </w:t>
            </w:r>
            <w:r w:rsidRPr="00B0749C">
              <w:rPr>
                <w:rFonts w:ascii="Arial Narrow" w:hAnsi="Arial Narrow"/>
                <w:color w:val="000000"/>
                <w:sz w:val="16"/>
                <w:szCs w:val="16"/>
                <w:u w:val="single"/>
              </w:rPr>
              <w:t>información sobre causas y agentes de la deforestación no disponible</w:t>
            </w:r>
            <w:r w:rsidRPr="00B0749C">
              <w:rPr>
                <w:rFonts w:ascii="Arial Narrow" w:hAnsi="Arial Narrow"/>
                <w:color w:val="000000"/>
                <w:sz w:val="16"/>
                <w:szCs w:val="16"/>
              </w:rPr>
              <w:t xml:space="preserve"> a escala regional, y b) </w:t>
            </w:r>
            <w:r w:rsidRPr="00B0749C">
              <w:rPr>
                <w:rFonts w:ascii="Arial Narrow" w:hAnsi="Arial Narrow"/>
                <w:color w:val="000000"/>
                <w:sz w:val="16"/>
                <w:szCs w:val="16"/>
                <w:u w:val="single"/>
              </w:rPr>
              <w:t>escasa participación</w:t>
            </w:r>
            <w:r w:rsidRPr="00B0749C">
              <w:rPr>
                <w:rFonts w:ascii="Arial Narrow" w:hAnsi="Arial Narrow"/>
                <w:color w:val="000000"/>
                <w:sz w:val="16"/>
                <w:szCs w:val="16"/>
              </w:rPr>
              <w:t xml:space="preserve"> de expertos en talleres de análisis de causas de la deforestación. c) INEI niega acceso a los datos censales</w:t>
            </w:r>
          </w:p>
          <w:p w14:paraId="4439F062" w14:textId="77777777" w:rsidR="00395DA6" w:rsidRPr="00B0749C" w:rsidRDefault="00395DA6" w:rsidP="002323B9">
            <w:pPr>
              <w:widowControl w:val="0"/>
              <w:tabs>
                <w:tab w:val="left" w:pos="5529"/>
              </w:tabs>
              <w:rPr>
                <w:rFonts w:ascii="Arial Narrow" w:hAnsi="Arial Narrow"/>
                <w:b/>
                <w:color w:val="000000"/>
                <w:sz w:val="16"/>
                <w:szCs w:val="16"/>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A36731" w14:textId="77777777" w:rsidR="00395DA6" w:rsidRPr="00B0749C" w:rsidRDefault="00395DA6" w:rsidP="00395DA6">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lastRenderedPageBreak/>
              <w:t xml:space="preserve">Se usa información geográfica de libre disponibilidad o bajo costos considerados en el proyecto. </w:t>
            </w:r>
          </w:p>
          <w:p w14:paraId="65BA8A95" w14:textId="77777777" w:rsidR="00395DA6" w:rsidRPr="00B0749C" w:rsidRDefault="00395DA6" w:rsidP="00395DA6">
            <w:pPr>
              <w:widowControl w:val="0"/>
              <w:tabs>
                <w:tab w:val="left" w:pos="5529"/>
              </w:tabs>
              <w:ind w:left="176" w:right="34"/>
              <w:rPr>
                <w:rFonts w:ascii="Arial Narrow" w:eastAsia="Calibri" w:hAnsi="Arial Narrow" w:cs="Calibri"/>
                <w:color w:val="000000"/>
                <w:sz w:val="16"/>
                <w:szCs w:val="16"/>
              </w:rPr>
            </w:pPr>
          </w:p>
          <w:p w14:paraId="4063506B" w14:textId="77777777" w:rsidR="00395DA6" w:rsidRPr="00B0749C" w:rsidRDefault="00395DA6" w:rsidP="00395DA6">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Se invita a expertos y científicos regionales que brindan aportes sobre causas de la deforestación. De preferencia se conforma un panel de expertos que acompaña el proceso. </w:t>
            </w:r>
          </w:p>
          <w:p w14:paraId="3D10EDFD" w14:textId="77777777" w:rsidR="00395DA6" w:rsidRDefault="00395DA6" w:rsidP="00395DA6">
            <w:pPr>
              <w:widowControl w:val="0"/>
              <w:tabs>
                <w:tab w:val="left" w:pos="5529"/>
              </w:tabs>
              <w:ind w:right="34"/>
              <w:rPr>
                <w:rFonts w:ascii="Arial Narrow" w:hAnsi="Arial Narrow"/>
                <w:color w:val="000000"/>
                <w:sz w:val="16"/>
                <w:szCs w:val="16"/>
              </w:rPr>
            </w:pPr>
          </w:p>
          <w:p w14:paraId="3C07E5CC" w14:textId="77777777" w:rsidR="00201F61" w:rsidRPr="00B0749C" w:rsidRDefault="00201F61" w:rsidP="00395DA6">
            <w:pPr>
              <w:widowControl w:val="0"/>
              <w:tabs>
                <w:tab w:val="left" w:pos="5529"/>
              </w:tabs>
              <w:ind w:right="34"/>
              <w:rPr>
                <w:rFonts w:ascii="Arial Narrow" w:hAnsi="Arial Narrow"/>
                <w:color w:val="000000"/>
                <w:sz w:val="16"/>
                <w:szCs w:val="16"/>
              </w:rPr>
            </w:pPr>
          </w:p>
          <w:p w14:paraId="4D86E9F0" w14:textId="77777777" w:rsidR="00395DA6" w:rsidRPr="00B0749C" w:rsidRDefault="00395DA6" w:rsidP="00395DA6">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lastRenderedPageBreak/>
              <w:t>Existen causas y agentes de deforestación que trascienden los limites políticos de la Región Amazonas. Se cuenta con información a escala de la dinámica de los bosques y sus procesos antrópicos de las regiones limítrofes: San Martín y Cajamarca.</w:t>
            </w:r>
          </w:p>
          <w:p w14:paraId="4BC96CA9" w14:textId="77777777" w:rsidR="00395DA6" w:rsidRPr="00B0749C" w:rsidRDefault="00395DA6" w:rsidP="00395DA6">
            <w:pPr>
              <w:widowControl w:val="0"/>
              <w:tabs>
                <w:tab w:val="left" w:pos="5529"/>
              </w:tabs>
              <w:ind w:right="34"/>
              <w:rPr>
                <w:rFonts w:ascii="Arial Narrow" w:hAnsi="Arial Narrow"/>
                <w:color w:val="000000"/>
                <w:sz w:val="16"/>
                <w:szCs w:val="16"/>
              </w:rPr>
            </w:pPr>
          </w:p>
          <w:p w14:paraId="06BD548C" w14:textId="095A6C62" w:rsidR="00395DA6" w:rsidRPr="00B0749C" w:rsidRDefault="00395DA6"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El INEI Nacional accede a proporcionar los datos censales de Amazonas a nivel de centros poblados y de distritos.</w:t>
            </w:r>
          </w:p>
        </w:tc>
      </w:tr>
      <w:tr w:rsidR="00201F61" w:rsidRPr="00B0749C" w14:paraId="0C071AB5" w14:textId="77777777" w:rsidTr="001327F2">
        <w:trPr>
          <w:trHeight w:val="2044"/>
        </w:trPr>
        <w:tc>
          <w:tcPr>
            <w:tcW w:w="1844" w:type="dxa"/>
            <w:vMerge/>
            <w:tcBorders>
              <w:top w:val="single" w:sz="4" w:space="0" w:color="000000"/>
              <w:left w:val="single" w:sz="4" w:space="0" w:color="000000"/>
              <w:right w:val="single" w:sz="4" w:space="0" w:color="000000"/>
            </w:tcBorders>
            <w:tcMar>
              <w:top w:w="0" w:type="dxa"/>
              <w:left w:w="0" w:type="dxa"/>
              <w:bottom w:w="0" w:type="dxa"/>
              <w:right w:w="0" w:type="dxa"/>
            </w:tcMar>
          </w:tcPr>
          <w:p w14:paraId="74631DCF" w14:textId="77777777" w:rsidR="00201F61" w:rsidRPr="00B0749C" w:rsidRDefault="00201F61" w:rsidP="002323B9">
            <w:pPr>
              <w:widowControl w:val="0"/>
              <w:pBdr>
                <w:top w:val="nil"/>
                <w:left w:val="nil"/>
                <w:bottom w:val="nil"/>
                <w:right w:val="nil"/>
                <w:between w:val="nil"/>
              </w:pBdr>
              <w:tabs>
                <w:tab w:val="left" w:pos="5529"/>
              </w:tabs>
              <w:spacing w:line="276" w:lineRule="auto"/>
              <w:rPr>
                <w:rFonts w:ascii="Arial Narrow" w:hAnsi="Arial Narrow"/>
                <w:color w:val="000000"/>
                <w:sz w:val="16"/>
                <w:szCs w:val="16"/>
              </w:rPr>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7B93B9" w14:textId="5000D5D0" w:rsidR="00201F61" w:rsidRPr="00B0749C" w:rsidRDefault="00201F61" w:rsidP="001327F2">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1.</w:t>
            </w:r>
            <w:r w:rsidR="001327F2">
              <w:rPr>
                <w:rFonts w:ascii="Arial Narrow" w:hAnsi="Arial Narrow"/>
                <w:color w:val="000000"/>
                <w:sz w:val="16"/>
                <w:szCs w:val="16"/>
              </w:rPr>
              <w:t>2</w:t>
            </w:r>
            <w:r w:rsidR="001327F2" w:rsidRPr="00B0749C">
              <w:rPr>
                <w:rFonts w:ascii="Arial Narrow" w:hAnsi="Arial Narrow"/>
                <w:color w:val="000000"/>
                <w:sz w:val="16"/>
                <w:szCs w:val="16"/>
              </w:rPr>
              <w:t xml:space="preserve"> </w:t>
            </w:r>
            <w:r w:rsidRPr="00B0749C">
              <w:rPr>
                <w:rFonts w:ascii="Arial Narrow" w:hAnsi="Arial Narrow"/>
                <w:color w:val="000000"/>
                <w:sz w:val="16"/>
                <w:szCs w:val="16"/>
              </w:rPr>
              <w:t xml:space="preserve">a. Análisis de cuellos de botella de cadenas de suministro y productos agrarios o forestales claves para reducir la deforestación </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548B33" w14:textId="77777777" w:rsidR="00201F61" w:rsidRPr="00B0749C" w:rsidRDefault="00201F61"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Autoevaluación del Proyecto (2018)</w:t>
            </w:r>
          </w:p>
          <w:p w14:paraId="466CC8C4" w14:textId="77777777" w:rsidR="00201F61" w:rsidRPr="00B0749C" w:rsidRDefault="00201F61" w:rsidP="005E132F">
            <w:pPr>
              <w:widowControl w:val="0"/>
              <w:tabs>
                <w:tab w:val="left" w:pos="5529"/>
              </w:tabs>
              <w:rPr>
                <w:rFonts w:ascii="Arial Narrow" w:hAnsi="Arial Narrow"/>
                <w:color w:val="000000"/>
                <w:sz w:val="16"/>
                <w:szCs w:val="16"/>
              </w:rPr>
            </w:pPr>
          </w:p>
          <w:p w14:paraId="565EEB9C" w14:textId="77777777" w:rsidR="00201F61" w:rsidRPr="00B0749C" w:rsidRDefault="00201F61"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de Desarrollo Regional Concertado Amazonas al 2021 (2015)</w:t>
            </w:r>
          </w:p>
          <w:p w14:paraId="128190D3" w14:textId="77777777" w:rsidR="00201F61" w:rsidRPr="00B0749C" w:rsidRDefault="00201F61" w:rsidP="005E132F">
            <w:pPr>
              <w:widowControl w:val="0"/>
              <w:tabs>
                <w:tab w:val="left" w:pos="5529"/>
              </w:tabs>
              <w:rPr>
                <w:rFonts w:ascii="Arial Narrow" w:hAnsi="Arial Narrow"/>
                <w:color w:val="000000"/>
                <w:sz w:val="16"/>
                <w:szCs w:val="16"/>
              </w:rPr>
            </w:pPr>
          </w:p>
          <w:p w14:paraId="0F9D9744" w14:textId="77777777" w:rsidR="00201F61" w:rsidRPr="00B0749C" w:rsidRDefault="00201F61"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Estratégico</w:t>
            </w:r>
          </w:p>
          <w:p w14:paraId="2BC0D06A" w14:textId="77777777" w:rsidR="00201F61" w:rsidRPr="00B0749C" w:rsidRDefault="00201F61"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Regional Agrario de la Región</w:t>
            </w:r>
          </w:p>
          <w:p w14:paraId="1F083BA4" w14:textId="77777777" w:rsidR="00201F61" w:rsidRPr="00B0749C" w:rsidRDefault="00201F61"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Amazonas</w:t>
            </w:r>
          </w:p>
          <w:p w14:paraId="19E4C0D9" w14:textId="77777777" w:rsidR="00201F61" w:rsidRPr="00B0749C" w:rsidRDefault="00201F61"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 xml:space="preserve">2011 - 2021  </w:t>
            </w:r>
          </w:p>
          <w:p w14:paraId="34DEEE0F" w14:textId="77777777" w:rsidR="00201F61" w:rsidRPr="00B0749C" w:rsidRDefault="00201F61" w:rsidP="00395DA6">
            <w:pPr>
              <w:widowControl w:val="0"/>
              <w:tabs>
                <w:tab w:val="left" w:pos="5529"/>
              </w:tabs>
              <w:rPr>
                <w:rFonts w:ascii="Arial Narrow" w:hAnsi="Arial Narrow"/>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5F84B9" w14:textId="77C6F622" w:rsidR="00201F61" w:rsidRPr="00B0749C" w:rsidRDefault="00201F61"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56738DCA" w14:textId="26DD6420" w:rsidR="00201F61" w:rsidRPr="00B0749C" w:rsidRDefault="00201F61"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135D65" w14:textId="1656D726" w:rsidR="00201F61" w:rsidRPr="00B0749C" w:rsidRDefault="00201F61"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1</w:t>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889723" w14:textId="77777777" w:rsidR="00201F61" w:rsidRPr="00B0749C" w:rsidRDefault="00201F61" w:rsidP="005E132F">
            <w:pPr>
              <w:widowControl w:val="0"/>
              <w:tabs>
                <w:tab w:val="left" w:pos="5529"/>
              </w:tabs>
              <w:rPr>
                <w:rFonts w:ascii="Arial Narrow" w:hAnsi="Arial Narrow"/>
                <w:i/>
                <w:color w:val="000000"/>
                <w:sz w:val="16"/>
                <w:szCs w:val="16"/>
              </w:rPr>
            </w:pPr>
            <w:r w:rsidRPr="00B0749C">
              <w:rPr>
                <w:rFonts w:ascii="Arial Narrow" w:hAnsi="Arial Narrow"/>
                <w:b/>
                <w:i/>
                <w:color w:val="000000"/>
                <w:sz w:val="16"/>
                <w:szCs w:val="16"/>
              </w:rPr>
              <w:t>Medios de verificación:</w:t>
            </w:r>
            <w:r w:rsidRPr="00B0749C">
              <w:rPr>
                <w:rFonts w:ascii="Arial Narrow" w:hAnsi="Arial Narrow"/>
                <w:i/>
                <w:color w:val="000000"/>
                <w:sz w:val="16"/>
                <w:szCs w:val="16"/>
              </w:rPr>
              <w:t xml:space="preserve"> </w:t>
            </w:r>
            <w:r w:rsidRPr="00B0749C">
              <w:rPr>
                <w:rFonts w:ascii="Arial Narrow" w:hAnsi="Arial Narrow"/>
                <w:color w:val="000000"/>
                <w:sz w:val="16"/>
                <w:szCs w:val="16"/>
              </w:rPr>
              <w:t>documento técnico de análisis de cuellos de botella de cadenas de suministros y productos agrarios claves para reducir la deforestación, minutas de talleres o reuniones de expertos, listas de asistencia.</w:t>
            </w:r>
          </w:p>
          <w:p w14:paraId="3F1AD462" w14:textId="77777777" w:rsidR="00201F61" w:rsidRPr="00B0749C" w:rsidRDefault="00201F61" w:rsidP="005E132F">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Metodologías:</w:t>
            </w:r>
            <w:r w:rsidRPr="00B0749C">
              <w:rPr>
                <w:rFonts w:ascii="Arial Narrow" w:hAnsi="Arial Narrow"/>
                <w:i/>
                <w:color w:val="000000"/>
                <w:sz w:val="16"/>
                <w:szCs w:val="16"/>
              </w:rPr>
              <w:t xml:space="preserve"> </w:t>
            </w:r>
            <w:r w:rsidRPr="00B0749C">
              <w:rPr>
                <w:rFonts w:ascii="Arial Narrow" w:hAnsi="Arial Narrow"/>
                <w:color w:val="000000"/>
                <w:sz w:val="16"/>
                <w:szCs w:val="16"/>
              </w:rPr>
              <w:t xml:space="preserve">Para recopilar esta información se sistematizará los informes, minutas y productos complementarios elaborados para el análisis de cuellos de botella. Se analizará como la estrategia y plan recogen este análisis. </w:t>
            </w:r>
          </w:p>
          <w:p w14:paraId="03529610" w14:textId="77777777" w:rsidR="00201F61" w:rsidRPr="00B0749C" w:rsidRDefault="00201F61" w:rsidP="005E132F">
            <w:pPr>
              <w:widowControl w:val="0"/>
              <w:tabs>
                <w:tab w:val="left" w:pos="5529"/>
              </w:tabs>
              <w:rPr>
                <w:rFonts w:ascii="Arial Narrow" w:hAnsi="Arial Narrow"/>
                <w:color w:val="000000"/>
                <w:sz w:val="16"/>
                <w:szCs w:val="16"/>
              </w:rPr>
            </w:pPr>
          </w:p>
          <w:p w14:paraId="43F2AB75" w14:textId="12538ADA" w:rsidR="00201F61" w:rsidRPr="00B0749C" w:rsidRDefault="00201F61" w:rsidP="00395DA6">
            <w:pPr>
              <w:widowControl w:val="0"/>
              <w:tabs>
                <w:tab w:val="left" w:pos="5529"/>
              </w:tabs>
              <w:rPr>
                <w:rFonts w:ascii="Arial Narrow" w:hAnsi="Arial Narrow"/>
                <w:b/>
                <w:i/>
                <w:color w:val="000000"/>
                <w:sz w:val="16"/>
                <w:szCs w:val="16"/>
              </w:rPr>
            </w:pPr>
            <w:r w:rsidRPr="00B0749C">
              <w:rPr>
                <w:rFonts w:ascii="Arial Narrow" w:hAnsi="Arial Narrow"/>
                <w:b/>
                <w:i/>
                <w:color w:val="000000"/>
                <w:sz w:val="16"/>
                <w:szCs w:val="16"/>
              </w:rPr>
              <w:t>Riesgos:</w:t>
            </w:r>
            <w:r w:rsidRPr="00B0749C">
              <w:rPr>
                <w:rFonts w:ascii="Arial Narrow" w:hAnsi="Arial Narrow"/>
                <w:i/>
                <w:color w:val="000000"/>
                <w:sz w:val="16"/>
                <w:szCs w:val="16"/>
                <w:u w:val="single"/>
              </w:rPr>
              <w:t xml:space="preserve"> </w:t>
            </w:r>
            <w:r w:rsidRPr="00B0749C">
              <w:rPr>
                <w:rFonts w:ascii="Arial Narrow" w:hAnsi="Arial Narrow"/>
                <w:color w:val="000000"/>
                <w:sz w:val="16"/>
                <w:szCs w:val="16"/>
              </w:rPr>
              <w:t xml:space="preserve">a) </w:t>
            </w:r>
            <w:r w:rsidRPr="00B0749C">
              <w:rPr>
                <w:rFonts w:ascii="Arial Narrow" w:hAnsi="Arial Narrow"/>
                <w:color w:val="000000"/>
                <w:sz w:val="16"/>
                <w:szCs w:val="16"/>
                <w:u w:val="single"/>
              </w:rPr>
              <w:t>Insuficiente información sobre cadenas de suministro</w:t>
            </w:r>
            <w:r w:rsidRPr="00B0749C">
              <w:rPr>
                <w:rFonts w:ascii="Arial Narrow" w:hAnsi="Arial Narrow"/>
                <w:color w:val="000000"/>
                <w:sz w:val="16"/>
                <w:szCs w:val="16"/>
              </w:rPr>
              <w:t xml:space="preserve"> o productos agrarios asociados a la deforestación en la Región Amazonas, especialmente en el caso de los cultivos de café y cacao, articulados a dinámicas de comercialización extra regional; b) </w:t>
            </w:r>
            <w:r w:rsidRPr="00B0749C">
              <w:rPr>
                <w:rFonts w:ascii="Arial Narrow" w:hAnsi="Arial Narrow"/>
                <w:color w:val="000000"/>
                <w:sz w:val="16"/>
                <w:szCs w:val="16"/>
                <w:u w:val="single"/>
              </w:rPr>
              <w:t>escasa participación de expertos o productores</w:t>
            </w:r>
            <w:r w:rsidRPr="00B0749C">
              <w:rPr>
                <w:rFonts w:ascii="Arial Narrow" w:hAnsi="Arial Narrow"/>
                <w:color w:val="000000"/>
                <w:sz w:val="16"/>
                <w:szCs w:val="16"/>
              </w:rPr>
              <w:t xml:space="preserve"> en talleres de análisis, y c) </w:t>
            </w:r>
            <w:r w:rsidRPr="00B0749C">
              <w:rPr>
                <w:rFonts w:ascii="Arial Narrow" w:hAnsi="Arial Narrow"/>
                <w:color w:val="000000"/>
                <w:sz w:val="16"/>
                <w:szCs w:val="16"/>
                <w:u w:val="single"/>
              </w:rPr>
              <w:t xml:space="preserve">escasa participación de las oficinas agrarias (provinciales), ligadas a las mesas técnicas de cultivos. </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029907" w14:textId="77777777" w:rsidR="00201F61" w:rsidRPr="00B0749C" w:rsidRDefault="00201F61" w:rsidP="005E132F">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Se cuenta con información estadística relevante de las principales cadenas de suministro priorizadas que afectan negativamente a los bosques.</w:t>
            </w:r>
          </w:p>
          <w:p w14:paraId="40B56521" w14:textId="77777777" w:rsidR="00201F61" w:rsidRPr="00B0749C" w:rsidRDefault="00201F61" w:rsidP="005E132F">
            <w:pPr>
              <w:widowControl w:val="0"/>
              <w:tabs>
                <w:tab w:val="left" w:pos="5529"/>
              </w:tabs>
              <w:ind w:right="34"/>
              <w:rPr>
                <w:rFonts w:ascii="Arial Narrow" w:hAnsi="Arial Narrow"/>
                <w:color w:val="000000"/>
                <w:sz w:val="16"/>
                <w:szCs w:val="16"/>
              </w:rPr>
            </w:pPr>
          </w:p>
          <w:p w14:paraId="09F576B0" w14:textId="77777777" w:rsidR="00201F61" w:rsidRPr="00B0749C" w:rsidRDefault="00201F61" w:rsidP="005E132F">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Se invita a expertos y representantes de productores para brindar aportes sobre cuellos de botella. De preferencia se conforma un panel de expertos que acompaña el proceso. </w:t>
            </w:r>
          </w:p>
          <w:p w14:paraId="28D6ED4B" w14:textId="77777777" w:rsidR="00201F61" w:rsidRPr="00B0749C" w:rsidRDefault="00201F61" w:rsidP="005E132F">
            <w:pPr>
              <w:widowControl w:val="0"/>
              <w:tabs>
                <w:tab w:val="left" w:pos="5529"/>
              </w:tabs>
              <w:ind w:right="34"/>
              <w:rPr>
                <w:rFonts w:ascii="Arial Narrow" w:hAnsi="Arial Narrow"/>
                <w:color w:val="000000"/>
                <w:sz w:val="16"/>
                <w:szCs w:val="16"/>
              </w:rPr>
            </w:pPr>
          </w:p>
          <w:p w14:paraId="4FA87115" w14:textId="585A284B" w:rsidR="00201F61" w:rsidRPr="00B0749C" w:rsidRDefault="00201F61" w:rsidP="00395DA6">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Las cadenas de suministros más importantes trascienden a los limites políticos de la Región Amazonas. </w:t>
            </w:r>
          </w:p>
        </w:tc>
      </w:tr>
      <w:tr w:rsidR="00201F61" w:rsidRPr="00B0749C" w14:paraId="24E26368" w14:textId="77777777" w:rsidTr="001327F2">
        <w:trPr>
          <w:trHeight w:val="3060"/>
        </w:trPr>
        <w:tc>
          <w:tcPr>
            <w:tcW w:w="1844" w:type="dxa"/>
            <w:vMerge/>
            <w:tcBorders>
              <w:top w:val="single" w:sz="4" w:space="0" w:color="000000"/>
              <w:left w:val="single" w:sz="4" w:space="0" w:color="000000"/>
              <w:right w:val="single" w:sz="4" w:space="0" w:color="000000"/>
            </w:tcBorders>
            <w:tcMar>
              <w:top w:w="0" w:type="dxa"/>
              <w:left w:w="0" w:type="dxa"/>
              <w:bottom w:w="0" w:type="dxa"/>
              <w:right w:w="0" w:type="dxa"/>
            </w:tcMar>
          </w:tcPr>
          <w:p w14:paraId="152CB276" w14:textId="77777777" w:rsidR="00201F61" w:rsidRPr="00B0749C" w:rsidRDefault="00201F61" w:rsidP="002323B9">
            <w:pPr>
              <w:widowControl w:val="0"/>
              <w:pBdr>
                <w:top w:val="nil"/>
                <w:left w:val="nil"/>
                <w:bottom w:val="nil"/>
                <w:right w:val="nil"/>
                <w:between w:val="nil"/>
              </w:pBdr>
              <w:tabs>
                <w:tab w:val="left" w:pos="5529"/>
              </w:tabs>
              <w:spacing w:line="276" w:lineRule="auto"/>
              <w:rPr>
                <w:rFonts w:ascii="Arial Narrow" w:hAnsi="Arial Narrow"/>
                <w:color w:val="000000"/>
                <w:sz w:val="16"/>
                <w:szCs w:val="16"/>
              </w:rPr>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4A159F" w14:textId="5F2747E7" w:rsidR="00201F61" w:rsidRPr="00B0749C" w:rsidRDefault="00201F61" w:rsidP="00395DA6">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1.</w:t>
            </w:r>
            <w:r w:rsidR="001327F2">
              <w:rPr>
                <w:rFonts w:ascii="Arial Narrow" w:hAnsi="Arial Narrow"/>
                <w:color w:val="000000"/>
                <w:sz w:val="16"/>
                <w:szCs w:val="16"/>
              </w:rPr>
              <w:t>3</w:t>
            </w:r>
            <w:r w:rsidRPr="00B0749C">
              <w:rPr>
                <w:rFonts w:ascii="Arial Narrow" w:hAnsi="Arial Narrow"/>
                <w:color w:val="000000"/>
                <w:sz w:val="16"/>
                <w:szCs w:val="16"/>
              </w:rPr>
              <w:t>a. Estrategia para el desarrollo rural bajo en emisiones de la Región Amazonas elaborado y documentado con participación de actores claves incluyendo mujeres, comunidades locales y pueblos indígenas.</w:t>
            </w:r>
          </w:p>
          <w:p w14:paraId="022C33EE" w14:textId="77777777" w:rsidR="00201F61" w:rsidRDefault="00201F61" w:rsidP="00395DA6">
            <w:pPr>
              <w:widowControl w:val="0"/>
              <w:tabs>
                <w:tab w:val="left" w:pos="5529"/>
              </w:tabs>
              <w:rPr>
                <w:rFonts w:ascii="Arial Narrow" w:hAnsi="Arial Narrow"/>
                <w:color w:val="000000"/>
                <w:sz w:val="16"/>
                <w:szCs w:val="16"/>
              </w:rPr>
            </w:pPr>
          </w:p>
          <w:p w14:paraId="74D0E9A7" w14:textId="77777777" w:rsidR="00201F61" w:rsidRPr="00B0749C" w:rsidRDefault="00201F61" w:rsidP="00395DA6">
            <w:pPr>
              <w:widowControl w:val="0"/>
              <w:tabs>
                <w:tab w:val="left" w:pos="5529"/>
              </w:tabs>
              <w:rPr>
                <w:rFonts w:ascii="Arial Narrow" w:hAnsi="Arial Narrow"/>
                <w:color w:val="000000"/>
                <w:sz w:val="16"/>
                <w:szCs w:val="16"/>
              </w:rPr>
            </w:pPr>
          </w:p>
          <w:p w14:paraId="6EC70D3D" w14:textId="0344A27B" w:rsidR="00201F61" w:rsidRPr="00B0749C" w:rsidRDefault="001327F2" w:rsidP="002323B9">
            <w:pPr>
              <w:widowControl w:val="0"/>
              <w:tabs>
                <w:tab w:val="left" w:pos="5529"/>
              </w:tabs>
              <w:rPr>
                <w:rFonts w:ascii="Arial Narrow" w:hAnsi="Arial Narrow"/>
                <w:color w:val="000000"/>
                <w:sz w:val="16"/>
                <w:szCs w:val="16"/>
              </w:rPr>
            </w:pPr>
            <w:r>
              <w:rPr>
                <w:rFonts w:ascii="Arial Narrow" w:hAnsi="Arial Narrow"/>
                <w:color w:val="000000"/>
                <w:sz w:val="16"/>
                <w:szCs w:val="16"/>
              </w:rPr>
              <w:t>1.4</w:t>
            </w:r>
            <w:r w:rsidR="00201F61" w:rsidRPr="00B0749C">
              <w:rPr>
                <w:rFonts w:ascii="Arial Narrow" w:hAnsi="Arial Narrow"/>
                <w:color w:val="000000"/>
                <w:sz w:val="16"/>
                <w:szCs w:val="16"/>
              </w:rPr>
              <w:t xml:space="preserve">a. Aprobación formal y adopción </w:t>
            </w:r>
            <w:r>
              <w:rPr>
                <w:rFonts w:ascii="Arial Narrow" w:hAnsi="Arial Narrow"/>
                <w:color w:val="000000"/>
                <w:sz w:val="16"/>
                <w:szCs w:val="16"/>
              </w:rPr>
              <w:t>de la estrategia elaborada en 1.3</w:t>
            </w:r>
            <w:r w:rsidR="00201F61" w:rsidRPr="00B0749C">
              <w:rPr>
                <w:rFonts w:ascii="Arial Narrow" w:hAnsi="Arial Narrow"/>
                <w:color w:val="000000"/>
                <w:sz w:val="16"/>
                <w:szCs w:val="16"/>
              </w:rPr>
              <w:t xml:space="preserve">., por actores claves incluyendo el Gobierno Regional de Amazonas, y poblaciones locales incluyendo pueblos indígenas y comunidades tradicionales. </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41A36D" w14:textId="77777777" w:rsidR="00201F61" w:rsidRPr="00B0749C" w:rsidRDefault="00201F61" w:rsidP="00395DA6">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Autoevaluación del Proyecto (2018)</w:t>
            </w:r>
          </w:p>
          <w:p w14:paraId="1627695D" w14:textId="77777777" w:rsidR="00201F61" w:rsidRPr="00B0749C" w:rsidRDefault="00201F61" w:rsidP="00395DA6">
            <w:pPr>
              <w:widowControl w:val="0"/>
              <w:tabs>
                <w:tab w:val="left" w:pos="5529"/>
              </w:tabs>
              <w:rPr>
                <w:rFonts w:ascii="Arial Narrow" w:hAnsi="Arial Narrow"/>
                <w:color w:val="000000"/>
                <w:sz w:val="16"/>
                <w:szCs w:val="16"/>
              </w:rPr>
            </w:pPr>
          </w:p>
          <w:p w14:paraId="0101C352" w14:textId="77777777" w:rsidR="00201F61" w:rsidRPr="00B0749C" w:rsidRDefault="00201F61" w:rsidP="00395DA6">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Informe Regional del Estado del Ambiente.</w:t>
            </w:r>
          </w:p>
          <w:p w14:paraId="3BAECC8C" w14:textId="77777777" w:rsidR="00201F61" w:rsidRPr="00B0749C" w:rsidRDefault="00201F61" w:rsidP="00395DA6">
            <w:pPr>
              <w:widowControl w:val="0"/>
              <w:tabs>
                <w:tab w:val="left" w:pos="5529"/>
              </w:tabs>
              <w:rPr>
                <w:rFonts w:ascii="Arial Narrow" w:hAnsi="Arial Narrow"/>
                <w:color w:val="000000"/>
                <w:sz w:val="16"/>
                <w:szCs w:val="16"/>
                <w:lang w:val="pt-BR"/>
              </w:rPr>
            </w:pPr>
            <w:r w:rsidRPr="00B0749C">
              <w:rPr>
                <w:rFonts w:ascii="Arial Narrow" w:hAnsi="Arial Narrow"/>
                <w:color w:val="000000"/>
                <w:sz w:val="16"/>
                <w:szCs w:val="16"/>
                <w:lang w:val="pt-BR"/>
              </w:rPr>
              <w:t>GORE Amazonas (2016)</w:t>
            </w:r>
          </w:p>
          <w:p w14:paraId="3BE9F3B3" w14:textId="77777777" w:rsidR="00201F61" w:rsidRPr="00B0749C" w:rsidRDefault="00201F61" w:rsidP="00395DA6">
            <w:pPr>
              <w:widowControl w:val="0"/>
              <w:tabs>
                <w:tab w:val="left" w:pos="5529"/>
              </w:tabs>
              <w:rPr>
                <w:rFonts w:ascii="Arial Narrow" w:hAnsi="Arial Narrow"/>
                <w:color w:val="000000"/>
                <w:sz w:val="16"/>
                <w:szCs w:val="16"/>
                <w:lang w:val="pt-BR"/>
              </w:rPr>
            </w:pPr>
          </w:p>
          <w:p w14:paraId="1936DAFE" w14:textId="77777777" w:rsidR="00201F61" w:rsidRPr="00B0749C" w:rsidRDefault="00201F61" w:rsidP="00395DA6">
            <w:pPr>
              <w:widowControl w:val="0"/>
              <w:tabs>
                <w:tab w:val="left" w:pos="5529"/>
              </w:tabs>
              <w:rPr>
                <w:rFonts w:ascii="Arial Narrow" w:hAnsi="Arial Narrow"/>
                <w:color w:val="000000"/>
                <w:sz w:val="16"/>
                <w:szCs w:val="16"/>
                <w:lang w:val="pt-BR"/>
              </w:rPr>
            </w:pPr>
          </w:p>
          <w:p w14:paraId="687C0841" w14:textId="77777777" w:rsidR="00201F61" w:rsidRPr="00B0749C" w:rsidRDefault="00201F61" w:rsidP="00395DA6">
            <w:pPr>
              <w:widowControl w:val="0"/>
              <w:tabs>
                <w:tab w:val="left" w:pos="5529"/>
              </w:tabs>
              <w:rPr>
                <w:rFonts w:ascii="Arial Narrow" w:hAnsi="Arial Narrow"/>
                <w:color w:val="000000"/>
                <w:sz w:val="16"/>
                <w:szCs w:val="16"/>
                <w:lang w:val="pt-BR"/>
              </w:rPr>
            </w:pPr>
            <w:r w:rsidRPr="00B0749C">
              <w:rPr>
                <w:rFonts w:ascii="Arial Narrow" w:hAnsi="Arial Narrow"/>
                <w:color w:val="000000"/>
                <w:sz w:val="16"/>
                <w:szCs w:val="16"/>
                <w:lang w:val="pt-BR"/>
              </w:rPr>
              <w:t>Agenda Ambiental Regional 2015-2016 (2015)</w:t>
            </w:r>
          </w:p>
          <w:p w14:paraId="7955987A" w14:textId="77777777" w:rsidR="00201F61" w:rsidRPr="00B0749C" w:rsidRDefault="00201F61" w:rsidP="00395DA6">
            <w:pPr>
              <w:widowControl w:val="0"/>
              <w:tabs>
                <w:tab w:val="left" w:pos="5529"/>
              </w:tabs>
              <w:rPr>
                <w:rFonts w:ascii="Arial Narrow" w:hAnsi="Arial Narrow"/>
                <w:color w:val="000000"/>
                <w:sz w:val="16"/>
                <w:szCs w:val="16"/>
                <w:lang w:val="pt-BR"/>
              </w:rPr>
            </w:pPr>
          </w:p>
          <w:p w14:paraId="63C76B9E" w14:textId="77777777" w:rsidR="00201F61" w:rsidRPr="00B0749C" w:rsidRDefault="00201F61" w:rsidP="00395DA6">
            <w:pPr>
              <w:widowControl w:val="0"/>
              <w:tabs>
                <w:tab w:val="left" w:pos="5529"/>
              </w:tabs>
              <w:rPr>
                <w:rFonts w:ascii="Arial Narrow" w:hAnsi="Arial Narrow"/>
                <w:color w:val="000000"/>
                <w:sz w:val="16"/>
                <w:szCs w:val="16"/>
                <w:lang w:val="pt-BR"/>
              </w:rPr>
            </w:pPr>
          </w:p>
          <w:p w14:paraId="74786A6E" w14:textId="77777777" w:rsidR="00201F61" w:rsidRPr="00B0749C" w:rsidRDefault="00201F61" w:rsidP="00395DA6">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de Desarrollo Regional Concertado Amazonas al 2021 (2015)</w:t>
            </w:r>
          </w:p>
          <w:p w14:paraId="4A97FC97" w14:textId="77777777" w:rsidR="00201F61" w:rsidRPr="00B0749C" w:rsidRDefault="00201F61" w:rsidP="00395DA6">
            <w:pPr>
              <w:widowControl w:val="0"/>
              <w:tabs>
                <w:tab w:val="left" w:pos="5529"/>
              </w:tabs>
              <w:rPr>
                <w:rFonts w:ascii="Arial Narrow" w:hAnsi="Arial Narrow"/>
                <w:color w:val="000000"/>
                <w:sz w:val="16"/>
                <w:szCs w:val="16"/>
              </w:rPr>
            </w:pPr>
          </w:p>
          <w:p w14:paraId="6553DC16" w14:textId="43C205CC"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Versión final de la Estrategia Regional Cambio Climático (2018)</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2F2CCE" w14:textId="05652DE4" w:rsidR="00201F61" w:rsidRPr="00B0749C" w:rsidRDefault="00201F61"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75D6BB7E" w14:textId="159E41F2" w:rsidR="00201F61" w:rsidRPr="00B0749C" w:rsidRDefault="00201F61"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E3B6C0" w14:textId="7354AAA4" w:rsidR="00201F61" w:rsidRPr="00B0749C" w:rsidRDefault="00201F61"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1</w:t>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234B98" w14:textId="77777777" w:rsidR="00201F61" w:rsidRPr="00B0749C" w:rsidRDefault="00201F61" w:rsidP="00395DA6">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Medios de verificación:</w:t>
            </w:r>
            <w:r w:rsidRPr="00B0749C">
              <w:rPr>
                <w:rFonts w:ascii="Arial Narrow" w:hAnsi="Arial Narrow"/>
                <w:i/>
                <w:color w:val="000000"/>
                <w:sz w:val="16"/>
                <w:szCs w:val="16"/>
              </w:rPr>
              <w:t xml:space="preserve"> </w:t>
            </w:r>
            <w:r w:rsidRPr="00B0749C">
              <w:rPr>
                <w:rFonts w:ascii="Arial Narrow" w:hAnsi="Arial Narrow"/>
                <w:color w:val="000000"/>
                <w:sz w:val="16"/>
                <w:szCs w:val="16"/>
              </w:rPr>
              <w:t>ordenanzas regionales o resoluciones ejecutivas regionales de aprobación de la estrategia o acuerdos para implementación de estrategia entre actores clave (p.ej. sector privado y comunidades nativas con gobierno regional).</w:t>
            </w:r>
          </w:p>
          <w:p w14:paraId="6F17BCFD" w14:textId="77777777" w:rsidR="00201F61" w:rsidRPr="00B0749C" w:rsidRDefault="00201F61" w:rsidP="00395DA6">
            <w:pPr>
              <w:widowControl w:val="0"/>
              <w:tabs>
                <w:tab w:val="left" w:pos="5529"/>
              </w:tabs>
              <w:rPr>
                <w:rFonts w:ascii="Arial Narrow" w:hAnsi="Arial Narrow"/>
                <w:i/>
                <w:color w:val="000000"/>
                <w:sz w:val="16"/>
                <w:szCs w:val="16"/>
              </w:rPr>
            </w:pPr>
          </w:p>
          <w:p w14:paraId="7CBA2DA4" w14:textId="77777777" w:rsidR="00201F61" w:rsidRPr="00B0749C" w:rsidRDefault="00201F61" w:rsidP="00395DA6">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Metodologías:</w:t>
            </w:r>
            <w:r w:rsidRPr="00B0749C">
              <w:rPr>
                <w:rFonts w:ascii="Arial Narrow" w:hAnsi="Arial Narrow"/>
                <w:i/>
                <w:color w:val="000000"/>
                <w:sz w:val="16"/>
                <w:szCs w:val="16"/>
              </w:rPr>
              <w:t xml:space="preserve"> </w:t>
            </w:r>
            <w:r w:rsidRPr="00B0749C">
              <w:rPr>
                <w:rFonts w:ascii="Arial Narrow" w:hAnsi="Arial Narrow"/>
                <w:color w:val="000000"/>
                <w:sz w:val="16"/>
                <w:szCs w:val="16"/>
              </w:rPr>
              <w:t xml:space="preserve">Para recopilar esta información se sistematizará los informes del gobierno regional para la aprobación de la estrategia, el documento de estrategia y las normas regionales de aprobación. </w:t>
            </w:r>
          </w:p>
          <w:p w14:paraId="0D75F6F9" w14:textId="77777777" w:rsidR="00201F61" w:rsidRDefault="00201F61" w:rsidP="00395DA6">
            <w:pPr>
              <w:widowControl w:val="0"/>
              <w:tabs>
                <w:tab w:val="left" w:pos="5529"/>
              </w:tabs>
              <w:rPr>
                <w:rFonts w:ascii="Arial Narrow" w:hAnsi="Arial Narrow"/>
                <w:color w:val="000000"/>
                <w:sz w:val="16"/>
                <w:szCs w:val="16"/>
              </w:rPr>
            </w:pPr>
          </w:p>
          <w:p w14:paraId="559DDBDE" w14:textId="77777777" w:rsidR="00201F61" w:rsidRPr="00B0749C" w:rsidRDefault="00201F61" w:rsidP="00395DA6">
            <w:pPr>
              <w:widowControl w:val="0"/>
              <w:tabs>
                <w:tab w:val="left" w:pos="5529"/>
              </w:tabs>
              <w:rPr>
                <w:rFonts w:ascii="Arial Narrow" w:hAnsi="Arial Narrow"/>
                <w:b/>
                <w:color w:val="000000"/>
                <w:sz w:val="16"/>
                <w:szCs w:val="16"/>
              </w:rPr>
            </w:pPr>
            <w:r w:rsidRPr="00B0749C">
              <w:rPr>
                <w:rFonts w:ascii="Arial Narrow" w:hAnsi="Arial Narrow"/>
                <w:b/>
                <w:i/>
                <w:color w:val="000000"/>
                <w:sz w:val="16"/>
                <w:szCs w:val="16"/>
              </w:rPr>
              <w:t>Riesgos</w:t>
            </w:r>
            <w:r w:rsidRPr="00B0749C">
              <w:rPr>
                <w:rFonts w:ascii="Arial Narrow" w:hAnsi="Arial Narrow"/>
                <w:b/>
                <w:color w:val="000000"/>
                <w:sz w:val="16"/>
                <w:szCs w:val="16"/>
              </w:rPr>
              <w:t xml:space="preserve">: </w:t>
            </w:r>
          </w:p>
          <w:p w14:paraId="2408A8FE" w14:textId="77777777" w:rsidR="00201F61" w:rsidRPr="00B0749C" w:rsidRDefault="00201F61" w:rsidP="00395DA6">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 xml:space="preserve">a) </w:t>
            </w:r>
            <w:r w:rsidRPr="00B0749C">
              <w:rPr>
                <w:rFonts w:ascii="Arial Narrow" w:hAnsi="Arial Narrow"/>
                <w:color w:val="000000"/>
                <w:sz w:val="16"/>
                <w:szCs w:val="16"/>
                <w:u w:val="single"/>
              </w:rPr>
              <w:t>cambio de gobierno</w:t>
            </w:r>
            <w:r w:rsidRPr="00B0749C">
              <w:rPr>
                <w:rFonts w:ascii="Arial Narrow" w:hAnsi="Arial Narrow"/>
                <w:color w:val="000000"/>
                <w:sz w:val="16"/>
                <w:szCs w:val="16"/>
              </w:rPr>
              <w:t xml:space="preserve">: nueva gestión del gobierno regional no prioriza el diseño de la estrategia o decide reiniciar el ejercicio de planificación estratégica, b) </w:t>
            </w:r>
            <w:r w:rsidRPr="00B0749C">
              <w:rPr>
                <w:rFonts w:ascii="Arial Narrow" w:hAnsi="Arial Narrow"/>
                <w:color w:val="000000"/>
                <w:sz w:val="16"/>
                <w:szCs w:val="16"/>
                <w:u w:val="single"/>
              </w:rPr>
              <w:t>falta de claridad en el objeto y alcance de los instrumentos de planificación estratégica</w:t>
            </w:r>
            <w:r w:rsidRPr="00B0749C">
              <w:rPr>
                <w:rFonts w:ascii="Arial Narrow" w:hAnsi="Arial Narrow"/>
                <w:color w:val="000000"/>
                <w:sz w:val="16"/>
                <w:szCs w:val="16"/>
              </w:rPr>
              <w:t xml:space="preserve"> para reducción de la deforestación a nivel nacional o regional,  c) d</w:t>
            </w:r>
            <w:r w:rsidRPr="00B0749C">
              <w:rPr>
                <w:rFonts w:ascii="Arial Narrow" w:hAnsi="Arial Narrow"/>
                <w:color w:val="000000"/>
                <w:sz w:val="16"/>
                <w:szCs w:val="16"/>
                <w:u w:val="single"/>
              </w:rPr>
              <w:t xml:space="preserve">ébil involucramiento de actores: </w:t>
            </w:r>
            <w:r w:rsidRPr="00B0749C">
              <w:rPr>
                <w:rFonts w:ascii="Arial Narrow" w:hAnsi="Arial Narrow"/>
                <w:color w:val="000000"/>
                <w:sz w:val="16"/>
                <w:szCs w:val="16"/>
              </w:rPr>
              <w:t xml:space="preserve">no se incorpora en el proceso de diálogo a actores claves para implementar la estrategia o los actores clave no se interesan o ponen de acuerdo durante el proceso; y d) </w:t>
            </w:r>
            <w:r w:rsidRPr="00B0749C">
              <w:rPr>
                <w:rFonts w:ascii="Arial Narrow" w:hAnsi="Arial Narrow"/>
                <w:color w:val="000000"/>
                <w:sz w:val="16"/>
                <w:szCs w:val="16"/>
                <w:u w:val="single"/>
              </w:rPr>
              <w:t>no se logra articular la estrategia con las políticas y planes regionales</w:t>
            </w:r>
            <w:r w:rsidRPr="00B0749C">
              <w:rPr>
                <w:rFonts w:ascii="Arial Narrow" w:hAnsi="Arial Narrow"/>
                <w:color w:val="000000"/>
                <w:sz w:val="16"/>
                <w:szCs w:val="16"/>
              </w:rPr>
              <w:t xml:space="preserve"> para el desarrollo y el cambio climático. </w:t>
            </w:r>
          </w:p>
          <w:p w14:paraId="3FE6C5D5" w14:textId="77777777" w:rsidR="00201F61" w:rsidRPr="00B0749C" w:rsidRDefault="00201F61" w:rsidP="002323B9">
            <w:pPr>
              <w:widowControl w:val="0"/>
              <w:tabs>
                <w:tab w:val="left" w:pos="5529"/>
              </w:tabs>
              <w:rPr>
                <w:rFonts w:ascii="Arial Narrow" w:hAnsi="Arial Narrow"/>
                <w:b/>
                <w:i/>
                <w:color w:val="000000"/>
                <w:sz w:val="16"/>
                <w:szCs w:val="16"/>
              </w:rPr>
            </w:pP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47EDD7" w14:textId="77777777" w:rsidR="00201F61" w:rsidRPr="00B0749C" w:rsidRDefault="00201F61" w:rsidP="00395DA6">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Gobierno Regional de Amazonas prioriza el diseño e implementación de la estrategia de desarrollo rural bajo en emisiones.</w:t>
            </w:r>
          </w:p>
          <w:p w14:paraId="117C3B95" w14:textId="77777777" w:rsidR="00201F61" w:rsidRPr="00B0749C" w:rsidRDefault="00201F61" w:rsidP="00395DA6">
            <w:pPr>
              <w:widowControl w:val="0"/>
              <w:tabs>
                <w:tab w:val="left" w:pos="5529"/>
              </w:tabs>
              <w:ind w:left="176" w:right="34" w:hanging="176"/>
              <w:rPr>
                <w:rFonts w:ascii="Arial Narrow" w:hAnsi="Arial Narrow"/>
                <w:color w:val="000000"/>
                <w:sz w:val="16"/>
                <w:szCs w:val="16"/>
              </w:rPr>
            </w:pPr>
          </w:p>
          <w:p w14:paraId="66067AF3" w14:textId="77777777" w:rsidR="00201F61" w:rsidRPr="00B0749C" w:rsidRDefault="00201F61" w:rsidP="00395DA6">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Existe interés de los principales actores regionales para participar en el proceso.</w:t>
            </w:r>
          </w:p>
          <w:p w14:paraId="21A7A27B" w14:textId="77777777" w:rsidR="00201F61" w:rsidRPr="00B0749C" w:rsidRDefault="00201F61" w:rsidP="00395DA6">
            <w:pPr>
              <w:widowControl w:val="0"/>
              <w:tabs>
                <w:tab w:val="left" w:pos="5529"/>
              </w:tabs>
              <w:ind w:left="176" w:right="34" w:hanging="176"/>
              <w:rPr>
                <w:rFonts w:ascii="Arial Narrow" w:hAnsi="Arial Narrow"/>
                <w:color w:val="000000"/>
                <w:sz w:val="16"/>
                <w:szCs w:val="16"/>
              </w:rPr>
            </w:pPr>
          </w:p>
          <w:p w14:paraId="3711193B" w14:textId="77777777" w:rsidR="00201F61" w:rsidRPr="00B0749C" w:rsidRDefault="00201F61" w:rsidP="00395DA6">
            <w:pPr>
              <w:widowControl w:val="0"/>
              <w:tabs>
                <w:tab w:val="left" w:pos="5529"/>
              </w:tabs>
              <w:ind w:left="34" w:right="34" w:hanging="34"/>
              <w:rPr>
                <w:rFonts w:ascii="Arial Narrow" w:hAnsi="Arial Narrow"/>
                <w:color w:val="000000"/>
                <w:sz w:val="16"/>
                <w:szCs w:val="16"/>
              </w:rPr>
            </w:pPr>
            <w:r w:rsidRPr="00B0749C">
              <w:rPr>
                <w:rFonts w:ascii="Arial Narrow" w:hAnsi="Arial Narrow"/>
                <w:color w:val="000000"/>
                <w:sz w:val="16"/>
                <w:szCs w:val="16"/>
              </w:rPr>
              <w:t>Principales actores claves para la implementación de la Estrategia logran concertar la visión y metas de la estrategia bajo el liderazgo del Gobierno Regional de Amazonas.</w:t>
            </w:r>
          </w:p>
          <w:p w14:paraId="2601D064" w14:textId="77777777" w:rsidR="00201F61" w:rsidRPr="00B0749C" w:rsidRDefault="00201F61" w:rsidP="00395DA6">
            <w:pPr>
              <w:widowControl w:val="0"/>
              <w:tabs>
                <w:tab w:val="left" w:pos="5529"/>
              </w:tabs>
              <w:ind w:left="34" w:right="34" w:hanging="34"/>
              <w:rPr>
                <w:rFonts w:ascii="Arial Narrow" w:hAnsi="Arial Narrow"/>
                <w:color w:val="000000"/>
                <w:sz w:val="16"/>
                <w:szCs w:val="16"/>
              </w:rPr>
            </w:pPr>
          </w:p>
          <w:p w14:paraId="2EA44BA5" w14:textId="77777777" w:rsidR="00201F61" w:rsidRPr="00B0749C" w:rsidRDefault="00201F61" w:rsidP="00395DA6">
            <w:pPr>
              <w:widowControl w:val="0"/>
              <w:tabs>
                <w:tab w:val="left" w:pos="5529"/>
              </w:tabs>
              <w:ind w:left="34" w:right="34" w:hanging="34"/>
              <w:rPr>
                <w:rFonts w:ascii="Arial Narrow" w:hAnsi="Arial Narrow"/>
                <w:color w:val="000000"/>
                <w:sz w:val="16"/>
                <w:szCs w:val="16"/>
              </w:rPr>
            </w:pPr>
            <w:r w:rsidRPr="00B0749C">
              <w:rPr>
                <w:rFonts w:ascii="Arial Narrow" w:hAnsi="Arial Narrow"/>
                <w:color w:val="000000"/>
                <w:sz w:val="16"/>
                <w:szCs w:val="16"/>
              </w:rPr>
              <w:t xml:space="preserve">El equipo técnico del proyecto y el Gobierno Regional logran articular la estrategia en los instrumentos de política regional para el desarrollo. </w:t>
            </w:r>
          </w:p>
          <w:p w14:paraId="6FF6BF12" w14:textId="77777777" w:rsidR="00201F61" w:rsidRPr="00B0749C" w:rsidRDefault="00201F61" w:rsidP="00395DA6">
            <w:pPr>
              <w:widowControl w:val="0"/>
              <w:tabs>
                <w:tab w:val="left" w:pos="5529"/>
              </w:tabs>
              <w:ind w:left="176" w:right="34" w:hanging="176"/>
              <w:rPr>
                <w:rFonts w:ascii="Arial Narrow" w:hAnsi="Arial Narrow"/>
                <w:color w:val="000000"/>
                <w:sz w:val="16"/>
                <w:szCs w:val="16"/>
              </w:rPr>
            </w:pPr>
          </w:p>
          <w:p w14:paraId="591EEABC" w14:textId="77777777" w:rsidR="00201F61" w:rsidRPr="00B0749C" w:rsidRDefault="00201F61" w:rsidP="00395DA6">
            <w:pPr>
              <w:widowControl w:val="0"/>
              <w:tabs>
                <w:tab w:val="left" w:pos="5529"/>
              </w:tabs>
              <w:ind w:left="176" w:right="34" w:hanging="176"/>
              <w:rPr>
                <w:rFonts w:ascii="Arial Narrow" w:hAnsi="Arial Narrow"/>
                <w:color w:val="000000"/>
                <w:sz w:val="16"/>
                <w:szCs w:val="16"/>
              </w:rPr>
            </w:pPr>
          </w:p>
          <w:p w14:paraId="13404D4E" w14:textId="1220140D" w:rsidR="00201F61" w:rsidRPr="00B0749C" w:rsidRDefault="00201F61"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Coordinación constante con ministerios y oficinas de planificación y presupuesto del Gobierno Regional para un adecuado alineamiento estratégico.</w:t>
            </w:r>
          </w:p>
        </w:tc>
      </w:tr>
      <w:tr w:rsidR="00201F61" w:rsidRPr="00B0749C" w14:paraId="2A46A63D" w14:textId="77777777" w:rsidTr="001327F2">
        <w:tc>
          <w:tcPr>
            <w:tcW w:w="1844" w:type="dxa"/>
            <w:vMerge/>
            <w:tcBorders>
              <w:top w:val="single" w:sz="4" w:space="0" w:color="000000"/>
              <w:left w:val="single" w:sz="4" w:space="0" w:color="000000"/>
              <w:right w:val="single" w:sz="4" w:space="0" w:color="000000"/>
            </w:tcBorders>
            <w:tcMar>
              <w:top w:w="0" w:type="dxa"/>
              <w:left w:w="0" w:type="dxa"/>
              <w:bottom w:w="0" w:type="dxa"/>
              <w:right w:w="0" w:type="dxa"/>
            </w:tcMar>
          </w:tcPr>
          <w:p w14:paraId="13663BD0" w14:textId="77777777" w:rsidR="00201F61" w:rsidRPr="00B0749C" w:rsidRDefault="00201F61" w:rsidP="002323B9">
            <w:pPr>
              <w:widowControl w:val="0"/>
              <w:pBdr>
                <w:top w:val="nil"/>
                <w:left w:val="nil"/>
                <w:bottom w:val="nil"/>
                <w:right w:val="nil"/>
                <w:between w:val="nil"/>
              </w:pBdr>
              <w:tabs>
                <w:tab w:val="left" w:pos="5529"/>
              </w:tabs>
              <w:spacing w:line="276" w:lineRule="auto"/>
              <w:rPr>
                <w:rFonts w:ascii="Arial Narrow" w:hAnsi="Arial Narrow"/>
                <w:color w:val="000000"/>
                <w:sz w:val="16"/>
                <w:szCs w:val="16"/>
              </w:rPr>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1147E5" w14:textId="52BA3A4D"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1.5a. Grupos de actores claves</w:t>
            </w:r>
            <w:r w:rsidRPr="00B0749C">
              <w:rPr>
                <w:rFonts w:ascii="Arial Narrow" w:hAnsi="Arial Narrow"/>
                <w:color w:val="000000"/>
                <w:sz w:val="16"/>
                <w:szCs w:val="16"/>
                <w:vertAlign w:val="superscript"/>
              </w:rPr>
              <w:footnoteReference w:id="19"/>
            </w:r>
            <w:r w:rsidRPr="00B0749C">
              <w:rPr>
                <w:rFonts w:ascii="Arial Narrow" w:hAnsi="Arial Narrow"/>
                <w:color w:val="000000"/>
                <w:sz w:val="16"/>
                <w:szCs w:val="16"/>
              </w:rPr>
              <w:t xml:space="preserve"> participan en el diseño de la estrategia y se comprometen en acciones para su implementación</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FFF1E9" w14:textId="77777777"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Autoevaluación del Proyecto (2018)</w:t>
            </w:r>
          </w:p>
          <w:p w14:paraId="36F049B1" w14:textId="77777777" w:rsidR="00201F61" w:rsidRPr="00B0749C" w:rsidRDefault="00201F61" w:rsidP="002323B9">
            <w:pPr>
              <w:widowControl w:val="0"/>
              <w:tabs>
                <w:tab w:val="left" w:pos="5529"/>
              </w:tabs>
              <w:rPr>
                <w:rFonts w:ascii="Arial Narrow" w:hAnsi="Arial Narrow"/>
                <w:color w:val="000000"/>
                <w:sz w:val="16"/>
                <w:szCs w:val="16"/>
              </w:rPr>
            </w:pPr>
          </w:p>
          <w:p w14:paraId="3B47E12B" w14:textId="77777777"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 xml:space="preserve">Plan de Desarrollo Regional Concertado Amazonas al 2021 (2015) </w:t>
            </w:r>
          </w:p>
          <w:p w14:paraId="4F960E9B" w14:textId="77777777" w:rsidR="00201F61" w:rsidRPr="00B0749C" w:rsidRDefault="00201F61" w:rsidP="002323B9">
            <w:pPr>
              <w:widowControl w:val="0"/>
              <w:tabs>
                <w:tab w:val="left" w:pos="5529"/>
              </w:tabs>
              <w:rPr>
                <w:rFonts w:ascii="Arial Narrow" w:hAnsi="Arial Narrow"/>
                <w:color w:val="000000"/>
                <w:sz w:val="16"/>
                <w:szCs w:val="16"/>
              </w:rPr>
            </w:pPr>
          </w:p>
          <w:p w14:paraId="4ABB1DEF" w14:textId="77777777"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Informe Regional del Estado del Ambiente.</w:t>
            </w:r>
          </w:p>
          <w:p w14:paraId="07783A8F" w14:textId="77777777"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GORE Amazonas (2016)</w:t>
            </w:r>
          </w:p>
          <w:p w14:paraId="2A6B4689" w14:textId="77777777" w:rsidR="00201F61" w:rsidRPr="00B0749C" w:rsidRDefault="00201F61" w:rsidP="002323B9">
            <w:pPr>
              <w:widowControl w:val="0"/>
              <w:tabs>
                <w:tab w:val="left" w:pos="5529"/>
              </w:tabs>
              <w:rPr>
                <w:rFonts w:ascii="Arial Narrow" w:hAnsi="Arial Narrow"/>
                <w:color w:val="000000"/>
                <w:sz w:val="16"/>
                <w:szCs w:val="16"/>
              </w:rPr>
            </w:pPr>
          </w:p>
          <w:p w14:paraId="707DAD4A" w14:textId="77777777" w:rsidR="00201F61" w:rsidRPr="00B0749C" w:rsidRDefault="00201F61" w:rsidP="002323B9">
            <w:pPr>
              <w:widowControl w:val="0"/>
              <w:tabs>
                <w:tab w:val="left" w:pos="5529"/>
              </w:tabs>
              <w:rPr>
                <w:rFonts w:ascii="Arial Narrow" w:hAnsi="Arial Narrow"/>
                <w:color w:val="000000"/>
                <w:sz w:val="16"/>
                <w:szCs w:val="16"/>
              </w:rPr>
            </w:pPr>
          </w:p>
          <w:p w14:paraId="206DE094" w14:textId="77777777"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Estratégico</w:t>
            </w:r>
          </w:p>
          <w:p w14:paraId="324D4870" w14:textId="77777777"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Regional Agrario de la Región</w:t>
            </w:r>
          </w:p>
          <w:p w14:paraId="59E0ACC7" w14:textId="77777777"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Amazonas</w:t>
            </w:r>
          </w:p>
          <w:p w14:paraId="1B51420F" w14:textId="77777777"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 xml:space="preserve">2011 - 2021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600548" w14:textId="77777777" w:rsidR="00201F61" w:rsidRPr="00B0749C" w:rsidRDefault="00201F61"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59B747BD" w14:textId="77777777" w:rsidR="00201F61" w:rsidRPr="00B0749C" w:rsidRDefault="00201F61"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 xml:space="preserve">2018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47FA6B" w14:textId="77777777" w:rsidR="00201F61" w:rsidRPr="00B0749C" w:rsidRDefault="00201F61"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 xml:space="preserve">Al menos 3 grupos </w:t>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5ED621" w14:textId="77777777"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Medios de verificación:</w:t>
            </w:r>
            <w:r w:rsidRPr="00B0749C">
              <w:rPr>
                <w:rFonts w:ascii="Arial Narrow" w:hAnsi="Arial Narrow"/>
                <w:i/>
                <w:color w:val="000000"/>
                <w:sz w:val="16"/>
                <w:szCs w:val="16"/>
              </w:rPr>
              <w:t xml:space="preserve"> </w:t>
            </w:r>
            <w:r w:rsidRPr="00B0749C">
              <w:rPr>
                <w:rFonts w:ascii="Arial Narrow" w:hAnsi="Arial Narrow"/>
                <w:color w:val="000000"/>
                <w:sz w:val="16"/>
                <w:szCs w:val="16"/>
              </w:rPr>
              <w:t xml:space="preserve">minutas de reuniones y talleres, informes técnicos en donde se revisan aportes y recomiendan incorporaciones a la estrategia y plan, actas de compromiso de implementación de acciones priorizadas en la estrategia. </w:t>
            </w:r>
          </w:p>
          <w:p w14:paraId="0449821D" w14:textId="77777777" w:rsidR="00201F61" w:rsidRPr="00B0749C" w:rsidRDefault="00201F61" w:rsidP="002323B9">
            <w:pPr>
              <w:widowControl w:val="0"/>
              <w:tabs>
                <w:tab w:val="left" w:pos="5529"/>
              </w:tabs>
              <w:rPr>
                <w:rFonts w:ascii="Arial Narrow" w:hAnsi="Arial Narrow"/>
                <w:color w:val="000000"/>
                <w:sz w:val="16"/>
                <w:szCs w:val="16"/>
              </w:rPr>
            </w:pPr>
          </w:p>
          <w:p w14:paraId="13114903" w14:textId="7B19F351"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Metodologías:</w:t>
            </w:r>
            <w:r w:rsidRPr="00B0749C">
              <w:rPr>
                <w:rFonts w:ascii="Arial Narrow" w:hAnsi="Arial Narrow"/>
                <w:color w:val="000000"/>
                <w:sz w:val="16"/>
                <w:szCs w:val="16"/>
              </w:rPr>
              <w:t xml:space="preserve"> Los informes del equipo técnico reportarán la participación de los actores en el proceso, los aportes recibidos, los aportes incorporados y los potenciales acuerdos para implementación suscritos.  </w:t>
            </w:r>
          </w:p>
          <w:p w14:paraId="192AAD97" w14:textId="77777777" w:rsidR="00201F61" w:rsidRPr="00B0749C" w:rsidRDefault="00201F61" w:rsidP="002323B9">
            <w:pPr>
              <w:widowControl w:val="0"/>
              <w:tabs>
                <w:tab w:val="left" w:pos="5529"/>
              </w:tabs>
              <w:rPr>
                <w:rFonts w:ascii="Arial Narrow" w:hAnsi="Arial Narrow"/>
                <w:color w:val="000000"/>
                <w:sz w:val="16"/>
                <w:szCs w:val="16"/>
              </w:rPr>
            </w:pPr>
          </w:p>
          <w:p w14:paraId="155247DC" w14:textId="49B868F8" w:rsidR="00201F61" w:rsidRPr="00B0749C" w:rsidRDefault="00201F61" w:rsidP="002323B9">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Riesgos</w:t>
            </w:r>
            <w:r w:rsidRPr="00B0749C">
              <w:rPr>
                <w:rFonts w:ascii="Arial Narrow" w:hAnsi="Arial Narrow"/>
                <w:b/>
                <w:color w:val="000000"/>
                <w:sz w:val="16"/>
                <w:szCs w:val="16"/>
              </w:rPr>
              <w:t>:</w:t>
            </w:r>
            <w:r w:rsidRPr="00B0749C">
              <w:rPr>
                <w:rFonts w:ascii="Arial Narrow" w:hAnsi="Arial Narrow"/>
                <w:color w:val="000000"/>
                <w:sz w:val="16"/>
                <w:szCs w:val="16"/>
              </w:rPr>
              <w:t xml:space="preserve"> a) </w:t>
            </w:r>
            <w:r w:rsidRPr="00B0749C">
              <w:rPr>
                <w:rFonts w:ascii="Arial Narrow" w:hAnsi="Arial Narrow"/>
                <w:color w:val="000000"/>
                <w:sz w:val="16"/>
                <w:szCs w:val="16"/>
                <w:u w:val="single"/>
              </w:rPr>
              <w:t>Cambio de gobierno</w:t>
            </w:r>
            <w:r w:rsidRPr="00B0749C">
              <w:rPr>
                <w:rFonts w:ascii="Arial Narrow" w:hAnsi="Arial Narrow"/>
                <w:color w:val="000000"/>
                <w:sz w:val="16"/>
                <w:szCs w:val="16"/>
              </w:rPr>
              <w:t xml:space="preserve">: Nueva gestión del gobierno regional no prioriza  o considera apropiado un proceso participativo para la construcción de la estrategia, b) </w:t>
            </w:r>
            <w:r w:rsidRPr="00B0749C">
              <w:rPr>
                <w:rFonts w:ascii="Arial Narrow" w:hAnsi="Arial Narrow"/>
                <w:color w:val="000000"/>
                <w:sz w:val="16"/>
                <w:szCs w:val="16"/>
                <w:u w:val="single"/>
              </w:rPr>
              <w:t xml:space="preserve">débil involucramiento de actores: </w:t>
            </w:r>
            <w:r w:rsidRPr="00B0749C">
              <w:rPr>
                <w:rFonts w:ascii="Arial Narrow" w:hAnsi="Arial Narrow"/>
                <w:color w:val="000000"/>
                <w:sz w:val="16"/>
                <w:szCs w:val="16"/>
              </w:rPr>
              <w:t xml:space="preserve">No se incorpora en el proceso de dialogo a actores claves para implementar la estrategia o los actores clave no se interesan o ponen de acuerdo durante el proceso; y c) </w:t>
            </w:r>
            <w:r w:rsidRPr="00B0749C">
              <w:rPr>
                <w:rFonts w:ascii="Arial Narrow" w:hAnsi="Arial Narrow"/>
                <w:color w:val="000000"/>
                <w:sz w:val="16"/>
                <w:szCs w:val="16"/>
                <w:u w:val="single"/>
              </w:rPr>
              <w:t xml:space="preserve">actores claves no tienen interés </w:t>
            </w:r>
            <w:r w:rsidRPr="00B0749C">
              <w:rPr>
                <w:rFonts w:ascii="Arial Narrow" w:hAnsi="Arial Narrow"/>
                <w:color w:val="000000"/>
                <w:sz w:val="16"/>
                <w:szCs w:val="16"/>
              </w:rPr>
              <w:t>en participar en el proceso de construcción de la estrategia. d) organizaciones indígenas no participan.</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9B79C6" w14:textId="77777777" w:rsidR="00201F61" w:rsidRPr="00B0749C" w:rsidRDefault="00201F61"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Existe interés del Gobierno Regional de Amazonas en construir la estrategia bajo un proceso participativo que involucre a los principales actores para reducir la deforestación y promover el desarrollo rural. </w:t>
            </w:r>
          </w:p>
          <w:p w14:paraId="379B52E8" w14:textId="77777777" w:rsidR="00201F61" w:rsidRPr="00B0749C" w:rsidRDefault="00201F61" w:rsidP="002323B9">
            <w:pPr>
              <w:widowControl w:val="0"/>
              <w:tabs>
                <w:tab w:val="left" w:pos="5529"/>
              </w:tabs>
              <w:ind w:right="34"/>
              <w:rPr>
                <w:rFonts w:ascii="Arial Narrow" w:hAnsi="Arial Narrow"/>
                <w:color w:val="000000"/>
                <w:sz w:val="16"/>
                <w:szCs w:val="16"/>
              </w:rPr>
            </w:pPr>
          </w:p>
          <w:p w14:paraId="5CC86E0A" w14:textId="77777777" w:rsidR="00201F61" w:rsidRPr="00B0749C" w:rsidRDefault="00201F61"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Existe interés de los principales actores regionales para participar en el proceso.</w:t>
            </w:r>
          </w:p>
          <w:p w14:paraId="103254B8" w14:textId="77777777" w:rsidR="00201F61" w:rsidRPr="00B0749C" w:rsidRDefault="00201F61" w:rsidP="002323B9">
            <w:pPr>
              <w:widowControl w:val="0"/>
              <w:tabs>
                <w:tab w:val="left" w:pos="5529"/>
              </w:tabs>
              <w:ind w:left="176" w:right="34" w:hanging="176"/>
              <w:rPr>
                <w:rFonts w:ascii="Arial Narrow" w:hAnsi="Arial Narrow"/>
                <w:color w:val="000000"/>
                <w:sz w:val="16"/>
                <w:szCs w:val="16"/>
              </w:rPr>
            </w:pPr>
          </w:p>
          <w:p w14:paraId="75E8DD93" w14:textId="7EC0A6C1" w:rsidR="00201F61" w:rsidRPr="00B0749C" w:rsidRDefault="00201F61" w:rsidP="002323B9">
            <w:pPr>
              <w:widowControl w:val="0"/>
              <w:tabs>
                <w:tab w:val="left" w:pos="5529"/>
              </w:tabs>
              <w:ind w:left="34" w:right="34" w:hanging="34"/>
              <w:rPr>
                <w:rFonts w:ascii="Arial Narrow" w:hAnsi="Arial Narrow"/>
                <w:color w:val="000000"/>
                <w:sz w:val="16"/>
                <w:szCs w:val="16"/>
              </w:rPr>
            </w:pPr>
            <w:r w:rsidRPr="00B0749C">
              <w:rPr>
                <w:rFonts w:ascii="Arial Narrow" w:hAnsi="Arial Narrow"/>
                <w:color w:val="000000"/>
                <w:sz w:val="16"/>
                <w:szCs w:val="16"/>
              </w:rPr>
              <w:t>Principales actores claves para la implementación de la Estrategia logran concertar la visión y metas de la estrategia bajo el liderazgo del Gobierno Regional de Amazonas.</w:t>
            </w:r>
          </w:p>
          <w:p w14:paraId="01893C3A" w14:textId="77777777" w:rsidR="00201F61" w:rsidRPr="00B0749C" w:rsidRDefault="00201F61" w:rsidP="002323B9">
            <w:pPr>
              <w:widowControl w:val="0"/>
              <w:tabs>
                <w:tab w:val="left" w:pos="5529"/>
              </w:tabs>
              <w:ind w:right="34"/>
              <w:rPr>
                <w:rFonts w:ascii="Arial Narrow" w:hAnsi="Arial Narrow"/>
                <w:color w:val="000000"/>
                <w:sz w:val="16"/>
                <w:szCs w:val="16"/>
              </w:rPr>
            </w:pPr>
          </w:p>
          <w:p w14:paraId="08D83F3C" w14:textId="2E9E3DF2" w:rsidR="00201F61" w:rsidRPr="00B0749C" w:rsidRDefault="00201F61" w:rsidP="002323B9">
            <w:pPr>
              <w:widowControl w:val="0"/>
              <w:tabs>
                <w:tab w:val="left" w:pos="5529"/>
              </w:tabs>
              <w:ind w:left="34" w:right="34" w:hanging="34"/>
              <w:rPr>
                <w:rFonts w:ascii="Arial Narrow" w:hAnsi="Arial Narrow"/>
                <w:color w:val="000000"/>
                <w:sz w:val="16"/>
                <w:szCs w:val="16"/>
              </w:rPr>
            </w:pPr>
            <w:r w:rsidRPr="00B0749C">
              <w:rPr>
                <w:rFonts w:ascii="Arial Narrow" w:hAnsi="Arial Narrow"/>
                <w:color w:val="000000"/>
                <w:sz w:val="16"/>
                <w:szCs w:val="16"/>
              </w:rPr>
              <w:t xml:space="preserve">Principales actores claves para la implementación de la Estrategia logran concertar la visión y metas de la estrategia. </w:t>
            </w:r>
          </w:p>
          <w:p w14:paraId="6AFEA32F" w14:textId="77777777" w:rsidR="00201F61" w:rsidRPr="00B0749C" w:rsidRDefault="00201F61" w:rsidP="002323B9">
            <w:pPr>
              <w:widowControl w:val="0"/>
              <w:tabs>
                <w:tab w:val="left" w:pos="5529"/>
              </w:tabs>
              <w:ind w:left="34" w:right="34" w:hanging="34"/>
              <w:rPr>
                <w:rFonts w:ascii="Arial Narrow" w:hAnsi="Arial Narrow"/>
                <w:color w:val="000000"/>
                <w:sz w:val="16"/>
                <w:szCs w:val="16"/>
              </w:rPr>
            </w:pPr>
          </w:p>
          <w:p w14:paraId="45C724DE" w14:textId="77777777" w:rsidR="00201F61" w:rsidRPr="00B0749C" w:rsidRDefault="00201F61"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Socios no gubernamentales  implementan el proyecto de manera coordinada y sinérgica.   </w:t>
            </w:r>
          </w:p>
          <w:p w14:paraId="03DE3257" w14:textId="77777777" w:rsidR="00201F61" w:rsidRPr="00B0749C" w:rsidRDefault="00201F61" w:rsidP="002323B9">
            <w:pPr>
              <w:widowControl w:val="0"/>
              <w:tabs>
                <w:tab w:val="left" w:pos="5529"/>
              </w:tabs>
              <w:ind w:right="34"/>
              <w:rPr>
                <w:rFonts w:ascii="Arial Narrow" w:hAnsi="Arial Narrow"/>
                <w:color w:val="000000"/>
                <w:sz w:val="16"/>
                <w:szCs w:val="16"/>
              </w:rPr>
            </w:pPr>
          </w:p>
          <w:p w14:paraId="7E3DF756" w14:textId="77777777" w:rsidR="00201F61" w:rsidRPr="00B0749C" w:rsidRDefault="00201F61"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Estrategias de comunicación implementadas por el Gobierno Regional de Amazonas y el Proyecto explican los beneficios de la conservación de bosques y desarrollo rural bajo en emisiones.</w:t>
            </w:r>
          </w:p>
        </w:tc>
      </w:tr>
      <w:tr w:rsidR="001327F2" w:rsidRPr="00B0749C" w14:paraId="345FD4AA" w14:textId="77777777" w:rsidTr="001327F2">
        <w:tc>
          <w:tcPr>
            <w:tcW w:w="1844" w:type="dxa"/>
            <w:vMerge w:val="restart"/>
            <w:tcBorders>
              <w:top w:val="single" w:sz="4" w:space="0" w:color="000000"/>
              <w:left w:val="single" w:sz="4" w:space="0" w:color="000000"/>
              <w:right w:val="single" w:sz="4" w:space="0" w:color="000000"/>
            </w:tcBorders>
            <w:tcMar>
              <w:top w:w="0" w:type="dxa"/>
              <w:left w:w="0" w:type="dxa"/>
              <w:bottom w:w="0" w:type="dxa"/>
              <w:right w:w="0" w:type="dxa"/>
            </w:tcMar>
          </w:tcPr>
          <w:p w14:paraId="73643FB5"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1b. Plan financiero</w:t>
            </w:r>
            <w:r w:rsidRPr="00B0749C">
              <w:rPr>
                <w:rFonts w:ascii="Arial Narrow" w:hAnsi="Arial Narrow"/>
                <w:color w:val="000000"/>
                <w:sz w:val="16"/>
                <w:szCs w:val="16"/>
                <w:vertAlign w:val="superscript"/>
              </w:rPr>
              <w:footnoteReference w:id="20"/>
            </w:r>
            <w:r w:rsidRPr="00B0749C">
              <w:rPr>
                <w:rFonts w:ascii="Arial Narrow" w:hAnsi="Arial Narrow"/>
                <w:color w:val="000000"/>
                <w:sz w:val="16"/>
                <w:szCs w:val="16"/>
              </w:rPr>
              <w:t>, para la región de Amazonas sustentado en un robusto análisis de causas de la deforestación (1.3a) y diagnóstico de cuellos de botella de la producción regional (1.4a), para implementar la estrategia validado por actores claves</w:t>
            </w:r>
            <w:r w:rsidRPr="00B0749C">
              <w:rPr>
                <w:rFonts w:ascii="Arial Narrow" w:hAnsi="Arial Narrow"/>
                <w:color w:val="000000"/>
                <w:sz w:val="16"/>
                <w:szCs w:val="16"/>
                <w:vertAlign w:val="superscript"/>
              </w:rPr>
              <w:t>17</w:t>
            </w:r>
            <w:r w:rsidRPr="00B0749C">
              <w:rPr>
                <w:rFonts w:ascii="Arial Narrow" w:hAnsi="Arial Narrow"/>
                <w:color w:val="000000"/>
                <w:sz w:val="16"/>
                <w:szCs w:val="16"/>
              </w:rPr>
              <w:t xml:space="preserve"> y adoptado por el Gobierno Regional de Amazonas.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ED02E1" w14:textId="3FF319F1" w:rsidR="001327F2" w:rsidRPr="00B0749C" w:rsidRDefault="001327F2" w:rsidP="001327F2">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1.</w:t>
            </w:r>
            <w:r>
              <w:rPr>
                <w:rFonts w:ascii="Arial Narrow" w:hAnsi="Arial Narrow"/>
                <w:color w:val="000000"/>
                <w:sz w:val="16"/>
                <w:szCs w:val="16"/>
              </w:rPr>
              <w:t>1</w:t>
            </w:r>
            <w:r w:rsidRPr="00B0749C">
              <w:rPr>
                <w:rFonts w:ascii="Arial Narrow" w:hAnsi="Arial Narrow"/>
                <w:color w:val="000000"/>
                <w:sz w:val="16"/>
                <w:szCs w:val="16"/>
              </w:rPr>
              <w:t xml:space="preserve">b. Análisis de brechas y oportunidades de financiamiento para la implementación del plan de financiero </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51F8EE"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Autoevaluación del Proyecto (2018)</w:t>
            </w:r>
          </w:p>
          <w:p w14:paraId="12C7B75A" w14:textId="77777777" w:rsidR="001327F2" w:rsidRPr="00B0749C" w:rsidRDefault="001327F2" w:rsidP="005E132F">
            <w:pPr>
              <w:widowControl w:val="0"/>
              <w:tabs>
                <w:tab w:val="left" w:pos="5529"/>
              </w:tabs>
              <w:rPr>
                <w:rFonts w:ascii="Arial Narrow" w:hAnsi="Arial Narrow"/>
                <w:color w:val="000000"/>
                <w:sz w:val="16"/>
                <w:szCs w:val="16"/>
              </w:rPr>
            </w:pPr>
          </w:p>
          <w:p w14:paraId="12D1B8F6"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de Desarrollo Regional Concertado Amazonas al 2021 (2015)</w:t>
            </w:r>
          </w:p>
          <w:p w14:paraId="12B170DD" w14:textId="77777777" w:rsidR="001327F2" w:rsidRPr="00B0749C" w:rsidRDefault="001327F2" w:rsidP="005E132F">
            <w:pPr>
              <w:widowControl w:val="0"/>
              <w:tabs>
                <w:tab w:val="left" w:pos="5529"/>
              </w:tabs>
              <w:rPr>
                <w:rFonts w:ascii="Arial Narrow" w:hAnsi="Arial Narrow"/>
                <w:color w:val="000000"/>
                <w:sz w:val="16"/>
                <w:szCs w:val="16"/>
              </w:rPr>
            </w:pPr>
          </w:p>
          <w:p w14:paraId="3C438A4E"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Estratégico</w:t>
            </w:r>
          </w:p>
          <w:p w14:paraId="061D98C6"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Regional Agrario de la Región</w:t>
            </w:r>
          </w:p>
          <w:p w14:paraId="387A8D84"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Amazonas</w:t>
            </w:r>
          </w:p>
          <w:p w14:paraId="285A0BB4" w14:textId="5093D386"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 xml:space="preserve">2011 - 2021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7FC99D" w14:textId="52269BF6"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3E6661FA" w14:textId="2E3A15DE"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C99AC5" w14:textId="0565B5E7"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1</w:t>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0000A3"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Medios de verificación</w:t>
            </w:r>
            <w:r w:rsidRPr="00B0749C">
              <w:rPr>
                <w:rFonts w:ascii="Arial Narrow" w:hAnsi="Arial Narrow"/>
                <w:color w:val="000000"/>
                <w:sz w:val="16"/>
                <w:szCs w:val="16"/>
              </w:rPr>
              <w:t xml:space="preserve">: minutas de reuniones técnicas para diseño de análisis de brechas y oportunidades, informe técnico que incorpora análisis a plan de inversiones. </w:t>
            </w:r>
          </w:p>
          <w:p w14:paraId="5D253D03" w14:textId="77777777" w:rsidR="001327F2" w:rsidRPr="00B0749C" w:rsidRDefault="001327F2" w:rsidP="005E132F">
            <w:pPr>
              <w:widowControl w:val="0"/>
              <w:tabs>
                <w:tab w:val="left" w:pos="5529"/>
              </w:tabs>
              <w:rPr>
                <w:rFonts w:ascii="Arial Narrow" w:hAnsi="Arial Narrow"/>
                <w:color w:val="000000"/>
                <w:sz w:val="16"/>
                <w:szCs w:val="16"/>
              </w:rPr>
            </w:pPr>
          </w:p>
          <w:p w14:paraId="78A28716"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Metodologías:</w:t>
            </w:r>
            <w:r w:rsidRPr="00B0749C">
              <w:rPr>
                <w:rFonts w:ascii="Arial Narrow" w:hAnsi="Arial Narrow"/>
                <w:i/>
                <w:color w:val="000000"/>
                <w:sz w:val="16"/>
                <w:szCs w:val="16"/>
              </w:rPr>
              <w:t xml:space="preserve"> </w:t>
            </w:r>
            <w:r w:rsidRPr="00B0749C">
              <w:rPr>
                <w:rFonts w:ascii="Arial Narrow" w:hAnsi="Arial Narrow"/>
                <w:color w:val="000000"/>
                <w:sz w:val="16"/>
                <w:szCs w:val="16"/>
              </w:rPr>
              <w:t xml:space="preserve">Para recopilar esta información se sistematizará los informes, minutas y productos elaborados para el análisis de brechas y oportunidades para la implementación del plan de financiero. Se analizará como el plan recoge este análisis. </w:t>
            </w:r>
          </w:p>
          <w:p w14:paraId="0E253F85" w14:textId="77777777" w:rsidR="001327F2" w:rsidRPr="00B0749C" w:rsidRDefault="001327F2" w:rsidP="005E132F">
            <w:pPr>
              <w:widowControl w:val="0"/>
              <w:tabs>
                <w:tab w:val="left" w:pos="5529"/>
              </w:tabs>
              <w:rPr>
                <w:rFonts w:ascii="Arial Narrow" w:hAnsi="Arial Narrow"/>
                <w:color w:val="000000"/>
                <w:sz w:val="16"/>
                <w:szCs w:val="16"/>
              </w:rPr>
            </w:pPr>
          </w:p>
          <w:p w14:paraId="670E434A" w14:textId="460293C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Riesgos:</w:t>
            </w:r>
            <w:r w:rsidRPr="00B0749C">
              <w:rPr>
                <w:rFonts w:ascii="Arial Narrow" w:hAnsi="Arial Narrow"/>
                <w:b/>
                <w:color w:val="000000"/>
                <w:sz w:val="16"/>
                <w:szCs w:val="16"/>
              </w:rPr>
              <w:t xml:space="preserve"> </w:t>
            </w:r>
            <w:r w:rsidRPr="00B0749C">
              <w:rPr>
                <w:rFonts w:ascii="Arial Narrow" w:hAnsi="Arial Narrow"/>
                <w:color w:val="000000"/>
                <w:sz w:val="16"/>
                <w:szCs w:val="16"/>
              </w:rPr>
              <w:t>a)</w:t>
            </w:r>
            <w:r w:rsidRPr="00B0749C">
              <w:rPr>
                <w:rFonts w:ascii="Arial Narrow" w:hAnsi="Arial Narrow"/>
                <w:b/>
                <w:color w:val="000000"/>
                <w:sz w:val="16"/>
                <w:szCs w:val="16"/>
              </w:rPr>
              <w:t xml:space="preserve"> </w:t>
            </w:r>
            <w:r w:rsidRPr="00B0749C">
              <w:rPr>
                <w:rFonts w:ascii="Arial Narrow" w:hAnsi="Arial Narrow"/>
                <w:color w:val="000000"/>
                <w:sz w:val="16"/>
                <w:szCs w:val="16"/>
                <w:u w:val="single"/>
              </w:rPr>
              <w:t>actores claves no comparten la información</w:t>
            </w:r>
            <w:r w:rsidRPr="00B0749C">
              <w:rPr>
                <w:rFonts w:ascii="Arial Narrow" w:hAnsi="Arial Narrow"/>
                <w:color w:val="000000"/>
                <w:sz w:val="16"/>
                <w:szCs w:val="16"/>
              </w:rPr>
              <w:t xml:space="preserve"> necesaria para el análisis de brechas y oportunidades.</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EC178D" w14:textId="77777777" w:rsidR="001327F2" w:rsidRPr="00B0749C" w:rsidRDefault="001327F2" w:rsidP="005E132F">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Actores clave comparten información sobre costos y proyectos vinculados a la  implementación del plan.  </w:t>
            </w:r>
          </w:p>
          <w:p w14:paraId="5B506964" w14:textId="77777777" w:rsidR="001327F2" w:rsidRPr="00B0749C" w:rsidRDefault="001327F2" w:rsidP="005E132F">
            <w:pPr>
              <w:widowControl w:val="0"/>
              <w:tabs>
                <w:tab w:val="left" w:pos="5529"/>
              </w:tabs>
              <w:ind w:right="34"/>
              <w:rPr>
                <w:rFonts w:ascii="Arial Narrow" w:hAnsi="Arial Narrow"/>
                <w:color w:val="000000"/>
                <w:sz w:val="16"/>
                <w:szCs w:val="16"/>
              </w:rPr>
            </w:pPr>
          </w:p>
          <w:p w14:paraId="36E81432" w14:textId="77777777" w:rsidR="001327F2" w:rsidRPr="00B0749C" w:rsidRDefault="001327F2" w:rsidP="005E132F">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Actores del sector privado se involucran activamente y cooperan para definir oportunidades de inversión privada para la implementación del plan</w:t>
            </w:r>
          </w:p>
          <w:p w14:paraId="005B871A" w14:textId="77777777" w:rsidR="001327F2" w:rsidRPr="00B0749C" w:rsidRDefault="001327F2" w:rsidP="005E132F">
            <w:pPr>
              <w:widowControl w:val="0"/>
              <w:tabs>
                <w:tab w:val="left" w:pos="5529"/>
              </w:tabs>
              <w:ind w:right="34"/>
              <w:rPr>
                <w:rFonts w:ascii="Arial Narrow" w:hAnsi="Arial Narrow"/>
                <w:color w:val="000000"/>
                <w:sz w:val="16"/>
                <w:szCs w:val="16"/>
              </w:rPr>
            </w:pPr>
          </w:p>
          <w:p w14:paraId="08976DE6" w14:textId="7AF05F2A" w:rsidR="001327F2" w:rsidRPr="00B0749C" w:rsidRDefault="001327F2"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Socios no gubernamentales implementan el proyecto de manera coordinada y sinérgica.    </w:t>
            </w:r>
          </w:p>
        </w:tc>
      </w:tr>
      <w:tr w:rsidR="001327F2" w:rsidRPr="00B0749C" w14:paraId="0932CA7C" w14:textId="77777777" w:rsidTr="001327F2">
        <w:trPr>
          <w:trHeight w:val="760"/>
        </w:trPr>
        <w:tc>
          <w:tcPr>
            <w:tcW w:w="1844" w:type="dxa"/>
            <w:vMerge/>
            <w:tcBorders>
              <w:top w:val="single" w:sz="4" w:space="0" w:color="000000"/>
              <w:left w:val="single" w:sz="4" w:space="0" w:color="000000"/>
              <w:right w:val="single" w:sz="4" w:space="0" w:color="000000"/>
            </w:tcBorders>
            <w:tcMar>
              <w:top w:w="0" w:type="dxa"/>
              <w:left w:w="0" w:type="dxa"/>
              <w:bottom w:w="0" w:type="dxa"/>
              <w:right w:w="0" w:type="dxa"/>
            </w:tcMar>
          </w:tcPr>
          <w:p w14:paraId="4A1815A9" w14:textId="77777777" w:rsidR="001327F2" w:rsidRPr="00B0749C" w:rsidRDefault="001327F2" w:rsidP="002323B9">
            <w:pPr>
              <w:widowControl w:val="0"/>
              <w:pBdr>
                <w:top w:val="nil"/>
                <w:left w:val="nil"/>
                <w:bottom w:val="nil"/>
                <w:right w:val="nil"/>
                <w:between w:val="nil"/>
              </w:pBdr>
              <w:tabs>
                <w:tab w:val="left" w:pos="5529"/>
              </w:tabs>
              <w:spacing w:line="276" w:lineRule="auto"/>
              <w:rPr>
                <w:rFonts w:ascii="Arial Narrow" w:hAnsi="Arial Narrow"/>
                <w:color w:val="000000"/>
                <w:sz w:val="16"/>
                <w:szCs w:val="16"/>
              </w:rPr>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03C745" w14:textId="286041D0" w:rsidR="001327F2" w:rsidRPr="00B0749C" w:rsidRDefault="001327F2" w:rsidP="002323B9">
            <w:pPr>
              <w:widowControl w:val="0"/>
              <w:tabs>
                <w:tab w:val="left" w:pos="5529"/>
              </w:tabs>
              <w:rPr>
                <w:rFonts w:ascii="Arial Narrow" w:hAnsi="Arial Narrow"/>
                <w:color w:val="000000"/>
                <w:sz w:val="16"/>
                <w:szCs w:val="16"/>
              </w:rPr>
            </w:pPr>
            <w:r>
              <w:rPr>
                <w:rFonts w:ascii="Arial Narrow" w:hAnsi="Arial Narrow"/>
                <w:color w:val="000000"/>
                <w:sz w:val="16"/>
                <w:szCs w:val="16"/>
              </w:rPr>
              <w:t>1.2</w:t>
            </w:r>
            <w:r w:rsidRPr="00B0749C">
              <w:rPr>
                <w:rFonts w:ascii="Arial Narrow" w:hAnsi="Arial Narrow"/>
                <w:color w:val="000000"/>
                <w:sz w:val="16"/>
                <w:szCs w:val="16"/>
              </w:rPr>
              <w:t>b. Plan financiero para implementar la estrategia de desarrollo rural bajo en emisiones para la Región Amazonas.</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BF3690"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Autoevaluación del Proyecto (2018)</w:t>
            </w:r>
          </w:p>
          <w:p w14:paraId="5E9D136B" w14:textId="77777777" w:rsidR="001327F2" w:rsidRPr="00B0749C" w:rsidRDefault="001327F2" w:rsidP="005E132F">
            <w:pPr>
              <w:widowControl w:val="0"/>
              <w:tabs>
                <w:tab w:val="left" w:pos="5529"/>
              </w:tabs>
              <w:rPr>
                <w:rFonts w:ascii="Arial Narrow" w:hAnsi="Arial Narrow"/>
                <w:color w:val="000000"/>
                <w:sz w:val="16"/>
                <w:szCs w:val="16"/>
              </w:rPr>
            </w:pPr>
          </w:p>
          <w:p w14:paraId="4AFED94B"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 xml:space="preserve">Plan de Desarrollo Regional Concertado Amazonas al 2021 (2015)  </w:t>
            </w:r>
          </w:p>
          <w:p w14:paraId="2DE301E4" w14:textId="77777777" w:rsidR="001327F2" w:rsidRPr="00B0749C" w:rsidRDefault="001327F2" w:rsidP="005E132F">
            <w:pPr>
              <w:widowControl w:val="0"/>
              <w:tabs>
                <w:tab w:val="left" w:pos="5529"/>
              </w:tabs>
              <w:rPr>
                <w:rFonts w:ascii="Arial Narrow" w:hAnsi="Arial Narrow"/>
                <w:color w:val="000000"/>
                <w:sz w:val="16"/>
                <w:szCs w:val="16"/>
              </w:rPr>
            </w:pPr>
          </w:p>
          <w:p w14:paraId="78CC5407" w14:textId="77777777" w:rsidR="001327F2" w:rsidRPr="00B0749C" w:rsidRDefault="001327F2" w:rsidP="005E132F">
            <w:pPr>
              <w:widowControl w:val="0"/>
              <w:tabs>
                <w:tab w:val="left" w:pos="5529"/>
              </w:tabs>
              <w:rPr>
                <w:rFonts w:ascii="Arial Narrow" w:hAnsi="Arial Narrow"/>
                <w:color w:val="000000"/>
                <w:sz w:val="16"/>
                <w:szCs w:val="16"/>
              </w:rPr>
            </w:pPr>
          </w:p>
          <w:p w14:paraId="5702BB25"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Estratégico</w:t>
            </w:r>
          </w:p>
          <w:p w14:paraId="1ED26358"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Regional Agrario de la Región</w:t>
            </w:r>
          </w:p>
          <w:p w14:paraId="0839E5D6"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Amazonas</w:t>
            </w:r>
          </w:p>
          <w:p w14:paraId="4100517F" w14:textId="3033056E"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2011 - 2021</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434E27" w14:textId="306419C4"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lastRenderedPageBreak/>
              <w:t>0</w:t>
            </w:r>
          </w:p>
        </w:tc>
        <w:tc>
          <w:tcPr>
            <w:tcW w:w="709" w:type="dxa"/>
            <w:tcBorders>
              <w:top w:val="single" w:sz="4" w:space="0" w:color="000000"/>
              <w:left w:val="single" w:sz="4" w:space="0" w:color="000000"/>
              <w:bottom w:val="single" w:sz="4" w:space="0" w:color="000000"/>
              <w:right w:val="single" w:sz="4" w:space="0" w:color="000000"/>
            </w:tcBorders>
          </w:tcPr>
          <w:p w14:paraId="6519FFEA" w14:textId="0B3D2EA7"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7B945E" w14:textId="453363DB"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1</w:t>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8AA252" w14:textId="77777777" w:rsidR="001327F2" w:rsidRPr="00B0749C" w:rsidRDefault="001327F2" w:rsidP="005E132F">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Medios de verificación:</w:t>
            </w:r>
            <w:r w:rsidRPr="00B0749C">
              <w:rPr>
                <w:rFonts w:ascii="Arial Narrow" w:hAnsi="Arial Narrow"/>
                <w:i/>
                <w:color w:val="000000"/>
                <w:sz w:val="16"/>
                <w:szCs w:val="16"/>
              </w:rPr>
              <w:t xml:space="preserve"> </w:t>
            </w:r>
            <w:r w:rsidRPr="00B0749C">
              <w:rPr>
                <w:rFonts w:ascii="Arial Narrow" w:hAnsi="Arial Narrow"/>
                <w:color w:val="000000"/>
                <w:sz w:val="16"/>
                <w:szCs w:val="16"/>
              </w:rPr>
              <w:t>ordenanzas regionales o resoluciones ejecutivas regionales de aprobación del plan o acuerdos para implementación de plan con actores clave (p.ej. sector privado con gobierno regional).</w:t>
            </w:r>
          </w:p>
          <w:p w14:paraId="648214DB" w14:textId="77777777" w:rsidR="001327F2" w:rsidRPr="00B0749C" w:rsidRDefault="001327F2" w:rsidP="005E132F">
            <w:pPr>
              <w:widowControl w:val="0"/>
              <w:tabs>
                <w:tab w:val="left" w:pos="5529"/>
              </w:tabs>
              <w:rPr>
                <w:rFonts w:ascii="Arial Narrow" w:hAnsi="Arial Narrow"/>
                <w:color w:val="000000"/>
                <w:sz w:val="16"/>
                <w:szCs w:val="16"/>
              </w:rPr>
            </w:pPr>
          </w:p>
          <w:p w14:paraId="6D66F311" w14:textId="77777777" w:rsidR="001327F2" w:rsidRDefault="001327F2" w:rsidP="005E132F">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Metodologías:</w:t>
            </w:r>
            <w:r w:rsidRPr="00B0749C">
              <w:rPr>
                <w:rFonts w:ascii="Arial Narrow" w:hAnsi="Arial Narrow"/>
                <w:color w:val="000000"/>
                <w:sz w:val="16"/>
                <w:szCs w:val="16"/>
              </w:rPr>
              <w:t xml:space="preserve"> Los informes del equipo técnico sistematizará los informes del gobierno regional para la aprobación del plan, el documento de plan y las normas regionales de aprobación o acuerdos con actores clave. </w:t>
            </w:r>
          </w:p>
          <w:p w14:paraId="2187C764" w14:textId="77777777" w:rsidR="001327F2" w:rsidRPr="00B0749C" w:rsidRDefault="001327F2" w:rsidP="005E132F">
            <w:pPr>
              <w:widowControl w:val="0"/>
              <w:tabs>
                <w:tab w:val="left" w:pos="5529"/>
              </w:tabs>
              <w:rPr>
                <w:rFonts w:ascii="Arial Narrow" w:hAnsi="Arial Narrow"/>
                <w:color w:val="000000"/>
                <w:sz w:val="16"/>
                <w:szCs w:val="16"/>
              </w:rPr>
            </w:pPr>
          </w:p>
          <w:p w14:paraId="6CF7A440" w14:textId="1BDECF67" w:rsidR="001327F2" w:rsidRPr="00B0749C" w:rsidRDefault="001327F2" w:rsidP="00542B9A">
            <w:pPr>
              <w:widowControl w:val="0"/>
              <w:tabs>
                <w:tab w:val="left" w:pos="5529"/>
              </w:tabs>
              <w:rPr>
                <w:rFonts w:ascii="Arial Narrow" w:hAnsi="Arial Narrow"/>
                <w:b/>
                <w:i/>
                <w:color w:val="000000"/>
                <w:sz w:val="16"/>
                <w:szCs w:val="16"/>
              </w:rPr>
            </w:pPr>
            <w:r w:rsidRPr="00B0749C">
              <w:rPr>
                <w:rFonts w:ascii="Arial Narrow" w:hAnsi="Arial Narrow"/>
                <w:b/>
                <w:i/>
                <w:color w:val="000000"/>
                <w:sz w:val="16"/>
                <w:szCs w:val="16"/>
              </w:rPr>
              <w:t>Riesgos</w:t>
            </w:r>
            <w:r w:rsidRPr="00B0749C">
              <w:rPr>
                <w:rFonts w:ascii="Arial Narrow" w:hAnsi="Arial Narrow"/>
                <w:b/>
                <w:color w:val="000000"/>
                <w:sz w:val="16"/>
                <w:szCs w:val="16"/>
              </w:rPr>
              <w:t>:</w:t>
            </w:r>
            <w:r w:rsidRPr="00B0749C">
              <w:rPr>
                <w:rFonts w:ascii="Arial Narrow" w:hAnsi="Arial Narrow"/>
                <w:color w:val="000000"/>
                <w:sz w:val="16"/>
                <w:szCs w:val="16"/>
              </w:rPr>
              <w:t xml:space="preserve"> a) </w:t>
            </w:r>
            <w:r w:rsidRPr="00B0749C">
              <w:rPr>
                <w:rFonts w:ascii="Arial Narrow" w:hAnsi="Arial Narrow"/>
                <w:color w:val="000000"/>
                <w:sz w:val="16"/>
                <w:szCs w:val="16"/>
                <w:u w:val="single"/>
              </w:rPr>
              <w:t>Cambio de gobierno</w:t>
            </w:r>
            <w:r w:rsidRPr="00B0749C">
              <w:rPr>
                <w:rFonts w:ascii="Arial Narrow" w:hAnsi="Arial Narrow"/>
                <w:color w:val="000000"/>
                <w:sz w:val="16"/>
                <w:szCs w:val="16"/>
              </w:rPr>
              <w:t xml:space="preserve">: Nueva gestión del gobierno regional no prioriza el diseño del plan. Nueva gestión decide reiniciar el ejercicio de planificación estratégica o convocar a otros actores para el diseño. Incremento del tiempo para alineamiento estratégico al interior del gobierno regional por cambio de funcionarios, y b) </w:t>
            </w:r>
            <w:r w:rsidRPr="00B0749C">
              <w:rPr>
                <w:rFonts w:ascii="Arial Narrow" w:hAnsi="Arial Narrow"/>
                <w:color w:val="000000"/>
                <w:sz w:val="16"/>
                <w:szCs w:val="16"/>
                <w:u w:val="single"/>
              </w:rPr>
              <w:t>Falta de claridad en el objeto y alcance de los instrumentos de planificación estratégica</w:t>
            </w:r>
            <w:r w:rsidRPr="00B0749C">
              <w:rPr>
                <w:rFonts w:ascii="Arial Narrow" w:hAnsi="Arial Narrow"/>
                <w:color w:val="000000"/>
                <w:sz w:val="16"/>
                <w:szCs w:val="16"/>
              </w:rPr>
              <w:t xml:space="preserve"> para reducción de la deforestación a nivel regional.</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E7D267" w14:textId="77777777" w:rsidR="001327F2" w:rsidRPr="00B0749C" w:rsidRDefault="001327F2" w:rsidP="005E132F">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lastRenderedPageBreak/>
              <w:t>Gobierno Regional de Amazonas prioriza el diseño e implementación del plan de inversiones de la estrategia de desarrollo rural bajo en emisiones.</w:t>
            </w:r>
          </w:p>
          <w:p w14:paraId="3E7F6E18" w14:textId="77777777" w:rsidR="001327F2" w:rsidRPr="00B0749C" w:rsidRDefault="001327F2" w:rsidP="005E132F">
            <w:pPr>
              <w:widowControl w:val="0"/>
              <w:tabs>
                <w:tab w:val="left" w:pos="5529"/>
              </w:tabs>
              <w:ind w:left="176" w:right="34" w:hanging="176"/>
              <w:rPr>
                <w:rFonts w:ascii="Arial Narrow" w:hAnsi="Arial Narrow"/>
                <w:color w:val="000000"/>
                <w:sz w:val="16"/>
                <w:szCs w:val="16"/>
              </w:rPr>
            </w:pPr>
          </w:p>
          <w:p w14:paraId="39AF5CCB" w14:textId="77777777" w:rsidR="001327F2" w:rsidRPr="00B0749C" w:rsidRDefault="001327F2" w:rsidP="005E132F">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Socios no gubernamentales implementan el proyecto de manera coordinada y sinérgica.  </w:t>
            </w:r>
          </w:p>
          <w:p w14:paraId="1787BBEE" w14:textId="77777777" w:rsidR="001327F2" w:rsidRPr="00B0749C" w:rsidRDefault="001327F2" w:rsidP="005E132F">
            <w:pPr>
              <w:widowControl w:val="0"/>
              <w:tabs>
                <w:tab w:val="left" w:pos="5529"/>
              </w:tabs>
              <w:ind w:right="34"/>
              <w:rPr>
                <w:rFonts w:ascii="Arial Narrow" w:hAnsi="Arial Narrow"/>
                <w:color w:val="000000"/>
                <w:sz w:val="16"/>
                <w:szCs w:val="16"/>
              </w:rPr>
            </w:pPr>
          </w:p>
          <w:p w14:paraId="73651DBD" w14:textId="4D414751" w:rsidR="001327F2" w:rsidRPr="00B0749C" w:rsidRDefault="001327F2"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Coordinación permanente con ministerios rectores a nivel nacional y con las oficinas de planificación y presupuesto a nivel regional.</w:t>
            </w:r>
          </w:p>
        </w:tc>
      </w:tr>
      <w:tr w:rsidR="001327F2" w:rsidRPr="00B0749C" w14:paraId="3A2EAE85" w14:textId="77777777" w:rsidTr="001327F2">
        <w:trPr>
          <w:trHeight w:val="760"/>
        </w:trPr>
        <w:tc>
          <w:tcPr>
            <w:tcW w:w="1844" w:type="dxa"/>
            <w:vMerge/>
            <w:tcBorders>
              <w:top w:val="single" w:sz="4" w:space="0" w:color="000000"/>
              <w:left w:val="single" w:sz="4" w:space="0" w:color="000000"/>
              <w:right w:val="single" w:sz="4" w:space="0" w:color="000000"/>
            </w:tcBorders>
            <w:tcMar>
              <w:top w:w="0" w:type="dxa"/>
              <w:left w:w="0" w:type="dxa"/>
              <w:bottom w:w="0" w:type="dxa"/>
              <w:right w:w="0" w:type="dxa"/>
            </w:tcMar>
          </w:tcPr>
          <w:p w14:paraId="3B438197" w14:textId="77777777" w:rsidR="001327F2" w:rsidRPr="00B0749C" w:rsidRDefault="001327F2" w:rsidP="002323B9">
            <w:pPr>
              <w:widowControl w:val="0"/>
              <w:pBdr>
                <w:top w:val="nil"/>
                <w:left w:val="nil"/>
                <w:bottom w:val="nil"/>
                <w:right w:val="nil"/>
                <w:between w:val="nil"/>
              </w:pBdr>
              <w:tabs>
                <w:tab w:val="left" w:pos="5529"/>
              </w:tabs>
              <w:spacing w:line="276" w:lineRule="auto"/>
              <w:rPr>
                <w:rFonts w:ascii="Arial Narrow" w:hAnsi="Arial Narrow"/>
                <w:color w:val="000000"/>
                <w:sz w:val="16"/>
                <w:szCs w:val="16"/>
              </w:rPr>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CF55C0"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1.3b Grupos</w:t>
            </w:r>
            <w:r w:rsidRPr="00B0749C">
              <w:rPr>
                <w:rFonts w:ascii="Arial Narrow" w:hAnsi="Arial Narrow"/>
                <w:color w:val="000000"/>
                <w:sz w:val="16"/>
                <w:szCs w:val="16"/>
                <w:vertAlign w:val="superscript"/>
              </w:rPr>
              <w:footnoteReference w:id="21"/>
            </w:r>
            <w:r w:rsidRPr="00B0749C">
              <w:rPr>
                <w:rFonts w:ascii="Arial Narrow" w:hAnsi="Arial Narrow"/>
                <w:color w:val="000000"/>
                <w:sz w:val="16"/>
                <w:szCs w:val="16"/>
              </w:rPr>
              <w:t xml:space="preserve"> de actores claves</w:t>
            </w:r>
            <w:r w:rsidRPr="00B0749C">
              <w:rPr>
                <w:rFonts w:ascii="Arial Narrow" w:hAnsi="Arial Narrow"/>
                <w:color w:val="000000"/>
                <w:sz w:val="16"/>
                <w:szCs w:val="16"/>
                <w:vertAlign w:val="superscript"/>
              </w:rPr>
              <w:t>17</w:t>
            </w:r>
            <w:r w:rsidRPr="00B0749C">
              <w:rPr>
                <w:rFonts w:ascii="Arial Narrow" w:hAnsi="Arial Narrow"/>
                <w:color w:val="000000"/>
                <w:sz w:val="16"/>
                <w:szCs w:val="16"/>
              </w:rPr>
              <w:t xml:space="preserve"> participan en la elaboración del plan de financiero y se comprometen en acciones para su implementación</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195CB2"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Autoevaluación del Proyecto (2018)</w:t>
            </w:r>
          </w:p>
          <w:p w14:paraId="60061079" w14:textId="77777777" w:rsidR="001327F2" w:rsidRPr="00B0749C" w:rsidRDefault="001327F2" w:rsidP="002323B9">
            <w:pPr>
              <w:widowControl w:val="0"/>
              <w:tabs>
                <w:tab w:val="left" w:pos="5529"/>
              </w:tabs>
              <w:rPr>
                <w:rFonts w:ascii="Arial Narrow" w:hAnsi="Arial Narrow"/>
                <w:color w:val="000000"/>
                <w:sz w:val="16"/>
                <w:szCs w:val="16"/>
              </w:rPr>
            </w:pPr>
          </w:p>
          <w:p w14:paraId="5FCDA56C"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de Desarrollo Regional Concertado Amazonas al 2021 (2015)</w:t>
            </w:r>
          </w:p>
          <w:p w14:paraId="6F501139" w14:textId="77777777" w:rsidR="001327F2" w:rsidRPr="00B0749C" w:rsidRDefault="001327F2" w:rsidP="002323B9">
            <w:pPr>
              <w:widowControl w:val="0"/>
              <w:tabs>
                <w:tab w:val="left" w:pos="5529"/>
              </w:tabs>
              <w:rPr>
                <w:rFonts w:ascii="Arial Narrow" w:hAnsi="Arial Narrow"/>
                <w:color w:val="000000"/>
                <w:sz w:val="16"/>
                <w:szCs w:val="16"/>
              </w:rPr>
            </w:pPr>
          </w:p>
          <w:p w14:paraId="6DB1B49C"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Estratégico</w:t>
            </w:r>
          </w:p>
          <w:p w14:paraId="556ABD15"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Regional Agrario de la Región</w:t>
            </w:r>
          </w:p>
          <w:p w14:paraId="7AE4A492"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Amazonas</w:t>
            </w:r>
          </w:p>
          <w:p w14:paraId="308A5BFE"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 xml:space="preserve">2011 - 2021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F7E8EE" w14:textId="77777777"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2FAFBB25" w14:textId="77777777"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AB3544" w14:textId="77777777"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 xml:space="preserve">Al menos 3 grupos </w:t>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27155E" w14:textId="77777777" w:rsidR="001327F2" w:rsidRPr="00B0749C" w:rsidRDefault="001327F2" w:rsidP="002323B9">
            <w:pPr>
              <w:widowControl w:val="0"/>
              <w:tabs>
                <w:tab w:val="left" w:pos="5529"/>
              </w:tabs>
              <w:rPr>
                <w:rFonts w:ascii="Arial Narrow" w:hAnsi="Arial Narrow"/>
                <w:i/>
                <w:color w:val="000000"/>
                <w:sz w:val="16"/>
                <w:szCs w:val="16"/>
                <w:u w:val="single"/>
              </w:rPr>
            </w:pPr>
            <w:r w:rsidRPr="00B0749C">
              <w:rPr>
                <w:rFonts w:ascii="Arial Narrow" w:hAnsi="Arial Narrow"/>
                <w:b/>
                <w:i/>
                <w:color w:val="000000"/>
                <w:sz w:val="16"/>
                <w:szCs w:val="16"/>
              </w:rPr>
              <w:t>Medios de verificación</w:t>
            </w:r>
            <w:r w:rsidRPr="00B0749C">
              <w:rPr>
                <w:rFonts w:ascii="Arial Narrow" w:hAnsi="Arial Narrow"/>
                <w:i/>
                <w:color w:val="000000"/>
                <w:sz w:val="16"/>
                <w:szCs w:val="16"/>
              </w:rPr>
              <w:t xml:space="preserve">: </w:t>
            </w:r>
            <w:r w:rsidRPr="00B0749C">
              <w:rPr>
                <w:rFonts w:ascii="Arial Narrow" w:hAnsi="Arial Narrow"/>
                <w:color w:val="000000"/>
                <w:sz w:val="16"/>
                <w:szCs w:val="16"/>
              </w:rPr>
              <w:t xml:space="preserve">minutas de reuniones y talleres, informes técnicos en donde se revisan aportes y recomiendan incorporaciones, actas de compromiso de implementación. </w:t>
            </w:r>
          </w:p>
          <w:p w14:paraId="286BA2AC" w14:textId="77777777" w:rsidR="001327F2" w:rsidRPr="00B0749C" w:rsidRDefault="001327F2" w:rsidP="002323B9">
            <w:pPr>
              <w:widowControl w:val="0"/>
              <w:tabs>
                <w:tab w:val="left" w:pos="5529"/>
              </w:tabs>
              <w:rPr>
                <w:rFonts w:ascii="Arial Narrow" w:hAnsi="Arial Narrow"/>
                <w:color w:val="000000"/>
                <w:sz w:val="16"/>
                <w:szCs w:val="16"/>
              </w:rPr>
            </w:pPr>
          </w:p>
          <w:p w14:paraId="444C6D10" w14:textId="6C3713E1"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Metodologías:</w:t>
            </w:r>
            <w:r w:rsidRPr="00B0749C">
              <w:rPr>
                <w:rFonts w:ascii="Arial Narrow" w:hAnsi="Arial Narrow"/>
                <w:color w:val="000000"/>
                <w:sz w:val="16"/>
                <w:szCs w:val="16"/>
              </w:rPr>
              <w:t xml:space="preserve"> Los informes del equipo técnico reportarán la participación de los actores en el proceso, los aportes recibidos, los aportes incorporados y los potenciales acuerdos para implementación suscritos.  </w:t>
            </w:r>
          </w:p>
          <w:p w14:paraId="4300CAB7" w14:textId="77777777" w:rsidR="001327F2" w:rsidRPr="00B0749C" w:rsidRDefault="001327F2" w:rsidP="002323B9">
            <w:pPr>
              <w:widowControl w:val="0"/>
              <w:tabs>
                <w:tab w:val="left" w:pos="5529"/>
              </w:tabs>
              <w:rPr>
                <w:rFonts w:ascii="Arial Narrow" w:hAnsi="Arial Narrow"/>
                <w:b/>
                <w:i/>
                <w:color w:val="000000"/>
                <w:sz w:val="16"/>
                <w:szCs w:val="16"/>
              </w:rPr>
            </w:pPr>
          </w:p>
          <w:p w14:paraId="106DA866" w14:textId="108147FE"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Riesgos:</w:t>
            </w:r>
            <w:r w:rsidRPr="00B0749C">
              <w:rPr>
                <w:rFonts w:ascii="Arial Narrow" w:hAnsi="Arial Narrow"/>
                <w:color w:val="000000"/>
                <w:sz w:val="16"/>
                <w:szCs w:val="16"/>
              </w:rPr>
              <w:t xml:space="preserve"> a) </w:t>
            </w:r>
            <w:r w:rsidRPr="00B0749C">
              <w:rPr>
                <w:rFonts w:ascii="Arial Narrow" w:hAnsi="Arial Narrow"/>
                <w:color w:val="000000"/>
                <w:sz w:val="16"/>
                <w:szCs w:val="16"/>
                <w:u w:val="single"/>
              </w:rPr>
              <w:t>Cambio de gobierno</w:t>
            </w:r>
            <w:r w:rsidRPr="00B0749C">
              <w:rPr>
                <w:rFonts w:ascii="Arial Narrow" w:hAnsi="Arial Narrow"/>
                <w:color w:val="000000"/>
                <w:sz w:val="16"/>
                <w:szCs w:val="16"/>
              </w:rPr>
              <w:t xml:space="preserve">: Nueva gestión del gobierno regional no prioriza o considera apropiado un proceso participativo para la construcción del plan, b) </w:t>
            </w:r>
            <w:r w:rsidRPr="00B0749C">
              <w:rPr>
                <w:rFonts w:ascii="Arial Narrow" w:hAnsi="Arial Narrow"/>
                <w:color w:val="000000"/>
                <w:sz w:val="16"/>
                <w:szCs w:val="16"/>
                <w:u w:val="single"/>
              </w:rPr>
              <w:t xml:space="preserve">débil involucramiento de actores: </w:t>
            </w:r>
            <w:r w:rsidRPr="00B0749C">
              <w:rPr>
                <w:rFonts w:ascii="Arial Narrow" w:hAnsi="Arial Narrow"/>
                <w:color w:val="000000"/>
                <w:sz w:val="16"/>
                <w:szCs w:val="16"/>
              </w:rPr>
              <w:t xml:space="preserve">No se incorpora en el proceso de diálogo a actores claves para implementar el plan  o los actores clave no se interesan o ponen de acuerdo durante el proceso; y c) </w:t>
            </w:r>
            <w:r w:rsidRPr="00B0749C">
              <w:rPr>
                <w:rFonts w:ascii="Arial Narrow" w:hAnsi="Arial Narrow"/>
                <w:color w:val="000000"/>
                <w:sz w:val="16"/>
                <w:szCs w:val="16"/>
                <w:u w:val="single"/>
              </w:rPr>
              <w:t xml:space="preserve">actores claves no tienen interés </w:t>
            </w:r>
            <w:r w:rsidRPr="00B0749C">
              <w:rPr>
                <w:rFonts w:ascii="Arial Narrow" w:hAnsi="Arial Narrow"/>
                <w:color w:val="000000"/>
                <w:sz w:val="16"/>
                <w:szCs w:val="16"/>
              </w:rPr>
              <w:t xml:space="preserve">en participar en el proceso de construcción del plan. </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E20355" w14:textId="77777777" w:rsidR="001327F2" w:rsidRPr="00B0749C" w:rsidRDefault="001327F2"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Existe interés del Gobierno Regional de Amazonas en construir la estrategia bajo un proceso participativo que involucre a los principales actores para reducir la deforestación y promover el desarrollo rural. </w:t>
            </w:r>
          </w:p>
          <w:p w14:paraId="1E7C2687" w14:textId="77777777" w:rsidR="00542B9A" w:rsidRDefault="00542B9A" w:rsidP="002323B9">
            <w:pPr>
              <w:widowControl w:val="0"/>
              <w:tabs>
                <w:tab w:val="left" w:pos="5529"/>
              </w:tabs>
              <w:ind w:left="34" w:right="34" w:hanging="34"/>
              <w:rPr>
                <w:rFonts w:ascii="Arial Narrow" w:hAnsi="Arial Narrow"/>
                <w:color w:val="000000"/>
                <w:sz w:val="16"/>
                <w:szCs w:val="16"/>
              </w:rPr>
            </w:pPr>
          </w:p>
          <w:p w14:paraId="1C9F43D4" w14:textId="16C0DF16" w:rsidR="001327F2" w:rsidRPr="00B0749C" w:rsidRDefault="001327F2" w:rsidP="002323B9">
            <w:pPr>
              <w:widowControl w:val="0"/>
              <w:tabs>
                <w:tab w:val="left" w:pos="5529"/>
              </w:tabs>
              <w:ind w:left="34" w:right="34" w:hanging="34"/>
              <w:rPr>
                <w:rFonts w:ascii="Arial Narrow" w:hAnsi="Arial Narrow"/>
                <w:color w:val="000000"/>
                <w:sz w:val="16"/>
                <w:szCs w:val="16"/>
              </w:rPr>
            </w:pPr>
            <w:r w:rsidRPr="00B0749C">
              <w:rPr>
                <w:rFonts w:ascii="Arial Narrow" w:hAnsi="Arial Narrow"/>
                <w:color w:val="000000"/>
                <w:sz w:val="16"/>
                <w:szCs w:val="16"/>
              </w:rPr>
              <w:t>Principales actores claves para la implementación de la Estrategia logran concertar la visión y metas de la estrategia bajo el liderazgo del Gobierno Regional de Amazonas.</w:t>
            </w:r>
          </w:p>
          <w:p w14:paraId="7481468B" w14:textId="77777777" w:rsidR="00542B9A" w:rsidRDefault="00542B9A" w:rsidP="002323B9">
            <w:pPr>
              <w:widowControl w:val="0"/>
              <w:tabs>
                <w:tab w:val="left" w:pos="5529"/>
              </w:tabs>
              <w:ind w:right="34"/>
              <w:rPr>
                <w:rFonts w:ascii="Arial Narrow" w:hAnsi="Arial Narrow"/>
                <w:color w:val="000000"/>
                <w:sz w:val="16"/>
                <w:szCs w:val="16"/>
              </w:rPr>
            </w:pPr>
          </w:p>
          <w:p w14:paraId="66468379" w14:textId="77777777" w:rsidR="001327F2" w:rsidRPr="00B0749C" w:rsidRDefault="001327F2"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Estrategias de comunicación implementadas por el Gobierno Regional de Amazonas y el Proyecto explican los beneficios de la conservación de bosques y desarrollo rural bajo en emisiones.</w:t>
            </w:r>
          </w:p>
        </w:tc>
      </w:tr>
      <w:tr w:rsidR="001327F2" w:rsidRPr="00B0749C" w14:paraId="653923A9" w14:textId="77777777" w:rsidTr="001327F2">
        <w:trPr>
          <w:trHeight w:val="820"/>
        </w:trPr>
        <w:tc>
          <w:tcPr>
            <w:tcW w:w="18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E9FDEF" w14:textId="77777777" w:rsidR="001327F2" w:rsidRPr="00B0749C" w:rsidRDefault="001327F2" w:rsidP="002323B9">
            <w:pPr>
              <w:widowControl w:val="0"/>
              <w:tabs>
                <w:tab w:val="left" w:pos="5529"/>
              </w:tabs>
              <w:rPr>
                <w:rFonts w:ascii="Arial Narrow" w:hAnsi="Arial Narrow"/>
                <w:color w:val="000000"/>
                <w:sz w:val="16"/>
                <w:szCs w:val="16"/>
              </w:rPr>
            </w:pPr>
            <w:bookmarkStart w:id="7" w:name="_tyjcwt" w:colFirst="0" w:colLast="0"/>
            <w:bookmarkEnd w:id="7"/>
            <w:r w:rsidRPr="00B0749C">
              <w:rPr>
                <w:rFonts w:ascii="Arial Narrow" w:hAnsi="Arial Narrow"/>
                <w:color w:val="000000"/>
                <w:sz w:val="16"/>
                <w:szCs w:val="16"/>
              </w:rPr>
              <w:t>2. Gobierno Regional de Amazonas y actores clave</w:t>
            </w:r>
            <w:r w:rsidRPr="00B0749C">
              <w:rPr>
                <w:rFonts w:ascii="Arial Narrow" w:hAnsi="Arial Narrow"/>
                <w:color w:val="000000"/>
                <w:sz w:val="16"/>
                <w:szCs w:val="16"/>
                <w:vertAlign w:val="superscript"/>
              </w:rPr>
              <w:t>17</w:t>
            </w:r>
            <w:r w:rsidRPr="00B0749C">
              <w:rPr>
                <w:rFonts w:ascii="Arial Narrow" w:hAnsi="Arial Narrow"/>
                <w:color w:val="000000"/>
                <w:sz w:val="16"/>
                <w:szCs w:val="16"/>
              </w:rPr>
              <w:t xml:space="preserve"> han desarrollado destrezas, durante el proceso de elaboración de la estrategia y el plan, para promover el desarrollo rural bajo en emisiones y la gestión de paisajes climáticamente inteligentes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BF7697" w14:textId="4901306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2.1. Número de personas</w:t>
            </w:r>
            <w:r w:rsidRPr="00B0749C">
              <w:rPr>
                <w:rFonts w:ascii="Arial Narrow" w:hAnsi="Arial Narrow"/>
                <w:color w:val="000000"/>
                <w:sz w:val="16"/>
                <w:szCs w:val="16"/>
                <w:vertAlign w:val="superscript"/>
              </w:rPr>
              <w:footnoteReference w:id="22"/>
            </w:r>
            <w:r w:rsidR="003E7E50">
              <w:rPr>
                <w:rFonts w:ascii="Arial Narrow" w:hAnsi="Arial Narrow"/>
                <w:color w:val="000000"/>
                <w:sz w:val="16"/>
                <w:szCs w:val="16"/>
              </w:rPr>
              <w:t>, considerando mujeres y pueblos indígenas,</w:t>
            </w:r>
            <w:r w:rsidRPr="00B0749C">
              <w:rPr>
                <w:rFonts w:ascii="Arial Narrow" w:hAnsi="Arial Narrow"/>
                <w:color w:val="000000"/>
                <w:sz w:val="16"/>
                <w:szCs w:val="16"/>
              </w:rPr>
              <w:t xml:space="preserve"> que conocen el marco conceptual y estratégico sobre desarrollo rural bajo en emisiones y gestión de paisajes climáticamente inteligentes. </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35649C"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Autoevaluación del Proyecto (2018)</w:t>
            </w:r>
          </w:p>
          <w:p w14:paraId="516181C6" w14:textId="77777777" w:rsidR="001327F2" w:rsidRPr="00B0749C" w:rsidRDefault="001327F2" w:rsidP="002323B9">
            <w:pPr>
              <w:widowControl w:val="0"/>
              <w:tabs>
                <w:tab w:val="left" w:pos="5529"/>
              </w:tabs>
              <w:rPr>
                <w:rFonts w:ascii="Arial Narrow" w:hAnsi="Arial Narrow"/>
                <w:color w:val="000000"/>
                <w:sz w:val="16"/>
                <w:szCs w:val="16"/>
              </w:rPr>
            </w:pPr>
          </w:p>
          <w:p w14:paraId="24BC5F40"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de Desarrollo Regional Concertado Amazonas al 2021 (2015)</w:t>
            </w:r>
          </w:p>
          <w:p w14:paraId="699ED750" w14:textId="77777777" w:rsidR="001327F2" w:rsidRPr="00B0749C" w:rsidRDefault="001327F2" w:rsidP="002323B9">
            <w:pPr>
              <w:widowControl w:val="0"/>
              <w:tabs>
                <w:tab w:val="left" w:pos="5529"/>
              </w:tabs>
              <w:rPr>
                <w:rFonts w:ascii="Arial Narrow" w:hAnsi="Arial Narrow"/>
                <w:color w:val="000000"/>
                <w:sz w:val="16"/>
                <w:szCs w:val="16"/>
              </w:rPr>
            </w:pPr>
          </w:p>
          <w:p w14:paraId="0DB719B1"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Informe Regional del Estado del Ambiente.</w:t>
            </w:r>
          </w:p>
          <w:p w14:paraId="446157EB"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GORE Amazonas (2016)</w:t>
            </w:r>
          </w:p>
          <w:p w14:paraId="6576AA2F"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Plan Estratégico</w:t>
            </w:r>
          </w:p>
          <w:p w14:paraId="146BC8C9"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Regional Agrario de la Región</w:t>
            </w:r>
          </w:p>
          <w:p w14:paraId="0602763A"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Amazonas</w:t>
            </w:r>
          </w:p>
          <w:p w14:paraId="277E532F" w14:textId="77777777"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color w:val="000000"/>
                <w:sz w:val="16"/>
                <w:szCs w:val="16"/>
              </w:rPr>
              <w:t xml:space="preserve">2011 - 2021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49E9D2" w14:textId="77777777"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129BFC87" w14:textId="77777777"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2018</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33755A" w14:textId="77777777" w:rsidR="001327F2" w:rsidRPr="00B0749C" w:rsidRDefault="001327F2" w:rsidP="002323B9">
            <w:pPr>
              <w:widowControl w:val="0"/>
              <w:tabs>
                <w:tab w:val="left" w:pos="5529"/>
              </w:tabs>
              <w:jc w:val="center"/>
              <w:rPr>
                <w:rFonts w:ascii="Arial Narrow" w:hAnsi="Arial Narrow"/>
                <w:color w:val="000000"/>
                <w:sz w:val="16"/>
                <w:szCs w:val="16"/>
              </w:rPr>
            </w:pPr>
            <w:r w:rsidRPr="00B0749C">
              <w:rPr>
                <w:rFonts w:ascii="Arial Narrow" w:hAnsi="Arial Narrow"/>
                <w:color w:val="000000"/>
                <w:sz w:val="16"/>
                <w:szCs w:val="16"/>
              </w:rPr>
              <w:t>Al menos 50  personas</w:t>
            </w:r>
          </w:p>
        </w:tc>
        <w:tc>
          <w:tcPr>
            <w:tcW w:w="48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29BAEA" w14:textId="0A65DC8B"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Medios de verificación</w:t>
            </w:r>
            <w:r w:rsidRPr="00B0749C">
              <w:rPr>
                <w:rFonts w:ascii="Arial Narrow" w:hAnsi="Arial Narrow"/>
                <w:color w:val="000000"/>
                <w:sz w:val="16"/>
                <w:szCs w:val="16"/>
              </w:rPr>
              <w:t xml:space="preserve">: evaluación inicial y de término de proceso de capacitación, minutas de actividades de capacitación, materiales. Informe técnico que resume como los actores capacitados se han involucrado en el proceso de construcción de la estrategia y el plan. </w:t>
            </w:r>
          </w:p>
          <w:p w14:paraId="35F465D8" w14:textId="77777777" w:rsidR="001327F2" w:rsidRPr="00B0749C" w:rsidRDefault="001327F2" w:rsidP="002323B9">
            <w:pPr>
              <w:widowControl w:val="0"/>
              <w:tabs>
                <w:tab w:val="left" w:pos="5529"/>
              </w:tabs>
              <w:rPr>
                <w:rFonts w:ascii="Arial Narrow" w:hAnsi="Arial Narrow"/>
                <w:color w:val="000000"/>
                <w:sz w:val="16"/>
                <w:szCs w:val="16"/>
              </w:rPr>
            </w:pPr>
          </w:p>
          <w:p w14:paraId="7BF3EA34" w14:textId="7C24D32D"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Metodologías:</w:t>
            </w:r>
            <w:r w:rsidRPr="00B0749C">
              <w:rPr>
                <w:rFonts w:ascii="Arial Narrow" w:hAnsi="Arial Narrow"/>
                <w:color w:val="000000"/>
                <w:sz w:val="16"/>
                <w:szCs w:val="16"/>
              </w:rPr>
              <w:t xml:space="preserve"> Los informes del equipo técnico reportarán los objetivos y metodología para desarrollar las destrezas indicadas, la participación de los actores en las actividades de capacitación y el proceso de planificación además de sus aportes y retroalimentación al proceso. También se realizarán análisis como el SRLT y las encuestas de perfil jurisdiccional de acuerdo a lo señalado en la sección anterior. Se procurará además que como parte del proyecto los avances sean difundidos a través del portal </w:t>
            </w:r>
            <w:r w:rsidRPr="00B0749C">
              <w:rPr>
                <w:rFonts w:ascii="Arial Narrow" w:hAnsi="Arial Narrow"/>
                <w:i/>
                <w:color w:val="000000"/>
                <w:sz w:val="16"/>
                <w:szCs w:val="16"/>
              </w:rPr>
              <w:t>on line</w:t>
            </w:r>
            <w:r w:rsidRPr="00B0749C">
              <w:rPr>
                <w:rFonts w:ascii="Arial Narrow" w:hAnsi="Arial Narrow"/>
                <w:color w:val="000000"/>
                <w:sz w:val="16"/>
                <w:szCs w:val="16"/>
              </w:rPr>
              <w:t xml:space="preserve"> de GCF-TF, la Plataforma de Impacto del GCF-TF, el Portal producción – protección o evaluados periódicamente a través de instrumentos como el SRLT o las encuestas de perfil jurisdiccional</w:t>
            </w:r>
            <w:r w:rsidRPr="00B0749C">
              <w:rPr>
                <w:rFonts w:ascii="Arial Narrow" w:hAnsi="Arial Narrow"/>
                <w:sz w:val="16"/>
                <w:szCs w:val="16"/>
              </w:rPr>
              <w:t xml:space="preserve">. </w:t>
            </w:r>
            <w:r w:rsidRPr="00B0749C">
              <w:rPr>
                <w:rFonts w:ascii="Arial Narrow" w:hAnsi="Arial Narrow"/>
                <w:color w:val="000000"/>
                <w:sz w:val="16"/>
                <w:szCs w:val="16"/>
              </w:rPr>
              <w:t>Difusión de avances a través de los canales digitales del GOREAM (página web y FB)</w:t>
            </w:r>
          </w:p>
          <w:p w14:paraId="576CCBD1" w14:textId="77777777" w:rsidR="001327F2" w:rsidRPr="00B0749C" w:rsidRDefault="001327F2" w:rsidP="002323B9">
            <w:pPr>
              <w:widowControl w:val="0"/>
              <w:tabs>
                <w:tab w:val="left" w:pos="5529"/>
              </w:tabs>
              <w:rPr>
                <w:rFonts w:ascii="Arial Narrow" w:hAnsi="Arial Narrow"/>
                <w:color w:val="000000"/>
                <w:sz w:val="16"/>
                <w:szCs w:val="16"/>
              </w:rPr>
            </w:pPr>
          </w:p>
          <w:p w14:paraId="03D405BE" w14:textId="2BC65AB0" w:rsidR="001327F2" w:rsidRPr="00B0749C" w:rsidRDefault="001327F2" w:rsidP="002323B9">
            <w:pPr>
              <w:widowControl w:val="0"/>
              <w:tabs>
                <w:tab w:val="left" w:pos="5529"/>
              </w:tabs>
              <w:rPr>
                <w:rFonts w:ascii="Arial Narrow" w:hAnsi="Arial Narrow"/>
                <w:color w:val="000000"/>
                <w:sz w:val="16"/>
                <w:szCs w:val="16"/>
              </w:rPr>
            </w:pPr>
            <w:r w:rsidRPr="00B0749C">
              <w:rPr>
                <w:rFonts w:ascii="Arial Narrow" w:hAnsi="Arial Narrow"/>
                <w:b/>
                <w:i/>
                <w:color w:val="000000"/>
                <w:sz w:val="16"/>
                <w:szCs w:val="16"/>
              </w:rPr>
              <w:t>Riesgos:</w:t>
            </w:r>
            <w:r w:rsidRPr="00B0749C">
              <w:rPr>
                <w:rFonts w:ascii="Arial Narrow" w:hAnsi="Arial Narrow"/>
                <w:color w:val="000000"/>
                <w:sz w:val="16"/>
                <w:szCs w:val="16"/>
              </w:rPr>
              <w:t xml:space="preserve"> a) </w:t>
            </w:r>
            <w:r w:rsidRPr="00B0749C">
              <w:rPr>
                <w:rFonts w:ascii="Arial Narrow" w:hAnsi="Arial Narrow"/>
                <w:color w:val="000000"/>
                <w:sz w:val="16"/>
                <w:szCs w:val="16"/>
                <w:u w:val="single"/>
              </w:rPr>
              <w:t>Cambio de gobierno</w:t>
            </w:r>
            <w:r w:rsidRPr="00B0749C">
              <w:rPr>
                <w:rFonts w:ascii="Arial Narrow" w:hAnsi="Arial Narrow"/>
                <w:color w:val="000000"/>
                <w:sz w:val="16"/>
                <w:szCs w:val="16"/>
              </w:rPr>
              <w:t xml:space="preserve">: Nueva gestión del gobierno regional no prioriza o considera apropiado el desarrollo de capacidades de actores clave,  b) </w:t>
            </w:r>
            <w:r w:rsidRPr="00B0749C">
              <w:rPr>
                <w:rFonts w:ascii="Arial Narrow" w:hAnsi="Arial Narrow"/>
                <w:color w:val="000000"/>
                <w:sz w:val="16"/>
                <w:szCs w:val="16"/>
                <w:u w:val="single"/>
              </w:rPr>
              <w:t xml:space="preserve">actores claves no tienen interés </w:t>
            </w:r>
            <w:r w:rsidRPr="00B0749C">
              <w:rPr>
                <w:rFonts w:ascii="Arial Narrow" w:hAnsi="Arial Narrow"/>
                <w:color w:val="000000"/>
                <w:sz w:val="16"/>
                <w:szCs w:val="16"/>
              </w:rPr>
              <w:t xml:space="preserve">en participar en el proceso de construcción del plan; y c) </w:t>
            </w:r>
            <w:r w:rsidRPr="00B0749C">
              <w:rPr>
                <w:rFonts w:ascii="Arial Narrow" w:hAnsi="Arial Narrow"/>
                <w:color w:val="000000"/>
                <w:sz w:val="16"/>
                <w:szCs w:val="16"/>
                <w:u w:val="single"/>
              </w:rPr>
              <w:t>alta rotación de personal priorizado</w:t>
            </w:r>
            <w:r w:rsidRPr="00B0749C">
              <w:rPr>
                <w:rFonts w:ascii="Arial Narrow" w:hAnsi="Arial Narrow"/>
                <w:color w:val="000000"/>
                <w:sz w:val="16"/>
                <w:szCs w:val="16"/>
              </w:rPr>
              <w:t xml:space="preserve"> para actividades de capacitación. </w:t>
            </w:r>
          </w:p>
        </w:tc>
        <w:tc>
          <w:tcPr>
            <w:tcW w:w="29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ED0451" w14:textId="77777777" w:rsidR="001327F2" w:rsidRPr="00B0749C" w:rsidRDefault="001327F2"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Existe interés del Gobierno Regional de Amazonas en construir la estrategia y el plan bajo un proceso participativo que involucre y fortalezca las capacidades de los principales actores regionales importantes para reducir la deforestación y promover el desarrollo rural. </w:t>
            </w:r>
          </w:p>
          <w:p w14:paraId="5ACB7D67" w14:textId="77777777" w:rsidR="001327F2" w:rsidRPr="00B0749C" w:rsidRDefault="001327F2" w:rsidP="002323B9">
            <w:pPr>
              <w:widowControl w:val="0"/>
              <w:tabs>
                <w:tab w:val="left" w:pos="5529"/>
              </w:tabs>
              <w:ind w:left="176" w:right="34"/>
              <w:rPr>
                <w:rFonts w:ascii="Arial Narrow" w:eastAsia="Calibri" w:hAnsi="Arial Narrow" w:cs="Calibri"/>
                <w:color w:val="000000"/>
                <w:sz w:val="16"/>
                <w:szCs w:val="16"/>
              </w:rPr>
            </w:pPr>
          </w:p>
          <w:p w14:paraId="4B96BA80" w14:textId="77777777" w:rsidR="001327F2" w:rsidRPr="00B0749C" w:rsidRDefault="001327F2"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Existe interés de los principales actores regionales para participar en el proceso convocado por el Gobierno Regional de Amazonas.</w:t>
            </w:r>
          </w:p>
          <w:p w14:paraId="707D916C" w14:textId="77777777" w:rsidR="001327F2" w:rsidRPr="00B0749C" w:rsidRDefault="001327F2" w:rsidP="002323B9">
            <w:pPr>
              <w:widowControl w:val="0"/>
              <w:tabs>
                <w:tab w:val="left" w:pos="5529"/>
              </w:tabs>
              <w:ind w:right="34"/>
              <w:rPr>
                <w:rFonts w:ascii="Arial Narrow" w:hAnsi="Arial Narrow"/>
                <w:color w:val="000000"/>
                <w:sz w:val="16"/>
                <w:szCs w:val="16"/>
              </w:rPr>
            </w:pPr>
          </w:p>
          <w:p w14:paraId="1C40BCAB" w14:textId="77777777" w:rsidR="001327F2" w:rsidRPr="00B0749C" w:rsidRDefault="001327F2"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 xml:space="preserve">Existen acuerdos para la no rotación del personal capacitado inicialmente asignado por el Gobierno Regional para el proceso de construcción de la estrategia y el plan. </w:t>
            </w:r>
          </w:p>
          <w:p w14:paraId="77DA9DDA" w14:textId="77777777" w:rsidR="001327F2" w:rsidRPr="00B0749C" w:rsidRDefault="001327F2" w:rsidP="002323B9">
            <w:pPr>
              <w:widowControl w:val="0"/>
              <w:tabs>
                <w:tab w:val="left" w:pos="5529"/>
              </w:tabs>
              <w:ind w:right="34"/>
              <w:rPr>
                <w:rFonts w:ascii="Arial Narrow" w:hAnsi="Arial Narrow"/>
                <w:color w:val="000000"/>
                <w:sz w:val="16"/>
                <w:szCs w:val="16"/>
              </w:rPr>
            </w:pPr>
          </w:p>
          <w:p w14:paraId="18E6B1A1" w14:textId="77777777" w:rsidR="001327F2" w:rsidRPr="00B0749C" w:rsidRDefault="001327F2" w:rsidP="002323B9">
            <w:pPr>
              <w:widowControl w:val="0"/>
              <w:tabs>
                <w:tab w:val="left" w:pos="5529"/>
              </w:tabs>
              <w:ind w:right="34"/>
              <w:rPr>
                <w:rFonts w:ascii="Arial Narrow" w:hAnsi="Arial Narrow"/>
                <w:color w:val="000000"/>
                <w:sz w:val="16"/>
                <w:szCs w:val="16"/>
              </w:rPr>
            </w:pPr>
            <w:r w:rsidRPr="00B0749C">
              <w:rPr>
                <w:rFonts w:ascii="Arial Narrow" w:hAnsi="Arial Narrow"/>
                <w:color w:val="000000"/>
                <w:sz w:val="16"/>
                <w:szCs w:val="16"/>
              </w:rPr>
              <w:t>Estrategias de comunicación implementadas por el Gobierno Regional de Amazonas y el Proyecto explican los beneficios de la conservación de bosques y desarrollo rural bajo en emisiones.</w:t>
            </w:r>
          </w:p>
        </w:tc>
      </w:tr>
    </w:tbl>
    <w:p w14:paraId="5C19F0BF" w14:textId="77777777" w:rsidR="00EA0A65" w:rsidRDefault="002959E9" w:rsidP="00542B9A">
      <w:pPr>
        <w:widowControl w:val="0"/>
        <w:tabs>
          <w:tab w:val="left" w:pos="5529"/>
        </w:tabs>
        <w:ind w:left="-567"/>
        <w:jc w:val="center"/>
        <w:rPr>
          <w:rFonts w:ascii="Arial Narrow" w:eastAsia="Arial Narrow" w:hAnsi="Arial Narrow" w:cs="Arial Narrow"/>
          <w:sz w:val="20"/>
          <w:szCs w:val="20"/>
        </w:rPr>
      </w:pPr>
      <w:r>
        <w:rPr>
          <w:rFonts w:ascii="Arial Narrow" w:eastAsia="Arial Narrow" w:hAnsi="Arial Narrow" w:cs="Arial Narrow"/>
          <w:sz w:val="20"/>
          <w:szCs w:val="20"/>
        </w:rPr>
        <w:t>Fuente: elaboración propia, 2018</w:t>
      </w:r>
    </w:p>
    <w:p w14:paraId="285C1FBA" w14:textId="77777777" w:rsidR="00EA0A65" w:rsidRDefault="002959E9" w:rsidP="002323B9">
      <w:pPr>
        <w:widowControl w:val="0"/>
        <w:pBdr>
          <w:top w:val="nil"/>
          <w:left w:val="nil"/>
          <w:bottom w:val="nil"/>
          <w:right w:val="nil"/>
          <w:between w:val="nil"/>
        </w:pBdr>
        <w:tabs>
          <w:tab w:val="left" w:pos="5529"/>
        </w:tabs>
        <w:spacing w:line="276" w:lineRule="auto"/>
        <w:rPr>
          <w:rFonts w:ascii="Arial Narrow" w:eastAsia="Arial Narrow" w:hAnsi="Arial Narrow" w:cs="Arial Narrow"/>
          <w:sz w:val="20"/>
          <w:szCs w:val="20"/>
        </w:rPr>
        <w:sectPr w:rsidR="00EA0A65" w:rsidSect="002959E9">
          <w:pgSz w:w="16840" w:h="11900" w:orient="landscape"/>
          <w:pgMar w:top="1440" w:right="1440" w:bottom="1440" w:left="1440" w:header="720" w:footer="720" w:gutter="0"/>
          <w:cols w:space="720"/>
          <w:docGrid w:linePitch="326"/>
        </w:sectPr>
      </w:pPr>
      <w:r>
        <w:br w:type="page"/>
      </w:r>
    </w:p>
    <w:p w14:paraId="7139E2A2" w14:textId="77777777" w:rsidR="00EA0A65" w:rsidRPr="00D556B9" w:rsidRDefault="002959E9">
      <w:pPr>
        <w:widowControl w:val="0"/>
        <w:numPr>
          <w:ilvl w:val="1"/>
          <w:numId w:val="19"/>
        </w:numPr>
        <w:pBdr>
          <w:top w:val="nil"/>
          <w:left w:val="nil"/>
          <w:bottom w:val="nil"/>
          <w:right w:val="nil"/>
          <w:between w:val="nil"/>
        </w:pBdr>
        <w:ind w:left="-284" w:right="-336" w:firstLine="0"/>
        <w:contextualSpacing/>
        <w:rPr>
          <w:rFonts w:ascii="Arial Narrow" w:eastAsia="Arial Narrow" w:hAnsi="Arial Narrow" w:cs="Arial Narrow"/>
          <w:b/>
          <w:color w:val="000000"/>
          <w:sz w:val="20"/>
          <w:szCs w:val="20"/>
        </w:rPr>
      </w:pPr>
      <w:bookmarkStart w:id="8" w:name="_3dy6vkm" w:colFirst="0" w:colLast="0"/>
      <w:bookmarkEnd w:id="8"/>
      <w:r w:rsidRPr="00D556B9">
        <w:rPr>
          <w:rFonts w:ascii="Arial Narrow" w:eastAsia="Arial Narrow" w:hAnsi="Arial Narrow" w:cs="Arial Narrow"/>
          <w:b/>
          <w:color w:val="000000"/>
          <w:sz w:val="20"/>
          <w:szCs w:val="20"/>
        </w:rPr>
        <w:lastRenderedPageBreak/>
        <w:t>DESCRIPCIÓN DE ACTIVIDADES</w:t>
      </w:r>
    </w:p>
    <w:p w14:paraId="54B8464E" w14:textId="77777777" w:rsidR="00EA0A65" w:rsidRPr="00D556B9" w:rsidRDefault="00EA0A65">
      <w:pPr>
        <w:ind w:left="-284" w:right="-336"/>
        <w:jc w:val="both"/>
        <w:rPr>
          <w:rFonts w:ascii="Arial Narrow" w:eastAsia="Arial Narrow" w:hAnsi="Arial Narrow" w:cs="Arial Narrow"/>
          <w:sz w:val="20"/>
          <w:szCs w:val="20"/>
        </w:rPr>
      </w:pPr>
    </w:p>
    <w:p w14:paraId="6A1C0AE3" w14:textId="6A9C3559" w:rsidR="00F84684" w:rsidRDefault="00F84684">
      <w:pPr>
        <w:pBdr>
          <w:top w:val="nil"/>
          <w:left w:val="nil"/>
          <w:bottom w:val="nil"/>
          <w:right w:val="nil"/>
          <w:between w:val="nil"/>
        </w:pBdr>
        <w:ind w:left="-284" w:right="-336"/>
        <w:jc w:val="both"/>
        <w:rPr>
          <w:rFonts w:ascii="Arial Narrow" w:eastAsia="Arial Narrow" w:hAnsi="Arial Narrow" w:cs="Arial Narrow"/>
          <w:color w:val="000000"/>
          <w:sz w:val="20"/>
          <w:szCs w:val="20"/>
        </w:rPr>
      </w:pPr>
      <w:r w:rsidRPr="00D556B9">
        <w:rPr>
          <w:rFonts w:ascii="Arial Narrow" w:eastAsia="Arial Narrow" w:hAnsi="Arial Narrow" w:cs="Arial Narrow"/>
          <w:color w:val="000000"/>
          <w:sz w:val="20"/>
          <w:szCs w:val="20"/>
        </w:rPr>
        <w:t>Se considera que este proyecto será ejecutado en un plazo de 18 meses en los cuales se construirá la estrategia de desarrollo rural bajo en emisiones y el plan de inversión, además de fortalecer las capacidades y generar acuerdos con actores claves para su implementación. Para poder ejecutarlo dentro del plazo previsto, y considerando las circunstancias regionales como las elecciones regionales en octubre del 2018 y el cambio de gestión del gobierno regional en ene</w:t>
      </w:r>
      <w:r w:rsidR="0087284C" w:rsidRPr="00D556B9">
        <w:rPr>
          <w:rFonts w:ascii="Arial Narrow" w:eastAsia="Arial Narrow" w:hAnsi="Arial Narrow" w:cs="Arial Narrow"/>
          <w:color w:val="000000"/>
          <w:sz w:val="20"/>
          <w:szCs w:val="20"/>
        </w:rPr>
        <w:t>ro del 2019, se ha previsto dos etapas: 1) una pre operativa, que será implementada antes de la suscripción del contrato para la ejecución del proyecto, y 2) una operativa, en la cual se ejecutan las actividades técnicas para la formulación</w:t>
      </w:r>
      <w:r w:rsidR="0087284C">
        <w:rPr>
          <w:rFonts w:ascii="Arial Narrow" w:eastAsia="Arial Narrow" w:hAnsi="Arial Narrow" w:cs="Arial Narrow"/>
          <w:color w:val="000000"/>
          <w:sz w:val="20"/>
          <w:szCs w:val="20"/>
        </w:rPr>
        <w:t xml:space="preserve"> del análisis de causas de la deforestación, preparación de las propuestas de la estrategia y el plan, además del proceso participativo necesario para generar acuerdos para la implementación y las actividades de capacitación. La Figura No. 4 describe las dos etapas de este proceso. </w:t>
      </w:r>
    </w:p>
    <w:p w14:paraId="6DF9AE25" w14:textId="77777777" w:rsidR="00F84684" w:rsidRPr="0087284C" w:rsidRDefault="00F84684" w:rsidP="0087284C">
      <w:pPr>
        <w:pBdr>
          <w:top w:val="nil"/>
          <w:left w:val="nil"/>
          <w:bottom w:val="nil"/>
          <w:right w:val="nil"/>
          <w:between w:val="nil"/>
        </w:pBdr>
        <w:ind w:left="-284" w:right="-336"/>
        <w:jc w:val="center"/>
        <w:rPr>
          <w:rFonts w:ascii="Arial Narrow" w:eastAsia="Arial Narrow" w:hAnsi="Arial Narrow" w:cs="Arial Narrow"/>
          <w:b/>
          <w:color w:val="000000"/>
          <w:sz w:val="20"/>
          <w:szCs w:val="20"/>
        </w:rPr>
      </w:pPr>
    </w:p>
    <w:p w14:paraId="05B77D8A" w14:textId="3AA08311" w:rsidR="0087284C" w:rsidRPr="0087284C" w:rsidRDefault="0087284C" w:rsidP="0087284C">
      <w:pPr>
        <w:pBdr>
          <w:top w:val="nil"/>
          <w:left w:val="nil"/>
          <w:bottom w:val="nil"/>
          <w:right w:val="nil"/>
          <w:between w:val="nil"/>
        </w:pBdr>
        <w:ind w:left="-284" w:right="-336"/>
        <w:jc w:val="center"/>
        <w:rPr>
          <w:rFonts w:ascii="Arial Narrow" w:eastAsia="Arial Narrow" w:hAnsi="Arial Narrow" w:cs="Arial Narrow"/>
          <w:b/>
          <w:color w:val="000000"/>
          <w:sz w:val="20"/>
          <w:szCs w:val="20"/>
        </w:rPr>
      </w:pPr>
      <w:r w:rsidRPr="0087284C">
        <w:rPr>
          <w:rFonts w:ascii="Arial Narrow" w:eastAsia="Arial Narrow" w:hAnsi="Arial Narrow" w:cs="Arial Narrow"/>
          <w:b/>
          <w:color w:val="000000"/>
          <w:sz w:val="20"/>
          <w:szCs w:val="20"/>
        </w:rPr>
        <w:t>Figura No 4. Proceso para la elaboración y el plan de inversiones de desarrollo rural bajo en emisiones de Amazonas</w:t>
      </w:r>
    </w:p>
    <w:p w14:paraId="0AF0911E" w14:textId="497B6B28" w:rsidR="00F84684" w:rsidRDefault="00F84684">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b/>
          <w:noProof/>
          <w:sz w:val="20"/>
          <w:szCs w:val="20"/>
          <w:lang w:val="es-ES_tradnl" w:eastAsia="es-ES_tradnl"/>
        </w:rPr>
        <w:drawing>
          <wp:inline distT="0" distB="0" distL="0" distR="0" wp14:anchorId="1ECAC77B" wp14:editId="08BFEE4F">
            <wp:extent cx="6037083" cy="3403257"/>
            <wp:effectExtent l="25400" t="25400" r="33655"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1853" cy="3405946"/>
                    </a:xfrm>
                    <a:prstGeom prst="rect">
                      <a:avLst/>
                    </a:prstGeom>
                    <a:noFill/>
                    <a:ln>
                      <a:solidFill>
                        <a:schemeClr val="accent3">
                          <a:lumMod val="50000"/>
                        </a:schemeClr>
                      </a:solidFill>
                    </a:ln>
                  </pic:spPr>
                </pic:pic>
              </a:graphicData>
            </a:graphic>
          </wp:inline>
        </w:drawing>
      </w:r>
    </w:p>
    <w:p w14:paraId="61862BA4" w14:textId="77777777" w:rsidR="00EA0A65" w:rsidRDefault="00EA0A65">
      <w:pPr>
        <w:ind w:left="-284" w:right="-336"/>
        <w:jc w:val="both"/>
        <w:rPr>
          <w:rFonts w:ascii="Arial Narrow" w:eastAsia="Arial Narrow" w:hAnsi="Arial Narrow" w:cs="Arial Narrow"/>
          <w:sz w:val="20"/>
          <w:szCs w:val="20"/>
        </w:rPr>
      </w:pPr>
    </w:p>
    <w:p w14:paraId="4F7E781B" w14:textId="77777777" w:rsidR="00EA0A65" w:rsidRDefault="002959E9">
      <w:pPr>
        <w:ind w:left="-284" w:right="-336"/>
        <w:jc w:val="both"/>
        <w:rPr>
          <w:rFonts w:ascii="Arial Narrow" w:eastAsia="Arial Narrow" w:hAnsi="Arial Narrow" w:cs="Arial Narrow"/>
          <w:b/>
          <w:sz w:val="20"/>
          <w:szCs w:val="20"/>
        </w:rPr>
      </w:pPr>
      <w:bookmarkStart w:id="9" w:name="_1t3h5sf" w:colFirst="0" w:colLast="0"/>
      <w:bookmarkEnd w:id="9"/>
      <w:r>
        <w:rPr>
          <w:rFonts w:ascii="Arial Narrow" w:eastAsia="Arial Narrow" w:hAnsi="Arial Narrow" w:cs="Arial Narrow"/>
          <w:b/>
          <w:sz w:val="20"/>
          <w:szCs w:val="20"/>
        </w:rPr>
        <w:t>Etapa pre-operativa</w:t>
      </w:r>
    </w:p>
    <w:p w14:paraId="78885C93" w14:textId="77777777" w:rsidR="00866546" w:rsidRDefault="00866546">
      <w:pPr>
        <w:ind w:left="-284" w:right="-336"/>
        <w:jc w:val="both"/>
        <w:rPr>
          <w:rFonts w:ascii="Arial Narrow" w:eastAsia="Arial Narrow" w:hAnsi="Arial Narrow" w:cs="Arial Narrow"/>
          <w:b/>
          <w:sz w:val="20"/>
          <w:szCs w:val="20"/>
        </w:rPr>
      </w:pPr>
    </w:p>
    <w:p w14:paraId="30558530" w14:textId="73D170A6" w:rsidR="001651DA"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En esta etapa se iniciará </w:t>
      </w:r>
      <w:r w:rsidR="007036EB">
        <w:rPr>
          <w:rFonts w:ascii="Arial Narrow" w:eastAsia="Arial Narrow" w:hAnsi="Arial Narrow" w:cs="Arial Narrow"/>
          <w:sz w:val="20"/>
          <w:szCs w:val="20"/>
        </w:rPr>
        <w:t xml:space="preserve">apenas se tenga la conformidad para el inicio del proyecto y consistirá en el alineamiento estratégico de los equipos técnicos del Gobierno Regional de Amazonas y las organizaciones no gubernamentales </w:t>
      </w:r>
      <w:r w:rsidR="001651DA">
        <w:rPr>
          <w:rFonts w:ascii="Arial Narrow" w:eastAsia="Arial Narrow" w:hAnsi="Arial Narrow" w:cs="Arial Narrow"/>
          <w:sz w:val="20"/>
          <w:szCs w:val="20"/>
        </w:rPr>
        <w:t xml:space="preserve">que contribuirán a la implementación del proyecto. Además, durante esta etapa se podrá identificar a especialistas de otras organizaciones (p.ej. Programa Nacional de Conservación de Bosques para la Mitigación del Cambio Climático con sede en Santa </w:t>
      </w:r>
      <w:r w:rsidR="001E689A">
        <w:rPr>
          <w:rFonts w:ascii="Arial Narrow" w:eastAsia="Arial Narrow" w:hAnsi="Arial Narrow" w:cs="Arial Narrow"/>
          <w:sz w:val="20"/>
          <w:szCs w:val="20"/>
        </w:rPr>
        <w:t>María</w:t>
      </w:r>
      <w:r w:rsidR="001651DA">
        <w:rPr>
          <w:rFonts w:ascii="Arial Narrow" w:eastAsia="Arial Narrow" w:hAnsi="Arial Narrow" w:cs="Arial Narrow"/>
          <w:sz w:val="20"/>
          <w:szCs w:val="20"/>
        </w:rPr>
        <w:t xml:space="preserve"> del Nieva) interesados en participar del proceso para integrarlos al equipo técnico de soporte. </w:t>
      </w:r>
      <w:r w:rsidR="001E689A">
        <w:rPr>
          <w:rFonts w:ascii="Arial Narrow" w:eastAsia="Arial Narrow" w:hAnsi="Arial Narrow" w:cs="Arial Narrow"/>
          <w:sz w:val="20"/>
          <w:szCs w:val="20"/>
        </w:rPr>
        <w:t xml:space="preserve">De igual modo, se propondrá al Gobierno Regional de Amazonas formalizar este proceso a través de una ordenanza regional que genere un mandato para construir estos instrumentos más allá de la actual gestión regional. </w:t>
      </w:r>
    </w:p>
    <w:p w14:paraId="5C924E44" w14:textId="77777777" w:rsidR="001E689A" w:rsidRDefault="001E689A">
      <w:pPr>
        <w:ind w:left="-284" w:right="-336"/>
        <w:jc w:val="both"/>
        <w:rPr>
          <w:rFonts w:ascii="Arial Narrow" w:eastAsia="Arial Narrow" w:hAnsi="Arial Narrow" w:cs="Arial Narrow"/>
          <w:sz w:val="20"/>
          <w:szCs w:val="20"/>
        </w:rPr>
      </w:pPr>
    </w:p>
    <w:p w14:paraId="44DB8A5D" w14:textId="6037D198" w:rsidR="001E689A" w:rsidRDefault="001E689A">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De igual modo durante esta etapa se podrá hacer el trabajo preliminar </w:t>
      </w:r>
      <w:r w:rsidR="00D556B9">
        <w:rPr>
          <w:rFonts w:ascii="Arial Narrow" w:eastAsia="Arial Narrow" w:hAnsi="Arial Narrow" w:cs="Arial Narrow"/>
          <w:sz w:val="20"/>
          <w:szCs w:val="20"/>
        </w:rPr>
        <w:t xml:space="preserve">para sistematizar la información disponible que pueda ayudar a desarrollar el análisis de causas de la deforestación como estadísticas agrarias, mapas base de ordenamiento forestal, tesis de investigación o estudios sobre vectores de deforestación en Amazonas entre otros. Además, se podrá tener reuniones preparatorias con dirigentes de algunas organizaciones clave de los pueblos indígenas, en función a la disponibilidad de recursos. </w:t>
      </w:r>
    </w:p>
    <w:p w14:paraId="3A01FC5E" w14:textId="77777777" w:rsidR="001651DA" w:rsidRDefault="001651DA">
      <w:pPr>
        <w:ind w:left="-284" w:right="-336"/>
        <w:jc w:val="both"/>
        <w:rPr>
          <w:rFonts w:ascii="Arial Narrow" w:eastAsia="Arial Narrow" w:hAnsi="Arial Narrow" w:cs="Arial Narrow"/>
          <w:sz w:val="20"/>
          <w:szCs w:val="20"/>
        </w:rPr>
      </w:pPr>
    </w:p>
    <w:p w14:paraId="54548240" w14:textId="708E0FEA"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La preparación del proceso se iniciará con la elaboración de materiales de capacitación para el equipo, mapeo de actores clave y preparación de materiales de comunicación. Al contarse con presupuesto, se iniciará proceso de información a las nuevas autoridades electas y designadas, de ser posible desde la comisión de transferencia. EII, APECO y NCI, en colaboración con otras organizaciones que pudieran estar interesadas, elaborarán durante este periodo los planes de monitoreo y sistematización del proceso, así como el plan para el involucramiento de actores, con perspectiva de género y enfoque intercultural. </w:t>
      </w:r>
      <w:r w:rsidR="00844534">
        <w:rPr>
          <w:rFonts w:ascii="Arial Narrow" w:eastAsia="Arial Narrow" w:hAnsi="Arial Narrow" w:cs="Arial Narrow"/>
          <w:sz w:val="20"/>
          <w:szCs w:val="20"/>
        </w:rPr>
        <w:t>La participación activa de organizaciones indígenas, organizaciones de productores locales, así como de mujeres y jóvenes será expresamente considerada y promovida. En esta etapa también s</w:t>
      </w:r>
      <w:r>
        <w:rPr>
          <w:rFonts w:ascii="Arial Narrow" w:eastAsia="Arial Narrow" w:hAnsi="Arial Narrow" w:cs="Arial Narrow"/>
          <w:sz w:val="20"/>
          <w:szCs w:val="20"/>
        </w:rPr>
        <w:t>e iniciará articulación con agencias nacionales y proyectos, para asegurar alineamiento con procesos e instrumentos nacionales</w:t>
      </w:r>
      <w:r w:rsidR="00844534">
        <w:rPr>
          <w:rFonts w:ascii="Arial Narrow" w:eastAsia="Arial Narrow" w:hAnsi="Arial Narrow" w:cs="Arial Narrow"/>
          <w:sz w:val="20"/>
          <w:szCs w:val="20"/>
        </w:rPr>
        <w:t>.</w:t>
      </w:r>
    </w:p>
    <w:p w14:paraId="4915AE63" w14:textId="77777777" w:rsidR="00EA0A65" w:rsidRDefault="00EA0A65">
      <w:pPr>
        <w:ind w:left="-284" w:right="-336"/>
        <w:jc w:val="both"/>
        <w:rPr>
          <w:rFonts w:ascii="Arial Narrow" w:eastAsia="Arial Narrow" w:hAnsi="Arial Narrow" w:cs="Arial Narrow"/>
          <w:sz w:val="20"/>
          <w:szCs w:val="20"/>
        </w:rPr>
      </w:pPr>
    </w:p>
    <w:p w14:paraId="5FCFDD56" w14:textId="77777777" w:rsidR="00EA0A65" w:rsidRPr="00844090" w:rsidRDefault="002959E9">
      <w:pPr>
        <w:ind w:left="-284" w:right="-336"/>
        <w:jc w:val="both"/>
        <w:rPr>
          <w:rFonts w:ascii="Arial Narrow" w:eastAsia="Arial Narrow" w:hAnsi="Arial Narrow" w:cs="Arial Narrow"/>
          <w:b/>
          <w:sz w:val="20"/>
          <w:szCs w:val="20"/>
        </w:rPr>
      </w:pPr>
      <w:bookmarkStart w:id="10" w:name="_4d34og8" w:colFirst="0" w:colLast="0"/>
      <w:bookmarkEnd w:id="10"/>
      <w:r w:rsidRPr="00844090">
        <w:rPr>
          <w:rFonts w:ascii="Arial Narrow" w:eastAsia="Arial Narrow" w:hAnsi="Arial Narrow" w:cs="Arial Narrow"/>
          <w:b/>
          <w:sz w:val="20"/>
          <w:szCs w:val="20"/>
        </w:rPr>
        <w:lastRenderedPageBreak/>
        <w:t>Etapa Operativa</w:t>
      </w:r>
    </w:p>
    <w:p w14:paraId="2254600D" w14:textId="77777777" w:rsidR="00866546" w:rsidRPr="00844090" w:rsidRDefault="00866546">
      <w:pPr>
        <w:ind w:left="-284" w:right="-336"/>
        <w:jc w:val="both"/>
        <w:rPr>
          <w:rFonts w:ascii="Arial Narrow" w:eastAsia="Arial Narrow" w:hAnsi="Arial Narrow" w:cs="Arial Narrow"/>
          <w:sz w:val="20"/>
          <w:szCs w:val="20"/>
        </w:rPr>
      </w:pPr>
    </w:p>
    <w:p w14:paraId="1635ADD2" w14:textId="7B7CDAE6" w:rsidR="00E96F92" w:rsidRDefault="00DA0C48">
      <w:pPr>
        <w:ind w:left="-284" w:right="-336"/>
        <w:jc w:val="both"/>
        <w:rPr>
          <w:rFonts w:ascii="Arial Narrow" w:eastAsia="Arial Narrow" w:hAnsi="Arial Narrow" w:cs="Arial Narrow"/>
          <w:sz w:val="20"/>
          <w:szCs w:val="20"/>
        </w:rPr>
      </w:pPr>
      <w:r w:rsidRPr="00844090">
        <w:rPr>
          <w:rFonts w:ascii="Arial Narrow" w:eastAsia="Arial Narrow" w:hAnsi="Arial Narrow" w:cs="Arial Narrow"/>
          <w:sz w:val="20"/>
          <w:szCs w:val="20"/>
        </w:rPr>
        <w:t xml:space="preserve">Una vez iniciada la ejecución del Proyecto la primera actividad a realizar será el análisis del enfoque de género para la adecuada implementación del proyecto. Para ello se contratará un consultor especializado que elabore </w:t>
      </w:r>
      <w:r w:rsidR="00BE208B" w:rsidRPr="00844090">
        <w:rPr>
          <w:rFonts w:ascii="Arial Narrow" w:eastAsia="Arial Narrow" w:hAnsi="Arial Narrow" w:cs="Arial Narrow"/>
          <w:sz w:val="20"/>
          <w:szCs w:val="20"/>
        </w:rPr>
        <w:t>una propuesta metodológica para lograr incluir adecua</w:t>
      </w:r>
      <w:r w:rsidR="00F85678" w:rsidRPr="00844090">
        <w:rPr>
          <w:rFonts w:ascii="Arial Narrow" w:eastAsia="Arial Narrow" w:hAnsi="Arial Narrow" w:cs="Arial Narrow"/>
          <w:sz w:val="20"/>
          <w:szCs w:val="20"/>
        </w:rPr>
        <w:t>da</w:t>
      </w:r>
      <w:r w:rsidR="00BE208B" w:rsidRPr="00844090">
        <w:rPr>
          <w:rFonts w:ascii="Arial Narrow" w:eastAsia="Arial Narrow" w:hAnsi="Arial Narrow" w:cs="Arial Narrow"/>
          <w:sz w:val="20"/>
          <w:szCs w:val="20"/>
        </w:rPr>
        <w:t>mente el enfoque</w:t>
      </w:r>
      <w:r w:rsidR="00BE208B">
        <w:rPr>
          <w:rFonts w:ascii="Arial Narrow" w:eastAsia="Arial Narrow" w:hAnsi="Arial Narrow" w:cs="Arial Narrow"/>
          <w:sz w:val="20"/>
          <w:szCs w:val="20"/>
        </w:rPr>
        <w:t xml:space="preserve"> de género en el proyecto y conseguir una participación efectiva de hombres y mujeres durante el proceso de construcción de la estrategia y el plan de inversión. De igual modo en esta etapa se implementar las acciones de capacitación y alineamiento interno necesario con todas las </w:t>
      </w:r>
      <w:r w:rsidR="002959E9">
        <w:rPr>
          <w:rFonts w:ascii="Arial Narrow" w:eastAsia="Arial Narrow" w:hAnsi="Arial Narrow" w:cs="Arial Narrow"/>
          <w:sz w:val="20"/>
          <w:szCs w:val="20"/>
        </w:rPr>
        <w:t>gerencias y direcciones regionales, con la asistencia de equipo técnico de apoyo (ETA)</w:t>
      </w:r>
      <w:r w:rsidR="00BE208B">
        <w:rPr>
          <w:rFonts w:ascii="Arial Narrow" w:eastAsia="Arial Narrow" w:hAnsi="Arial Narrow" w:cs="Arial Narrow"/>
          <w:sz w:val="20"/>
          <w:szCs w:val="20"/>
        </w:rPr>
        <w:t>. Estas acciones considerarán capacitaciones especificas sobre D</w:t>
      </w:r>
      <w:r w:rsidR="002959E9">
        <w:rPr>
          <w:rFonts w:ascii="Arial Narrow" w:eastAsia="Arial Narrow" w:hAnsi="Arial Narrow" w:cs="Arial Narrow"/>
          <w:sz w:val="20"/>
          <w:szCs w:val="20"/>
        </w:rPr>
        <w:t>RBE, gestión de paisajes, cambio climático y producción sostenible</w:t>
      </w:r>
      <w:r w:rsidR="00E96F92">
        <w:rPr>
          <w:rFonts w:ascii="Arial Narrow" w:eastAsia="Arial Narrow" w:hAnsi="Arial Narrow" w:cs="Arial Narrow"/>
          <w:sz w:val="20"/>
          <w:szCs w:val="20"/>
        </w:rPr>
        <w:t xml:space="preserve">. </w:t>
      </w:r>
    </w:p>
    <w:p w14:paraId="2F6C82BC" w14:textId="77777777" w:rsidR="00E96F92" w:rsidRDefault="00E96F92">
      <w:pPr>
        <w:ind w:left="-284" w:right="-336"/>
        <w:jc w:val="both"/>
        <w:rPr>
          <w:rFonts w:ascii="Arial Narrow" w:eastAsia="Arial Narrow" w:hAnsi="Arial Narrow" w:cs="Arial Narrow"/>
          <w:sz w:val="20"/>
          <w:szCs w:val="20"/>
        </w:rPr>
      </w:pPr>
    </w:p>
    <w:p w14:paraId="446B101F" w14:textId="5F10F571" w:rsidR="00EA0A65" w:rsidRDefault="00E96F92">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Además se iniciaran l</w:t>
      </w:r>
      <w:r w:rsidR="00F85678">
        <w:rPr>
          <w:rFonts w:ascii="Arial Narrow" w:eastAsia="Arial Narrow" w:hAnsi="Arial Narrow" w:cs="Arial Narrow"/>
          <w:sz w:val="20"/>
          <w:szCs w:val="20"/>
        </w:rPr>
        <w:t xml:space="preserve">as coordinaciones entre ICRAF y APECO para desarrollar el análisis de causas de la deforestación consolidando toda </w:t>
      </w:r>
      <w:r w:rsidR="002959E9">
        <w:rPr>
          <w:rFonts w:ascii="Arial Narrow" w:eastAsia="Arial Narrow" w:hAnsi="Arial Narrow" w:cs="Arial Narrow"/>
          <w:sz w:val="20"/>
          <w:szCs w:val="20"/>
        </w:rPr>
        <w:t xml:space="preserve">la información disponible </w:t>
      </w:r>
      <w:r w:rsidR="00F85678">
        <w:rPr>
          <w:rFonts w:ascii="Arial Narrow" w:eastAsia="Arial Narrow" w:hAnsi="Arial Narrow" w:cs="Arial Narrow"/>
          <w:sz w:val="20"/>
          <w:szCs w:val="20"/>
        </w:rPr>
        <w:t xml:space="preserve">sobre las </w:t>
      </w:r>
      <w:r w:rsidR="002959E9">
        <w:rPr>
          <w:rFonts w:ascii="Arial Narrow" w:eastAsia="Arial Narrow" w:hAnsi="Arial Narrow" w:cs="Arial Narrow"/>
          <w:sz w:val="20"/>
          <w:szCs w:val="20"/>
        </w:rPr>
        <w:t>tendencias, ubicación espacial, análisis de los procesos y causas de la deforestación</w:t>
      </w:r>
      <w:r w:rsidR="00EE4210">
        <w:rPr>
          <w:rFonts w:ascii="Arial Narrow" w:eastAsia="Arial Narrow" w:hAnsi="Arial Narrow" w:cs="Arial Narrow"/>
          <w:sz w:val="20"/>
          <w:szCs w:val="20"/>
        </w:rPr>
        <w:t>, diferenciando entre las zonas sur y norte de la región</w:t>
      </w:r>
      <w:r w:rsidR="002959E9">
        <w:rPr>
          <w:rFonts w:ascii="Arial Narrow" w:eastAsia="Arial Narrow" w:hAnsi="Arial Narrow" w:cs="Arial Narrow"/>
          <w:sz w:val="20"/>
          <w:szCs w:val="20"/>
        </w:rPr>
        <w:t>; identificación de obstáculos /cuellos de botella para producción sostenible</w:t>
      </w:r>
      <w:r w:rsidR="00EE4210">
        <w:rPr>
          <w:rFonts w:ascii="Arial Narrow" w:eastAsia="Arial Narrow" w:hAnsi="Arial Narrow" w:cs="Arial Narrow"/>
          <w:sz w:val="20"/>
          <w:szCs w:val="20"/>
        </w:rPr>
        <w:t>, tanto agropecuaria como forestal</w:t>
      </w:r>
      <w:r w:rsidR="002959E9">
        <w:rPr>
          <w:rFonts w:ascii="Arial Narrow" w:eastAsia="Arial Narrow" w:hAnsi="Arial Narrow" w:cs="Arial Narrow"/>
          <w:sz w:val="20"/>
          <w:szCs w:val="20"/>
        </w:rPr>
        <w:t xml:space="preserve">. Esta actividad será desarrollada por ICRAF, APECO y el Gobierno Regional y será retroalimentada con grupo de expertos y actores clave. Para ello se acordará una metodología, se preparará un manual, y se realizará una capacitación a los equipos regionales. Después se levantará información de campo, analizará imágenes satélites y elaborará un análisis de redes para entender las relaciones entre cada causa subyacente y directa. En el caso del diagnóstico de los cuellos de botella para la producción regional el equipo de soporte en la Dirección Regional de Agricultura recopilará información y estadística agraria regional y sostendrá reuniones con productores y empresarios para determinar los factores que limitan el incremento de la producción regional. </w:t>
      </w:r>
    </w:p>
    <w:p w14:paraId="5A5653F8" w14:textId="77777777" w:rsidR="00EA0A65" w:rsidRDefault="00EA0A65">
      <w:pPr>
        <w:ind w:left="-284" w:right="-336"/>
        <w:jc w:val="both"/>
        <w:rPr>
          <w:rFonts w:ascii="Arial Narrow" w:eastAsia="Arial Narrow" w:hAnsi="Arial Narrow" w:cs="Arial Narrow"/>
          <w:sz w:val="20"/>
          <w:szCs w:val="20"/>
        </w:rPr>
      </w:pPr>
    </w:p>
    <w:p w14:paraId="3CE041B6" w14:textId="77777777" w:rsidR="00EA0A65" w:rsidRDefault="002959E9">
      <w:pPr>
        <w:ind w:left="-284" w:right="-336"/>
        <w:jc w:val="both"/>
        <w:rPr>
          <w:rFonts w:ascii="Arial Narrow" w:eastAsia="Arial Narrow" w:hAnsi="Arial Narrow" w:cs="Arial Narrow"/>
          <w:sz w:val="20"/>
          <w:szCs w:val="20"/>
        </w:rPr>
      </w:pPr>
      <w:bookmarkStart w:id="11" w:name="_2s8eyo1" w:colFirst="0" w:colLast="0"/>
      <w:bookmarkEnd w:id="11"/>
      <w:r>
        <w:rPr>
          <w:rFonts w:ascii="Arial Narrow" w:eastAsia="Arial Narrow" w:hAnsi="Arial Narrow" w:cs="Arial Narrow"/>
          <w:sz w:val="20"/>
          <w:szCs w:val="20"/>
        </w:rPr>
        <w:t xml:space="preserve">En simultaneo, el equipo técnico del proyecto y las organizaciones de apoyo al proyecto (EII, APECO, NCI) avanzaran en preparar el primer borrador de la estrategia y el plan a través de revisión de los instrumentos y políticas regionales, reuniones internas incluyendo talleres con personas y entidades invitadas. Esto comprende la definición colectiva de las metas y visión, la elaboración de teoría del cambio, establecer línea de tiempo propuesta con metas, acciones e hitos claves, la propuesta de gobernanza y la visión territorial de metas propuestas. Esta versión contendrá además la propuesta de las acciones clave para alcanzar las metas (qué, quiénes, cómo y cuándo) y los recursos necesarios, incluyendo los financieros. Para esto último, se costeará las acciones priorizadas, determinará los recursos disponibles y realizará un análisis de brechas de recursos -incluyendo el análisis de recursos pro y contra LED-R/ REDD. El informe específico incorporará recomendaciones de política sobre opciones de fondeo, instrumentos y criterios de priorización acordes al contexto de la jurisdicción (Ver Anexo IV).  </w:t>
      </w:r>
    </w:p>
    <w:p w14:paraId="0245BD2F" w14:textId="77777777" w:rsidR="00EA0A65" w:rsidRDefault="00EA0A65">
      <w:pPr>
        <w:ind w:left="-284" w:right="-336"/>
        <w:jc w:val="both"/>
        <w:rPr>
          <w:rFonts w:ascii="Arial Narrow" w:eastAsia="Arial Narrow" w:hAnsi="Arial Narrow" w:cs="Arial Narrow"/>
          <w:sz w:val="20"/>
          <w:szCs w:val="20"/>
        </w:rPr>
      </w:pPr>
    </w:p>
    <w:p w14:paraId="4877744A" w14:textId="7777777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Con esta versión se iniciará el proceso de consulta y validación del plan, llegando a los actores claves mapeados al inicio del proyecto y sobre la base de un plan de involucramiento que preparará el equipo técnico del Gobierno Regional, EII, APECO y NCI. Este plan considerará los espacios existentes como la CAR - Comisión Ambiental Regional, Comité Técnico de Ordenamiento Forestal, los comités técnicos agrarios, mesas técnicas de cadenas productivas priorizadas. Además, se trabajará junto a las organizaciones de los Pueblos Awajún y Wampis para poder tener un diálogo apropiado con los pueblos indígenas de la región sobre la propuesta. Los aportes serán revisados, procesados y respondidos por el equipo técnico regional y el equipo técnico de apoyo. Con estos aportes e insumos se elaborará la segunda versión que será validada en un taller con actores clave, delegados en el proceso previo. Durante este proceso además se identificarán los posibles acuerdos bilaterales entre el Gobierno Regional y Grupo de actores para poder promover la firma de acuerdos para la implementación del plan. </w:t>
      </w:r>
    </w:p>
    <w:p w14:paraId="29B507EA" w14:textId="77777777" w:rsidR="00EA0A65" w:rsidRDefault="00EA0A65">
      <w:pPr>
        <w:ind w:left="-284" w:right="-336"/>
        <w:jc w:val="both"/>
        <w:rPr>
          <w:rFonts w:ascii="Arial Narrow" w:eastAsia="Arial Narrow" w:hAnsi="Arial Narrow" w:cs="Arial Narrow"/>
          <w:sz w:val="20"/>
          <w:szCs w:val="20"/>
        </w:rPr>
      </w:pPr>
    </w:p>
    <w:p w14:paraId="20FD5C00" w14:textId="77777777" w:rsidR="00EA0A65" w:rsidRDefault="002959E9">
      <w:pPr>
        <w:ind w:left="-284" w:right="-336"/>
        <w:jc w:val="both"/>
        <w:rPr>
          <w:rFonts w:ascii="Arial Narrow" w:eastAsia="Arial Narrow" w:hAnsi="Arial Narrow" w:cs="Arial Narrow"/>
          <w:sz w:val="20"/>
          <w:szCs w:val="20"/>
        </w:rPr>
      </w:pPr>
      <w:bookmarkStart w:id="12" w:name="_17dp8vu" w:colFirst="0" w:colLast="0"/>
      <w:bookmarkEnd w:id="12"/>
      <w:r>
        <w:rPr>
          <w:rFonts w:ascii="Arial Narrow" w:eastAsia="Arial Narrow" w:hAnsi="Arial Narrow" w:cs="Arial Narrow"/>
          <w:sz w:val="20"/>
          <w:szCs w:val="20"/>
        </w:rPr>
        <w:t xml:space="preserve">La conducción política del proceso está a cargo del Gobernador Regional o su representante y los miembros del Grupo de Trabajo indicados en la resolución que convoca el proceso. El trabajo técnico está a cargo del Grupo de Trabajo (expertos de direcciones regionales y gerencias) y de los profesionales aportados por el proyecto, con el apoyo de expertos de las instituciones socias. En particular se tendrá la asistencia técnica del ICRAF en materia de análisis de deforestación, de EII en desarrollo rural bajo en emisiones y  planificación financiera, así como de las ONG APECO y NCI. Considerando el objetivo de fortalecer capacidades todas las tareas tendrán contrapartes locales y se involucrará a la academia y otras ONG presentes en la región. Todas las actividades indicadas se encuentran reflejadas en el presupuesto presentado.  Las actividades de capacitación se realizarán con el acompañamiento de Ausejo Consulting quien preparará junto a una universidad una propuesta de curso de inducción y módulo de acompañamiento durante el proceso para poder evaluar los avances e implementación de los conocimientos adquiridos. Esta última tarea comprende el monitoreo de avance del proceso y ejecución del proyecto. </w:t>
      </w:r>
    </w:p>
    <w:p w14:paraId="32BF241F" w14:textId="77777777" w:rsidR="00EA0A65" w:rsidRDefault="00EA0A65">
      <w:pPr>
        <w:ind w:left="-284" w:right="-336"/>
        <w:jc w:val="both"/>
        <w:rPr>
          <w:rFonts w:ascii="Arial Narrow" w:eastAsia="Arial Narrow" w:hAnsi="Arial Narrow" w:cs="Arial Narrow"/>
          <w:sz w:val="20"/>
          <w:szCs w:val="20"/>
        </w:rPr>
      </w:pPr>
    </w:p>
    <w:p w14:paraId="69D994F9" w14:textId="77777777" w:rsidR="00EA0A65" w:rsidRDefault="002959E9">
      <w:pPr>
        <w:widowControl w:val="0"/>
        <w:numPr>
          <w:ilvl w:val="1"/>
          <w:numId w:val="19"/>
        </w:numPr>
        <w:pBdr>
          <w:top w:val="nil"/>
          <w:left w:val="nil"/>
          <w:bottom w:val="nil"/>
          <w:right w:val="nil"/>
          <w:between w:val="nil"/>
        </w:pBdr>
        <w:ind w:left="-284" w:right="-336" w:firstLine="0"/>
        <w:contextualSpacing/>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PLAN DE IMPLEMENTACIÓN Y PLAZOS</w:t>
      </w:r>
    </w:p>
    <w:p w14:paraId="5B34FAE2" w14:textId="77777777" w:rsidR="00EA0A65" w:rsidRDefault="00EA0A65">
      <w:pPr>
        <w:widowControl w:val="0"/>
        <w:pBdr>
          <w:top w:val="nil"/>
          <w:left w:val="nil"/>
          <w:bottom w:val="nil"/>
          <w:right w:val="nil"/>
          <w:between w:val="nil"/>
        </w:pBdr>
        <w:ind w:left="-284" w:right="-336" w:hanging="720"/>
        <w:rPr>
          <w:rFonts w:ascii="Arial Narrow" w:eastAsia="Arial Narrow" w:hAnsi="Arial Narrow" w:cs="Arial Narrow"/>
          <w:b/>
          <w:color w:val="000000"/>
          <w:sz w:val="20"/>
          <w:szCs w:val="20"/>
        </w:rPr>
      </w:pPr>
    </w:p>
    <w:p w14:paraId="1A89958F" w14:textId="754C1486" w:rsidR="00EA0A65" w:rsidRDefault="002959E9">
      <w:pPr>
        <w:widowControl w:val="0"/>
        <w:ind w:left="-284" w:right="-336"/>
        <w:jc w:val="both"/>
        <w:rPr>
          <w:rFonts w:ascii="Arial Narrow" w:eastAsia="Arial Narrow" w:hAnsi="Arial Narrow" w:cs="Arial Narrow"/>
          <w:sz w:val="20"/>
          <w:szCs w:val="20"/>
        </w:rPr>
      </w:pPr>
      <w:bookmarkStart w:id="13" w:name="_3rdcrjn" w:colFirst="0" w:colLast="0"/>
      <w:bookmarkEnd w:id="13"/>
      <w:r>
        <w:rPr>
          <w:rFonts w:ascii="Arial Narrow" w:eastAsia="Arial Narrow" w:hAnsi="Arial Narrow" w:cs="Arial Narrow"/>
          <w:sz w:val="20"/>
          <w:szCs w:val="20"/>
        </w:rPr>
        <w:t xml:space="preserve">En el Cuadro 2 se describen las actividades principales e hitos para la implementación del proyecto indicado la organización responsable de la cada una de ellas.  </w:t>
      </w:r>
    </w:p>
    <w:p w14:paraId="2B3B402E" w14:textId="77777777" w:rsidR="00EA0A65" w:rsidRDefault="00EA0A65">
      <w:pPr>
        <w:widowControl w:val="0"/>
        <w:ind w:left="-284" w:right="-336"/>
        <w:jc w:val="both"/>
        <w:rPr>
          <w:rFonts w:ascii="Arial Narrow" w:eastAsia="Arial Narrow" w:hAnsi="Arial Narrow" w:cs="Arial Narrow"/>
          <w:sz w:val="20"/>
          <w:szCs w:val="20"/>
        </w:rPr>
      </w:pPr>
    </w:p>
    <w:p w14:paraId="27F4D910" w14:textId="259C3939" w:rsidR="00EA0A65" w:rsidRPr="00BB117B" w:rsidRDefault="002959E9" w:rsidP="00120D18">
      <w:pPr>
        <w:widowControl w:val="0"/>
        <w:pBdr>
          <w:top w:val="nil"/>
          <w:left w:val="nil"/>
          <w:bottom w:val="nil"/>
          <w:right w:val="nil"/>
          <w:between w:val="nil"/>
        </w:pBdr>
        <w:spacing w:line="276" w:lineRule="auto"/>
        <w:jc w:val="center"/>
        <w:rPr>
          <w:rFonts w:ascii="Arial Narrow" w:eastAsia="Arial Narrow" w:hAnsi="Arial Narrow" w:cs="Arial Narrow"/>
          <w:sz w:val="20"/>
          <w:szCs w:val="20"/>
        </w:rPr>
        <w:sectPr w:rsidR="00EA0A65" w:rsidRPr="00BB117B" w:rsidSect="002959E9">
          <w:pgSz w:w="11900" w:h="16840"/>
          <w:pgMar w:top="1440" w:right="1440" w:bottom="1440" w:left="1440" w:header="720" w:footer="720" w:gutter="0"/>
          <w:cols w:space="720"/>
        </w:sectPr>
      </w:pPr>
      <w:r w:rsidRPr="00BB117B">
        <w:rPr>
          <w:rFonts w:ascii="Arial Narrow" w:hAnsi="Arial Narrow"/>
          <w:sz w:val="20"/>
          <w:szCs w:val="20"/>
        </w:rPr>
        <w:br w:type="page"/>
      </w:r>
    </w:p>
    <w:tbl>
      <w:tblPr>
        <w:tblStyle w:val="a2"/>
        <w:tblW w:w="15421" w:type="dxa"/>
        <w:tblInd w:w="-502" w:type="dxa"/>
        <w:tblLayout w:type="fixed"/>
        <w:tblLook w:val="0400" w:firstRow="0" w:lastRow="0" w:firstColumn="0" w:lastColumn="0" w:noHBand="0" w:noVBand="1"/>
      </w:tblPr>
      <w:tblGrid>
        <w:gridCol w:w="8789"/>
        <w:gridCol w:w="2400"/>
        <w:gridCol w:w="1651"/>
        <w:gridCol w:w="430"/>
        <w:gridCol w:w="430"/>
        <w:gridCol w:w="430"/>
        <w:gridCol w:w="431"/>
        <w:gridCol w:w="430"/>
        <w:gridCol w:w="430"/>
      </w:tblGrid>
      <w:tr w:rsidR="00EA0A65" w14:paraId="66EF77D2" w14:textId="77777777" w:rsidTr="00844090">
        <w:trPr>
          <w:trHeight w:val="280"/>
        </w:trPr>
        <w:tc>
          <w:tcPr>
            <w:tcW w:w="15421" w:type="dxa"/>
            <w:gridSpan w:val="9"/>
            <w:tcBorders>
              <w:bottom w:val="single" w:sz="8" w:space="0" w:color="000000"/>
            </w:tcBorders>
            <w:shd w:val="clear" w:color="auto" w:fill="auto"/>
            <w:vAlign w:val="center"/>
          </w:tcPr>
          <w:p w14:paraId="38E2915D" w14:textId="77777777" w:rsidR="00EA0A65" w:rsidRDefault="002959E9">
            <w:pPr>
              <w:jc w:val="center"/>
              <w:rPr>
                <w:rFonts w:ascii="Arial Narrow" w:eastAsia="Arial Narrow" w:hAnsi="Arial Narrow" w:cs="Arial Narrow"/>
                <w:b/>
                <w:color w:val="000000"/>
                <w:sz w:val="22"/>
                <w:szCs w:val="22"/>
              </w:rPr>
            </w:pPr>
            <w:bookmarkStart w:id="14" w:name="_26in1rg" w:colFirst="0" w:colLast="0"/>
            <w:bookmarkEnd w:id="14"/>
            <w:r>
              <w:rPr>
                <w:rFonts w:ascii="Arial Narrow" w:eastAsia="Arial Narrow" w:hAnsi="Arial Narrow" w:cs="Arial Narrow"/>
                <w:b/>
                <w:color w:val="000000"/>
                <w:sz w:val="22"/>
                <w:szCs w:val="22"/>
              </w:rPr>
              <w:lastRenderedPageBreak/>
              <w:t>Cuadro N 2. Actividades e hitos del proyecto</w:t>
            </w:r>
          </w:p>
        </w:tc>
      </w:tr>
      <w:tr w:rsidR="00844090" w14:paraId="4B4E75A2" w14:textId="77777777" w:rsidTr="00844090">
        <w:trPr>
          <w:trHeight w:val="49"/>
        </w:trPr>
        <w:tc>
          <w:tcPr>
            <w:tcW w:w="8789"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tcPr>
          <w:p w14:paraId="0BD4A7BB" w14:textId="77777777" w:rsidR="00844090" w:rsidRPr="00844090" w:rsidRDefault="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Actividades previstas</w:t>
            </w:r>
          </w:p>
        </w:tc>
        <w:tc>
          <w:tcPr>
            <w:tcW w:w="2400"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tcPr>
          <w:p w14:paraId="78336EBF" w14:textId="77777777" w:rsidR="00844090" w:rsidRPr="00844090" w:rsidRDefault="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Responsable (gobierno o socio)</w:t>
            </w:r>
          </w:p>
        </w:tc>
        <w:tc>
          <w:tcPr>
            <w:tcW w:w="1651" w:type="dxa"/>
            <w:vMerge w:val="restart"/>
            <w:tcBorders>
              <w:top w:val="single" w:sz="4" w:space="0" w:color="000000"/>
              <w:left w:val="nil"/>
              <w:right w:val="single" w:sz="4" w:space="0" w:color="000000"/>
            </w:tcBorders>
            <w:shd w:val="clear" w:color="auto" w:fill="auto"/>
            <w:vAlign w:val="center"/>
          </w:tcPr>
          <w:p w14:paraId="682C8FF8" w14:textId="55436E65" w:rsidR="00844090" w:rsidRPr="00844090" w:rsidRDefault="00844090" w:rsidP="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Pre Operativa</w:t>
            </w:r>
          </w:p>
        </w:tc>
        <w:tc>
          <w:tcPr>
            <w:tcW w:w="2581" w:type="dxa"/>
            <w:gridSpan w:val="6"/>
            <w:tcBorders>
              <w:top w:val="single" w:sz="4" w:space="0" w:color="000000"/>
              <w:left w:val="nil"/>
              <w:bottom w:val="single" w:sz="8" w:space="0" w:color="000000"/>
              <w:right w:val="single" w:sz="4" w:space="0" w:color="000000"/>
            </w:tcBorders>
            <w:shd w:val="clear" w:color="auto" w:fill="auto"/>
            <w:vAlign w:val="center"/>
          </w:tcPr>
          <w:p w14:paraId="109BFD3B" w14:textId="77777777" w:rsidR="00844090" w:rsidRPr="00844090" w:rsidRDefault="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Plazos de implementación</w:t>
            </w:r>
          </w:p>
        </w:tc>
      </w:tr>
      <w:tr w:rsidR="00844090" w14:paraId="1ECBFF8C" w14:textId="77777777" w:rsidTr="00844090">
        <w:trPr>
          <w:trHeight w:val="49"/>
        </w:trPr>
        <w:tc>
          <w:tcPr>
            <w:tcW w:w="8789" w:type="dxa"/>
            <w:vMerge/>
            <w:tcBorders>
              <w:top w:val="single" w:sz="4" w:space="0" w:color="000000"/>
              <w:left w:val="single" w:sz="4" w:space="0" w:color="000000"/>
              <w:bottom w:val="single" w:sz="8" w:space="0" w:color="000000"/>
              <w:right w:val="single" w:sz="4" w:space="0" w:color="000000"/>
            </w:tcBorders>
            <w:shd w:val="clear" w:color="auto" w:fill="auto"/>
            <w:vAlign w:val="center"/>
          </w:tcPr>
          <w:p w14:paraId="1C03A058" w14:textId="77777777" w:rsidR="00844090" w:rsidRPr="00844090" w:rsidRDefault="00844090">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2400" w:type="dxa"/>
            <w:vMerge/>
            <w:tcBorders>
              <w:top w:val="single" w:sz="4" w:space="0" w:color="000000"/>
              <w:left w:val="single" w:sz="4" w:space="0" w:color="000000"/>
              <w:bottom w:val="single" w:sz="8" w:space="0" w:color="000000"/>
              <w:right w:val="single" w:sz="4" w:space="0" w:color="000000"/>
            </w:tcBorders>
            <w:shd w:val="clear" w:color="auto" w:fill="auto"/>
            <w:vAlign w:val="center"/>
          </w:tcPr>
          <w:p w14:paraId="522B174D" w14:textId="77777777" w:rsidR="00844090" w:rsidRPr="00844090" w:rsidRDefault="00844090">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1651" w:type="dxa"/>
            <w:vMerge/>
            <w:tcBorders>
              <w:left w:val="nil"/>
              <w:bottom w:val="single" w:sz="8" w:space="0" w:color="000000"/>
              <w:right w:val="single" w:sz="4" w:space="0" w:color="000000"/>
            </w:tcBorders>
            <w:shd w:val="clear" w:color="auto" w:fill="auto"/>
            <w:vAlign w:val="center"/>
          </w:tcPr>
          <w:p w14:paraId="5A29BBD0" w14:textId="451CB777" w:rsidR="00844090" w:rsidRPr="00844090" w:rsidRDefault="00844090">
            <w:pPr>
              <w:jc w:val="center"/>
              <w:rPr>
                <w:rFonts w:ascii="Arial Narrow" w:eastAsia="Arial Narrow" w:hAnsi="Arial Narrow" w:cs="Arial Narrow"/>
                <w:b/>
                <w:color w:val="000000"/>
                <w:sz w:val="16"/>
                <w:szCs w:val="16"/>
              </w:rPr>
            </w:pPr>
          </w:p>
        </w:tc>
        <w:tc>
          <w:tcPr>
            <w:tcW w:w="430" w:type="dxa"/>
            <w:tcBorders>
              <w:top w:val="nil"/>
              <w:left w:val="nil"/>
              <w:bottom w:val="single" w:sz="8" w:space="0" w:color="000000"/>
              <w:right w:val="single" w:sz="4" w:space="0" w:color="000000"/>
            </w:tcBorders>
            <w:shd w:val="clear" w:color="auto" w:fill="auto"/>
            <w:vAlign w:val="center"/>
          </w:tcPr>
          <w:p w14:paraId="0E170869" w14:textId="77777777" w:rsidR="00844090" w:rsidRPr="00844090" w:rsidRDefault="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Q1</w:t>
            </w:r>
          </w:p>
        </w:tc>
        <w:tc>
          <w:tcPr>
            <w:tcW w:w="430" w:type="dxa"/>
            <w:tcBorders>
              <w:top w:val="nil"/>
              <w:left w:val="nil"/>
              <w:bottom w:val="single" w:sz="8" w:space="0" w:color="000000"/>
              <w:right w:val="single" w:sz="4" w:space="0" w:color="000000"/>
            </w:tcBorders>
            <w:shd w:val="clear" w:color="auto" w:fill="auto"/>
            <w:vAlign w:val="center"/>
          </w:tcPr>
          <w:p w14:paraId="24AA6290" w14:textId="77777777" w:rsidR="00844090" w:rsidRPr="00844090" w:rsidRDefault="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Q2</w:t>
            </w:r>
          </w:p>
        </w:tc>
        <w:tc>
          <w:tcPr>
            <w:tcW w:w="430" w:type="dxa"/>
            <w:tcBorders>
              <w:top w:val="nil"/>
              <w:left w:val="nil"/>
              <w:bottom w:val="single" w:sz="8" w:space="0" w:color="000000"/>
              <w:right w:val="single" w:sz="4" w:space="0" w:color="000000"/>
            </w:tcBorders>
            <w:shd w:val="clear" w:color="auto" w:fill="auto"/>
            <w:vAlign w:val="center"/>
          </w:tcPr>
          <w:p w14:paraId="3793ED8E" w14:textId="77777777" w:rsidR="00844090" w:rsidRPr="00844090" w:rsidRDefault="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Q3</w:t>
            </w:r>
          </w:p>
        </w:tc>
        <w:tc>
          <w:tcPr>
            <w:tcW w:w="431" w:type="dxa"/>
            <w:tcBorders>
              <w:top w:val="nil"/>
              <w:left w:val="nil"/>
              <w:bottom w:val="single" w:sz="8" w:space="0" w:color="000000"/>
              <w:right w:val="single" w:sz="4" w:space="0" w:color="000000"/>
            </w:tcBorders>
            <w:shd w:val="clear" w:color="auto" w:fill="auto"/>
            <w:vAlign w:val="center"/>
          </w:tcPr>
          <w:p w14:paraId="410D1FC0" w14:textId="77777777" w:rsidR="00844090" w:rsidRPr="00844090" w:rsidRDefault="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Q4</w:t>
            </w:r>
          </w:p>
        </w:tc>
        <w:tc>
          <w:tcPr>
            <w:tcW w:w="430" w:type="dxa"/>
            <w:tcBorders>
              <w:top w:val="nil"/>
              <w:left w:val="nil"/>
              <w:bottom w:val="single" w:sz="8" w:space="0" w:color="000000"/>
              <w:right w:val="single" w:sz="4" w:space="0" w:color="000000"/>
            </w:tcBorders>
            <w:shd w:val="clear" w:color="auto" w:fill="auto"/>
            <w:vAlign w:val="center"/>
          </w:tcPr>
          <w:p w14:paraId="2F87E750" w14:textId="77777777" w:rsidR="00844090" w:rsidRPr="00844090" w:rsidRDefault="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Q5</w:t>
            </w:r>
          </w:p>
        </w:tc>
        <w:tc>
          <w:tcPr>
            <w:tcW w:w="430" w:type="dxa"/>
            <w:tcBorders>
              <w:top w:val="nil"/>
              <w:left w:val="nil"/>
              <w:bottom w:val="single" w:sz="8" w:space="0" w:color="000000"/>
              <w:right w:val="single" w:sz="4" w:space="0" w:color="000000"/>
            </w:tcBorders>
            <w:shd w:val="clear" w:color="auto" w:fill="auto"/>
            <w:vAlign w:val="center"/>
          </w:tcPr>
          <w:p w14:paraId="0BC1A462" w14:textId="77777777" w:rsidR="00844090" w:rsidRPr="00844090" w:rsidRDefault="00844090">
            <w:pPr>
              <w:jc w:val="center"/>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Q6</w:t>
            </w:r>
          </w:p>
        </w:tc>
      </w:tr>
      <w:tr w:rsidR="00844090" w14:paraId="20BBA359" w14:textId="77777777" w:rsidTr="00844090">
        <w:trPr>
          <w:trHeight w:val="4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40D3A" w14:textId="77777777" w:rsidR="00EA0A65" w:rsidRPr="00844090" w:rsidRDefault="002959E9">
            <w:pPr>
              <w:jc w:val="both"/>
              <w:rPr>
                <w:rFonts w:ascii="Arial Narrow" w:eastAsia="Arial Narrow" w:hAnsi="Arial Narrow" w:cs="Arial Narrow"/>
                <w:b/>
                <w:color w:val="000000"/>
                <w:sz w:val="16"/>
                <w:szCs w:val="16"/>
              </w:rPr>
            </w:pPr>
            <w:r w:rsidRPr="00844090">
              <w:rPr>
                <w:rFonts w:ascii="Arial Narrow" w:eastAsia="Arial Narrow" w:hAnsi="Arial Narrow" w:cs="Arial Narrow"/>
                <w:b/>
                <w:color w:val="000000"/>
                <w:sz w:val="16"/>
                <w:szCs w:val="16"/>
              </w:rPr>
              <w:t>Etapa Pre-Operativa</w:t>
            </w:r>
          </w:p>
        </w:tc>
        <w:tc>
          <w:tcPr>
            <w:tcW w:w="2400" w:type="dxa"/>
            <w:tcBorders>
              <w:top w:val="nil"/>
              <w:left w:val="nil"/>
              <w:bottom w:val="single" w:sz="4" w:space="0" w:color="000000"/>
              <w:right w:val="single" w:sz="4" w:space="0" w:color="000000"/>
            </w:tcBorders>
            <w:shd w:val="clear" w:color="auto" w:fill="auto"/>
            <w:vAlign w:val="center"/>
          </w:tcPr>
          <w:p w14:paraId="535C15E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1651" w:type="dxa"/>
            <w:tcBorders>
              <w:top w:val="nil"/>
              <w:left w:val="nil"/>
              <w:bottom w:val="single" w:sz="4" w:space="0" w:color="000000"/>
              <w:right w:val="single" w:sz="4" w:space="0" w:color="000000"/>
            </w:tcBorders>
            <w:shd w:val="clear" w:color="auto" w:fill="auto"/>
            <w:vAlign w:val="center"/>
          </w:tcPr>
          <w:p w14:paraId="0EC122B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25E01F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B7DB2F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046EEC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6C43A56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A2D618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A0303F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5AB24D01"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662E6"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Convocatoria formal del proceso por la autoridad regional  - Resolución Ejecutiva Regional u Ordenanza Regional  del Gore Amazonas</w:t>
            </w:r>
          </w:p>
        </w:tc>
        <w:tc>
          <w:tcPr>
            <w:tcW w:w="2400" w:type="dxa"/>
            <w:tcBorders>
              <w:top w:val="nil"/>
              <w:left w:val="nil"/>
              <w:bottom w:val="single" w:sz="4" w:space="0" w:color="000000"/>
              <w:right w:val="single" w:sz="4" w:space="0" w:color="000000"/>
            </w:tcBorders>
            <w:shd w:val="clear" w:color="auto" w:fill="auto"/>
            <w:vAlign w:val="center"/>
          </w:tcPr>
          <w:p w14:paraId="2DBCFC0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GORE - EII</w:t>
            </w:r>
          </w:p>
        </w:tc>
        <w:tc>
          <w:tcPr>
            <w:tcW w:w="1651" w:type="dxa"/>
            <w:tcBorders>
              <w:top w:val="nil"/>
              <w:left w:val="nil"/>
              <w:bottom w:val="single" w:sz="4" w:space="0" w:color="000000"/>
              <w:right w:val="single" w:sz="4" w:space="0" w:color="000000"/>
            </w:tcBorders>
            <w:shd w:val="clear" w:color="auto" w:fill="auto"/>
            <w:vAlign w:val="center"/>
          </w:tcPr>
          <w:p w14:paraId="461D76A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735DC3E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F31499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0E0E33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5E79D28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28F6B0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30AA6E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3EAAED7C"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102B9"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Incorporación del tema LED-R en el proceso electoral: Acuerdo por la gobernabilidad impulsado por la instancia de la sociedad civil organizada de la región.</w:t>
            </w:r>
          </w:p>
        </w:tc>
        <w:tc>
          <w:tcPr>
            <w:tcW w:w="2400" w:type="dxa"/>
            <w:tcBorders>
              <w:top w:val="nil"/>
              <w:left w:val="nil"/>
              <w:bottom w:val="single" w:sz="4" w:space="0" w:color="000000"/>
              <w:right w:val="single" w:sz="4" w:space="0" w:color="000000"/>
            </w:tcBorders>
            <w:shd w:val="clear" w:color="auto" w:fill="auto"/>
            <w:vAlign w:val="center"/>
          </w:tcPr>
          <w:p w14:paraId="2A12212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ONG-Amazonas</w:t>
            </w:r>
          </w:p>
        </w:tc>
        <w:tc>
          <w:tcPr>
            <w:tcW w:w="1651" w:type="dxa"/>
            <w:tcBorders>
              <w:top w:val="nil"/>
              <w:left w:val="nil"/>
              <w:bottom w:val="single" w:sz="4" w:space="0" w:color="000000"/>
              <w:right w:val="single" w:sz="4" w:space="0" w:color="000000"/>
            </w:tcBorders>
            <w:shd w:val="clear" w:color="auto" w:fill="auto"/>
            <w:vAlign w:val="center"/>
          </w:tcPr>
          <w:p w14:paraId="148E22D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2BDA835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8EE860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1980B4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70F4F20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FF553D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19EA84B"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5F2219DC"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57648"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Conformación del equipo de apoyo nacional ETA y regional (ONG, instituciones: APECO / NCI) - GTR</w:t>
            </w:r>
          </w:p>
        </w:tc>
        <w:tc>
          <w:tcPr>
            <w:tcW w:w="2400" w:type="dxa"/>
            <w:tcBorders>
              <w:top w:val="nil"/>
              <w:left w:val="nil"/>
              <w:bottom w:val="single" w:sz="4" w:space="0" w:color="000000"/>
              <w:right w:val="single" w:sz="4" w:space="0" w:color="000000"/>
            </w:tcBorders>
            <w:shd w:val="clear" w:color="auto" w:fill="auto"/>
            <w:vAlign w:val="center"/>
          </w:tcPr>
          <w:p w14:paraId="55776AF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GORE-EII</w:t>
            </w:r>
          </w:p>
        </w:tc>
        <w:tc>
          <w:tcPr>
            <w:tcW w:w="1651" w:type="dxa"/>
            <w:tcBorders>
              <w:top w:val="nil"/>
              <w:left w:val="nil"/>
              <w:bottom w:val="single" w:sz="4" w:space="0" w:color="000000"/>
              <w:right w:val="single" w:sz="4" w:space="0" w:color="000000"/>
            </w:tcBorders>
            <w:shd w:val="clear" w:color="auto" w:fill="auto"/>
            <w:vAlign w:val="center"/>
          </w:tcPr>
          <w:p w14:paraId="61506D0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6572E4A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3BACF5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0B0C29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082655C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41B67ABB"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108F28E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434D5B88"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7003D"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Información sobre el proceso a los diversos actores a nivel nacional, regional -sectorial y territorial-</w:t>
            </w:r>
          </w:p>
        </w:tc>
        <w:tc>
          <w:tcPr>
            <w:tcW w:w="2400" w:type="dxa"/>
            <w:tcBorders>
              <w:top w:val="nil"/>
              <w:left w:val="nil"/>
              <w:bottom w:val="single" w:sz="4" w:space="0" w:color="000000"/>
              <w:right w:val="single" w:sz="4" w:space="0" w:color="000000"/>
            </w:tcBorders>
            <w:shd w:val="clear" w:color="auto" w:fill="auto"/>
            <w:vAlign w:val="center"/>
          </w:tcPr>
          <w:p w14:paraId="50E0EC8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EII -  ONG-Amazonas</w:t>
            </w:r>
          </w:p>
        </w:tc>
        <w:tc>
          <w:tcPr>
            <w:tcW w:w="1651" w:type="dxa"/>
            <w:tcBorders>
              <w:top w:val="nil"/>
              <w:left w:val="nil"/>
              <w:bottom w:val="single" w:sz="4" w:space="0" w:color="000000"/>
              <w:right w:val="single" w:sz="4" w:space="0" w:color="000000"/>
            </w:tcBorders>
            <w:shd w:val="clear" w:color="auto" w:fill="auto"/>
            <w:vAlign w:val="center"/>
          </w:tcPr>
          <w:p w14:paraId="5FDF55C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15EB9A5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A8D325C"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5D1A7B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371C35C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048F24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1982A05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6619C3D4"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D3FE9"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ml:space="preserve">Inmersión en el tema CC, Bosques y CC, LED, GCF-TF, etc. a las autoridades elegidas. </w:t>
            </w:r>
          </w:p>
        </w:tc>
        <w:tc>
          <w:tcPr>
            <w:tcW w:w="2400" w:type="dxa"/>
            <w:tcBorders>
              <w:top w:val="nil"/>
              <w:left w:val="nil"/>
              <w:bottom w:val="single" w:sz="4" w:space="0" w:color="000000"/>
              <w:right w:val="single" w:sz="4" w:space="0" w:color="000000"/>
            </w:tcBorders>
            <w:shd w:val="clear" w:color="auto" w:fill="auto"/>
            <w:vAlign w:val="center"/>
          </w:tcPr>
          <w:p w14:paraId="3C49766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GORE-EII</w:t>
            </w:r>
          </w:p>
        </w:tc>
        <w:tc>
          <w:tcPr>
            <w:tcW w:w="1651" w:type="dxa"/>
            <w:tcBorders>
              <w:top w:val="nil"/>
              <w:left w:val="nil"/>
              <w:bottom w:val="single" w:sz="4" w:space="0" w:color="000000"/>
              <w:right w:val="single" w:sz="4" w:space="0" w:color="000000"/>
            </w:tcBorders>
            <w:shd w:val="clear" w:color="auto" w:fill="auto"/>
            <w:vAlign w:val="center"/>
          </w:tcPr>
          <w:p w14:paraId="6950466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47AAAAD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9692C3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2D1E43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592DE31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06D7E2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138EBDF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00F9AD07"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2F5AC" w14:textId="77777777" w:rsidR="00EA0A65" w:rsidRPr="00844090" w:rsidRDefault="002959E9">
            <w:pPr>
              <w:jc w:val="both"/>
              <w:rPr>
                <w:rFonts w:ascii="Arial Narrow" w:eastAsia="Arial Narrow" w:hAnsi="Arial Narrow" w:cs="Arial Narrow"/>
                <w:b/>
                <w:color w:val="000000"/>
                <w:sz w:val="16"/>
                <w:szCs w:val="16"/>
                <w:u w:val="single"/>
              </w:rPr>
            </w:pPr>
            <w:r w:rsidRPr="00844090">
              <w:rPr>
                <w:rFonts w:ascii="Arial Narrow" w:eastAsia="Arial Narrow" w:hAnsi="Arial Narrow" w:cs="Arial Narrow"/>
                <w:b/>
                <w:color w:val="000000"/>
                <w:sz w:val="16"/>
                <w:szCs w:val="16"/>
                <w:u w:val="single"/>
              </w:rPr>
              <w:t xml:space="preserve">Etapa Operativa </w:t>
            </w:r>
          </w:p>
        </w:tc>
        <w:tc>
          <w:tcPr>
            <w:tcW w:w="2400" w:type="dxa"/>
            <w:tcBorders>
              <w:top w:val="nil"/>
              <w:left w:val="nil"/>
              <w:bottom w:val="single" w:sz="4" w:space="0" w:color="000000"/>
              <w:right w:val="single" w:sz="4" w:space="0" w:color="000000"/>
            </w:tcBorders>
            <w:shd w:val="clear" w:color="auto" w:fill="auto"/>
            <w:vAlign w:val="center"/>
          </w:tcPr>
          <w:p w14:paraId="5467AD76" w14:textId="77777777" w:rsidR="00EA0A65" w:rsidRPr="00844090" w:rsidRDefault="00EA0A65">
            <w:pPr>
              <w:jc w:val="center"/>
              <w:rPr>
                <w:rFonts w:ascii="Arial Narrow" w:eastAsia="Arial Narrow" w:hAnsi="Arial Narrow" w:cs="Arial Narrow"/>
                <w:color w:val="000000"/>
                <w:sz w:val="16"/>
                <w:szCs w:val="16"/>
              </w:rPr>
            </w:pPr>
          </w:p>
        </w:tc>
        <w:tc>
          <w:tcPr>
            <w:tcW w:w="1651" w:type="dxa"/>
            <w:tcBorders>
              <w:top w:val="nil"/>
              <w:left w:val="nil"/>
              <w:bottom w:val="single" w:sz="4" w:space="0" w:color="000000"/>
              <w:right w:val="single" w:sz="4" w:space="0" w:color="000000"/>
            </w:tcBorders>
            <w:shd w:val="clear" w:color="auto" w:fill="auto"/>
            <w:vAlign w:val="center"/>
          </w:tcPr>
          <w:p w14:paraId="287669E0"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61C88054"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63EFFB11"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087FB23E" w14:textId="77777777" w:rsidR="00EA0A65" w:rsidRPr="00844090" w:rsidRDefault="00EA0A65">
            <w:pPr>
              <w:jc w:val="center"/>
              <w:rPr>
                <w:rFonts w:ascii="Arial Narrow" w:eastAsia="Arial Narrow" w:hAnsi="Arial Narrow" w:cs="Arial Narrow"/>
                <w:color w:val="000000"/>
                <w:sz w:val="16"/>
                <w:szCs w:val="16"/>
              </w:rPr>
            </w:pPr>
          </w:p>
        </w:tc>
        <w:tc>
          <w:tcPr>
            <w:tcW w:w="431" w:type="dxa"/>
            <w:tcBorders>
              <w:top w:val="nil"/>
              <w:left w:val="nil"/>
              <w:bottom w:val="single" w:sz="4" w:space="0" w:color="000000"/>
              <w:right w:val="single" w:sz="4" w:space="0" w:color="000000"/>
            </w:tcBorders>
            <w:shd w:val="clear" w:color="auto" w:fill="auto"/>
            <w:vAlign w:val="center"/>
          </w:tcPr>
          <w:p w14:paraId="25E599B1"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7445D25F"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35A473C2" w14:textId="77777777" w:rsidR="00EA0A65" w:rsidRPr="00844090" w:rsidRDefault="00EA0A65">
            <w:pPr>
              <w:jc w:val="center"/>
              <w:rPr>
                <w:rFonts w:ascii="Arial Narrow" w:eastAsia="Arial Narrow" w:hAnsi="Arial Narrow" w:cs="Arial Narrow"/>
                <w:color w:val="000000"/>
                <w:sz w:val="16"/>
                <w:szCs w:val="16"/>
              </w:rPr>
            </w:pPr>
          </w:p>
        </w:tc>
      </w:tr>
      <w:tr w:rsidR="00844090" w14:paraId="6645DC8E"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965A9" w14:textId="77777777" w:rsidR="00EA0A65" w:rsidRPr="00844090" w:rsidRDefault="002959E9">
            <w:pPr>
              <w:jc w:val="both"/>
              <w:rPr>
                <w:rFonts w:ascii="Arial Narrow" w:eastAsia="Arial Narrow" w:hAnsi="Arial Narrow" w:cs="Arial Narrow"/>
                <w:color w:val="000000"/>
                <w:sz w:val="16"/>
                <w:szCs w:val="16"/>
                <w:u w:val="single"/>
              </w:rPr>
            </w:pPr>
            <w:r w:rsidRPr="00844090">
              <w:rPr>
                <w:rFonts w:ascii="Arial Narrow" w:eastAsia="Arial Narrow" w:hAnsi="Arial Narrow" w:cs="Arial Narrow"/>
                <w:color w:val="000000"/>
                <w:sz w:val="16"/>
                <w:szCs w:val="16"/>
              </w:rPr>
              <w:t>1.  Alineamiento y organización.</w:t>
            </w:r>
          </w:p>
        </w:tc>
        <w:tc>
          <w:tcPr>
            <w:tcW w:w="2400" w:type="dxa"/>
            <w:tcBorders>
              <w:top w:val="nil"/>
              <w:left w:val="nil"/>
              <w:bottom w:val="single" w:sz="4" w:space="0" w:color="000000"/>
              <w:right w:val="single" w:sz="4" w:space="0" w:color="000000"/>
            </w:tcBorders>
            <w:shd w:val="clear" w:color="auto" w:fill="auto"/>
            <w:vAlign w:val="center"/>
          </w:tcPr>
          <w:p w14:paraId="71DDBEA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1651" w:type="dxa"/>
            <w:tcBorders>
              <w:top w:val="nil"/>
              <w:left w:val="nil"/>
              <w:bottom w:val="single" w:sz="4" w:space="0" w:color="000000"/>
              <w:right w:val="single" w:sz="4" w:space="0" w:color="000000"/>
            </w:tcBorders>
            <w:shd w:val="clear" w:color="auto" w:fill="auto"/>
            <w:vAlign w:val="center"/>
          </w:tcPr>
          <w:p w14:paraId="62E7ADF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D0A0C9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591BC3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2EF8A2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2A9344F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EC9B94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4BD5DB2B"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7755A367"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B2EEC"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Alineamiento interno y formulación de propuesta colectiva entre todas las gerencias y direcciones regionales, con la asistencia de equipo de apoyo.</w:t>
            </w:r>
          </w:p>
        </w:tc>
        <w:tc>
          <w:tcPr>
            <w:tcW w:w="2400" w:type="dxa"/>
            <w:tcBorders>
              <w:top w:val="nil"/>
              <w:left w:val="nil"/>
              <w:bottom w:val="single" w:sz="4" w:space="0" w:color="000000"/>
              <w:right w:val="single" w:sz="4" w:space="0" w:color="000000"/>
            </w:tcBorders>
            <w:shd w:val="clear" w:color="auto" w:fill="auto"/>
            <w:vAlign w:val="center"/>
          </w:tcPr>
          <w:p w14:paraId="10B3C67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GORE-EII</w:t>
            </w:r>
          </w:p>
        </w:tc>
        <w:tc>
          <w:tcPr>
            <w:tcW w:w="1651" w:type="dxa"/>
            <w:tcBorders>
              <w:top w:val="nil"/>
              <w:left w:val="nil"/>
              <w:bottom w:val="single" w:sz="4" w:space="0" w:color="000000"/>
              <w:right w:val="single" w:sz="4" w:space="0" w:color="000000"/>
            </w:tcBorders>
            <w:shd w:val="clear" w:color="auto" w:fill="auto"/>
            <w:vAlign w:val="center"/>
          </w:tcPr>
          <w:p w14:paraId="5BD1759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D98B15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35D92DA1"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7B8421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22CC6CE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177BDAF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58C6D9C"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01A648E7"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AAD4A"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Establecimiento formal del grupo de trabajo responsable del proceso, mediante resolución ejecutiva regional.</w:t>
            </w:r>
          </w:p>
        </w:tc>
        <w:tc>
          <w:tcPr>
            <w:tcW w:w="2400" w:type="dxa"/>
            <w:tcBorders>
              <w:top w:val="nil"/>
              <w:left w:val="nil"/>
              <w:bottom w:val="single" w:sz="4" w:space="0" w:color="000000"/>
              <w:right w:val="single" w:sz="4" w:space="0" w:color="000000"/>
            </w:tcBorders>
            <w:shd w:val="clear" w:color="auto" w:fill="auto"/>
            <w:vAlign w:val="center"/>
          </w:tcPr>
          <w:p w14:paraId="3686C7E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GORE-EII</w:t>
            </w:r>
          </w:p>
        </w:tc>
        <w:tc>
          <w:tcPr>
            <w:tcW w:w="1651" w:type="dxa"/>
            <w:tcBorders>
              <w:top w:val="nil"/>
              <w:left w:val="nil"/>
              <w:bottom w:val="single" w:sz="4" w:space="0" w:color="000000"/>
              <w:right w:val="single" w:sz="4" w:space="0" w:color="000000"/>
            </w:tcBorders>
            <w:shd w:val="clear" w:color="auto" w:fill="auto"/>
            <w:vAlign w:val="center"/>
          </w:tcPr>
          <w:p w14:paraId="6BB092FB"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00396C0"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54BB2F6C"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C171CD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0DB9954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3A0C1B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933C1F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652E595B"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783A8"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Capacitación sobre conceptos básicos sobre DRBE, gestión de paisajes, cambio climático, análisis deforestación y producción sostenible. Curso.</w:t>
            </w:r>
          </w:p>
        </w:tc>
        <w:tc>
          <w:tcPr>
            <w:tcW w:w="2400" w:type="dxa"/>
            <w:tcBorders>
              <w:top w:val="nil"/>
              <w:left w:val="nil"/>
              <w:bottom w:val="single" w:sz="4" w:space="0" w:color="000000"/>
              <w:right w:val="single" w:sz="4" w:space="0" w:color="000000"/>
            </w:tcBorders>
            <w:shd w:val="clear" w:color="auto" w:fill="auto"/>
            <w:vAlign w:val="center"/>
          </w:tcPr>
          <w:p w14:paraId="4992B7A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ICRAF-Ausejo Consulting-EII</w:t>
            </w:r>
          </w:p>
        </w:tc>
        <w:tc>
          <w:tcPr>
            <w:tcW w:w="1651" w:type="dxa"/>
            <w:tcBorders>
              <w:top w:val="nil"/>
              <w:left w:val="nil"/>
              <w:bottom w:val="single" w:sz="4" w:space="0" w:color="000000"/>
              <w:right w:val="single" w:sz="4" w:space="0" w:color="000000"/>
            </w:tcBorders>
            <w:shd w:val="clear" w:color="auto" w:fill="auto"/>
            <w:vAlign w:val="center"/>
          </w:tcPr>
          <w:p w14:paraId="1C9C24A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D373A91"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3ACE97FB"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2A940B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52247FB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D44D4D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4A626E1"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466EEF55"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58726"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2   Diagnóstico</w:t>
            </w:r>
          </w:p>
        </w:tc>
        <w:tc>
          <w:tcPr>
            <w:tcW w:w="2400" w:type="dxa"/>
            <w:tcBorders>
              <w:top w:val="nil"/>
              <w:left w:val="nil"/>
              <w:bottom w:val="single" w:sz="4" w:space="0" w:color="000000"/>
              <w:right w:val="single" w:sz="4" w:space="0" w:color="000000"/>
            </w:tcBorders>
            <w:shd w:val="clear" w:color="auto" w:fill="auto"/>
            <w:vAlign w:val="center"/>
          </w:tcPr>
          <w:p w14:paraId="2FFEB8A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1651" w:type="dxa"/>
            <w:tcBorders>
              <w:top w:val="nil"/>
              <w:left w:val="nil"/>
              <w:bottom w:val="single" w:sz="4" w:space="0" w:color="000000"/>
              <w:right w:val="single" w:sz="4" w:space="0" w:color="000000"/>
            </w:tcBorders>
            <w:shd w:val="clear" w:color="auto" w:fill="auto"/>
            <w:vAlign w:val="center"/>
          </w:tcPr>
          <w:p w14:paraId="59FF0EF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28EE4FA8"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972BAC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173F02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77D016A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501D76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2B0DF2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280EF36C"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060E1"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Tendencias de la deforestación, ubicación espacial.</w:t>
            </w:r>
          </w:p>
        </w:tc>
        <w:tc>
          <w:tcPr>
            <w:tcW w:w="2400" w:type="dxa"/>
            <w:vMerge w:val="restart"/>
            <w:tcBorders>
              <w:top w:val="nil"/>
              <w:left w:val="single" w:sz="4" w:space="0" w:color="000000"/>
              <w:bottom w:val="single" w:sz="4" w:space="0" w:color="000000"/>
              <w:right w:val="single" w:sz="4" w:space="0" w:color="000000"/>
            </w:tcBorders>
            <w:shd w:val="clear" w:color="auto" w:fill="auto"/>
            <w:vAlign w:val="center"/>
          </w:tcPr>
          <w:p w14:paraId="42F158C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ICRAF-APECO-NCI</w:t>
            </w:r>
          </w:p>
        </w:tc>
        <w:tc>
          <w:tcPr>
            <w:tcW w:w="1651" w:type="dxa"/>
            <w:tcBorders>
              <w:top w:val="nil"/>
              <w:left w:val="nil"/>
              <w:bottom w:val="single" w:sz="4" w:space="0" w:color="000000"/>
              <w:right w:val="single" w:sz="4" w:space="0" w:color="000000"/>
            </w:tcBorders>
            <w:shd w:val="clear" w:color="auto" w:fill="auto"/>
            <w:vAlign w:val="center"/>
          </w:tcPr>
          <w:p w14:paraId="3FE7973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32A21445"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w:t>
            </w:r>
          </w:p>
        </w:tc>
        <w:tc>
          <w:tcPr>
            <w:tcW w:w="430" w:type="dxa"/>
            <w:tcBorders>
              <w:top w:val="nil"/>
              <w:left w:val="nil"/>
              <w:bottom w:val="single" w:sz="4" w:space="0" w:color="000000"/>
              <w:right w:val="single" w:sz="4" w:space="0" w:color="000000"/>
            </w:tcBorders>
            <w:shd w:val="clear" w:color="auto" w:fill="auto"/>
            <w:vAlign w:val="center"/>
          </w:tcPr>
          <w:p w14:paraId="0EF06061"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36AE1D6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50AA48F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FBEEC9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4A869500"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7AAED669"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D4894"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Análisis de los procesos y causas de la deforestación. Con asistencia ICRAF</w:t>
            </w:r>
          </w:p>
        </w:tc>
        <w:tc>
          <w:tcPr>
            <w:tcW w:w="2400" w:type="dxa"/>
            <w:vMerge/>
            <w:tcBorders>
              <w:top w:val="nil"/>
              <w:left w:val="single" w:sz="4" w:space="0" w:color="000000"/>
              <w:bottom w:val="single" w:sz="4" w:space="0" w:color="000000"/>
              <w:right w:val="single" w:sz="4" w:space="0" w:color="000000"/>
            </w:tcBorders>
            <w:shd w:val="clear" w:color="auto" w:fill="auto"/>
            <w:vAlign w:val="center"/>
          </w:tcPr>
          <w:p w14:paraId="0CF64783" w14:textId="77777777" w:rsidR="00EA0A65" w:rsidRPr="00844090"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1651" w:type="dxa"/>
            <w:tcBorders>
              <w:top w:val="nil"/>
              <w:left w:val="nil"/>
              <w:bottom w:val="single" w:sz="4" w:space="0" w:color="000000"/>
              <w:right w:val="single" w:sz="4" w:space="0" w:color="000000"/>
            </w:tcBorders>
            <w:shd w:val="clear" w:color="auto" w:fill="auto"/>
            <w:vAlign w:val="center"/>
          </w:tcPr>
          <w:p w14:paraId="5F2215B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39A84FB2"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w:t>
            </w:r>
          </w:p>
        </w:tc>
        <w:tc>
          <w:tcPr>
            <w:tcW w:w="430" w:type="dxa"/>
            <w:tcBorders>
              <w:top w:val="nil"/>
              <w:left w:val="nil"/>
              <w:bottom w:val="single" w:sz="4" w:space="0" w:color="000000"/>
              <w:right w:val="single" w:sz="4" w:space="0" w:color="000000"/>
            </w:tcBorders>
            <w:shd w:val="clear" w:color="auto" w:fill="auto"/>
            <w:vAlign w:val="center"/>
          </w:tcPr>
          <w:p w14:paraId="09063250"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4DC4E7F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16033AA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14EE0FA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BDB649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723EBD46"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46705"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Identificación de obstáculos /cuellos de botella para producción sostenible.</w:t>
            </w:r>
          </w:p>
        </w:tc>
        <w:tc>
          <w:tcPr>
            <w:tcW w:w="2400" w:type="dxa"/>
            <w:tcBorders>
              <w:top w:val="nil"/>
              <w:left w:val="nil"/>
              <w:bottom w:val="single" w:sz="4" w:space="0" w:color="000000"/>
              <w:right w:val="single" w:sz="4" w:space="0" w:color="000000"/>
            </w:tcBorders>
            <w:shd w:val="clear" w:color="auto" w:fill="auto"/>
            <w:vAlign w:val="center"/>
          </w:tcPr>
          <w:p w14:paraId="46D0DB7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557F79D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1671BCEB"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469435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7549FEE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32C4E5F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46B827B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1D7E37B"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77DC09D6"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00D3B"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ml:space="preserve">Validación con grupo de expertos y actores clave. </w:t>
            </w:r>
          </w:p>
        </w:tc>
        <w:tc>
          <w:tcPr>
            <w:tcW w:w="2400" w:type="dxa"/>
            <w:tcBorders>
              <w:top w:val="nil"/>
              <w:left w:val="nil"/>
              <w:bottom w:val="single" w:sz="4" w:space="0" w:color="000000"/>
              <w:right w:val="single" w:sz="4" w:space="0" w:color="000000"/>
            </w:tcBorders>
            <w:shd w:val="clear" w:color="auto" w:fill="auto"/>
            <w:vAlign w:val="center"/>
          </w:tcPr>
          <w:p w14:paraId="7338725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5788433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218737F9"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B7B1EA0"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1D52D1CB"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0D47214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CD4740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D7475E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50647EDE"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94635"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ml:space="preserve">3  Elaboración  del documento preliminar de estrategia: </w:t>
            </w:r>
          </w:p>
        </w:tc>
        <w:tc>
          <w:tcPr>
            <w:tcW w:w="2400" w:type="dxa"/>
            <w:tcBorders>
              <w:top w:val="nil"/>
              <w:left w:val="nil"/>
              <w:bottom w:val="single" w:sz="4" w:space="0" w:color="000000"/>
              <w:right w:val="single" w:sz="4" w:space="0" w:color="000000"/>
            </w:tcBorders>
            <w:shd w:val="clear" w:color="auto" w:fill="auto"/>
            <w:vAlign w:val="center"/>
          </w:tcPr>
          <w:p w14:paraId="05F75F63" w14:textId="77777777" w:rsidR="00EA0A65" w:rsidRPr="00844090" w:rsidRDefault="00EA0A65">
            <w:pPr>
              <w:jc w:val="center"/>
              <w:rPr>
                <w:rFonts w:ascii="Arial Narrow" w:eastAsia="Arial Narrow" w:hAnsi="Arial Narrow" w:cs="Arial Narrow"/>
                <w:color w:val="000000"/>
                <w:sz w:val="16"/>
                <w:szCs w:val="16"/>
              </w:rPr>
            </w:pPr>
          </w:p>
        </w:tc>
        <w:tc>
          <w:tcPr>
            <w:tcW w:w="1651" w:type="dxa"/>
            <w:tcBorders>
              <w:top w:val="nil"/>
              <w:left w:val="nil"/>
              <w:bottom w:val="single" w:sz="4" w:space="0" w:color="000000"/>
              <w:right w:val="single" w:sz="4" w:space="0" w:color="000000"/>
            </w:tcBorders>
            <w:shd w:val="clear" w:color="auto" w:fill="auto"/>
            <w:vAlign w:val="center"/>
          </w:tcPr>
          <w:p w14:paraId="7E12FD7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39923697"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945049D"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27CED8FF" w14:textId="77777777" w:rsidR="00EA0A65" w:rsidRPr="00844090" w:rsidRDefault="00EA0A65">
            <w:pPr>
              <w:jc w:val="center"/>
              <w:rPr>
                <w:rFonts w:ascii="Arial Narrow" w:eastAsia="Arial Narrow" w:hAnsi="Arial Narrow" w:cs="Arial Narrow"/>
                <w:color w:val="000000"/>
                <w:sz w:val="16"/>
                <w:szCs w:val="16"/>
              </w:rPr>
            </w:pPr>
          </w:p>
        </w:tc>
        <w:tc>
          <w:tcPr>
            <w:tcW w:w="431" w:type="dxa"/>
            <w:tcBorders>
              <w:top w:val="nil"/>
              <w:left w:val="nil"/>
              <w:bottom w:val="single" w:sz="4" w:space="0" w:color="000000"/>
              <w:right w:val="single" w:sz="4" w:space="0" w:color="000000"/>
            </w:tcBorders>
            <w:shd w:val="clear" w:color="auto" w:fill="auto"/>
            <w:vAlign w:val="center"/>
          </w:tcPr>
          <w:p w14:paraId="45677FE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EA3D0B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D8B9F20"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73E2775F"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3E83C"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Definición colectiva de las metas y visión</w:t>
            </w:r>
          </w:p>
        </w:tc>
        <w:tc>
          <w:tcPr>
            <w:tcW w:w="2400" w:type="dxa"/>
            <w:tcBorders>
              <w:top w:val="nil"/>
              <w:left w:val="nil"/>
              <w:bottom w:val="single" w:sz="4" w:space="0" w:color="000000"/>
              <w:right w:val="single" w:sz="4" w:space="0" w:color="000000"/>
            </w:tcBorders>
            <w:shd w:val="clear" w:color="auto" w:fill="auto"/>
            <w:vAlign w:val="center"/>
          </w:tcPr>
          <w:p w14:paraId="25D11A9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61F6EA8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5891042E"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4E5A343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75915A0C"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6438702C"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43444E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4443B0C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10A04AEF"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A5B9D"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ml:space="preserve">Elaboración de teoría del cambio, </w:t>
            </w:r>
          </w:p>
        </w:tc>
        <w:tc>
          <w:tcPr>
            <w:tcW w:w="2400" w:type="dxa"/>
            <w:tcBorders>
              <w:top w:val="nil"/>
              <w:left w:val="nil"/>
              <w:bottom w:val="single" w:sz="4" w:space="0" w:color="000000"/>
              <w:right w:val="single" w:sz="4" w:space="0" w:color="000000"/>
            </w:tcBorders>
            <w:shd w:val="clear" w:color="auto" w:fill="auto"/>
            <w:vAlign w:val="center"/>
          </w:tcPr>
          <w:p w14:paraId="726989A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55D2898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08F40E4A"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15D4F07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2519FF4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71638F9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1388D8F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3F95E3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67D4D40B"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77C54"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Establecer línea de tiempo propuesta con metas e hitos claves.</w:t>
            </w:r>
          </w:p>
        </w:tc>
        <w:tc>
          <w:tcPr>
            <w:tcW w:w="2400" w:type="dxa"/>
            <w:tcBorders>
              <w:top w:val="nil"/>
              <w:left w:val="nil"/>
              <w:bottom w:val="single" w:sz="4" w:space="0" w:color="000000"/>
              <w:right w:val="single" w:sz="4" w:space="0" w:color="000000"/>
            </w:tcBorders>
            <w:shd w:val="clear" w:color="auto" w:fill="auto"/>
            <w:vAlign w:val="center"/>
          </w:tcPr>
          <w:p w14:paraId="4D19839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66DB542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07397EB9"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43BF250C"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16FD0CC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04E0432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A7DEC1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BD7FB6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694C29DB"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78F39"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Acordar propuesta de gobernanza.</w:t>
            </w:r>
          </w:p>
        </w:tc>
        <w:tc>
          <w:tcPr>
            <w:tcW w:w="2400" w:type="dxa"/>
            <w:tcBorders>
              <w:top w:val="nil"/>
              <w:left w:val="nil"/>
              <w:bottom w:val="single" w:sz="4" w:space="0" w:color="000000"/>
              <w:right w:val="single" w:sz="4" w:space="0" w:color="000000"/>
            </w:tcBorders>
            <w:shd w:val="clear" w:color="auto" w:fill="auto"/>
            <w:vAlign w:val="center"/>
          </w:tcPr>
          <w:p w14:paraId="6A9E66C1"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59D8ED6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72195D57"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21EBE4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0076846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5DC16E3B"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0AEA3F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6D58B4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2FFBA902"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EB052"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ml:space="preserve">Visión territorial de metas propuestas </w:t>
            </w:r>
          </w:p>
        </w:tc>
        <w:tc>
          <w:tcPr>
            <w:tcW w:w="2400" w:type="dxa"/>
            <w:tcBorders>
              <w:top w:val="nil"/>
              <w:left w:val="nil"/>
              <w:bottom w:val="single" w:sz="4" w:space="0" w:color="000000"/>
              <w:right w:val="single" w:sz="4" w:space="0" w:color="000000"/>
            </w:tcBorders>
            <w:shd w:val="clear" w:color="auto" w:fill="auto"/>
            <w:vAlign w:val="center"/>
          </w:tcPr>
          <w:p w14:paraId="44EEF3A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1E05706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51B533F8"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F979F2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66C1E19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36F7C40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A27410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EF60A7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10F4889A"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F7349"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Validación con grupo de expertos y actores clave.</w:t>
            </w:r>
          </w:p>
        </w:tc>
        <w:tc>
          <w:tcPr>
            <w:tcW w:w="2400" w:type="dxa"/>
            <w:tcBorders>
              <w:top w:val="nil"/>
              <w:left w:val="nil"/>
              <w:bottom w:val="single" w:sz="4" w:space="0" w:color="000000"/>
              <w:right w:val="single" w:sz="4" w:space="0" w:color="000000"/>
            </w:tcBorders>
            <w:shd w:val="clear" w:color="auto" w:fill="auto"/>
            <w:vAlign w:val="center"/>
          </w:tcPr>
          <w:p w14:paraId="6E46B53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29A42A2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19F1BBD0"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9BEE36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B26627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6A9B9790"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6E125B95"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1504F0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551CA8DC" w14:textId="77777777" w:rsidTr="00844090">
        <w:trPr>
          <w:trHeight w:val="260"/>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9333F"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Elaboración documento preliminar de plan: acciones clave para alcanzar las metas (qué, quiénes, cómo y cuándo).</w:t>
            </w:r>
          </w:p>
        </w:tc>
        <w:tc>
          <w:tcPr>
            <w:tcW w:w="2400" w:type="dxa"/>
            <w:tcBorders>
              <w:top w:val="nil"/>
              <w:left w:val="nil"/>
              <w:bottom w:val="single" w:sz="4" w:space="0" w:color="000000"/>
              <w:right w:val="single" w:sz="4" w:space="0" w:color="000000"/>
            </w:tcBorders>
            <w:shd w:val="clear" w:color="auto" w:fill="auto"/>
            <w:vAlign w:val="center"/>
          </w:tcPr>
          <w:p w14:paraId="179FAD50"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63C89D1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223F830E"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99361AF"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2617803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6E9EB1B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5915B83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148E8ED"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4C7E129D"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F280D" w14:textId="4238703B"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ml:space="preserve">4  Elaboración documento de estrategia financiera, construido en paralelo, al interior de los procesos anteriores. Cuándo cuesta y cómo se espera financiarlo. Análisis de brechas y </w:t>
            </w:r>
            <w:r w:rsidR="00B51E12" w:rsidRPr="00844090">
              <w:rPr>
                <w:rFonts w:ascii="Arial Narrow" w:eastAsia="Arial Narrow" w:hAnsi="Arial Narrow" w:cs="Arial Narrow"/>
                <w:color w:val="000000"/>
                <w:sz w:val="16"/>
                <w:szCs w:val="16"/>
              </w:rPr>
              <w:t>plan</w:t>
            </w:r>
            <w:r w:rsidRPr="00844090">
              <w:rPr>
                <w:rFonts w:ascii="Arial Narrow" w:eastAsia="Arial Narrow" w:hAnsi="Arial Narrow" w:cs="Arial Narrow"/>
                <w:color w:val="000000"/>
                <w:sz w:val="16"/>
                <w:szCs w:val="16"/>
              </w:rPr>
              <w:t xml:space="preserve"> </w:t>
            </w:r>
            <w:r w:rsidR="00B51E12" w:rsidRPr="00844090">
              <w:rPr>
                <w:rFonts w:ascii="Arial Narrow" w:eastAsia="Arial Narrow" w:hAnsi="Arial Narrow" w:cs="Arial Narrow"/>
                <w:color w:val="000000"/>
                <w:sz w:val="16"/>
                <w:szCs w:val="16"/>
              </w:rPr>
              <w:t>financiero</w:t>
            </w:r>
          </w:p>
        </w:tc>
        <w:tc>
          <w:tcPr>
            <w:tcW w:w="2400" w:type="dxa"/>
            <w:tcBorders>
              <w:top w:val="nil"/>
              <w:left w:val="nil"/>
              <w:bottom w:val="single" w:sz="4" w:space="0" w:color="000000"/>
              <w:right w:val="single" w:sz="4" w:space="0" w:color="000000"/>
            </w:tcBorders>
            <w:shd w:val="clear" w:color="auto" w:fill="auto"/>
            <w:vAlign w:val="center"/>
          </w:tcPr>
          <w:p w14:paraId="66D0313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 - ETA</w:t>
            </w:r>
          </w:p>
        </w:tc>
        <w:tc>
          <w:tcPr>
            <w:tcW w:w="1651" w:type="dxa"/>
            <w:tcBorders>
              <w:top w:val="nil"/>
              <w:left w:val="nil"/>
              <w:bottom w:val="single" w:sz="4" w:space="0" w:color="000000"/>
              <w:right w:val="single" w:sz="4" w:space="0" w:color="000000"/>
            </w:tcBorders>
            <w:shd w:val="clear" w:color="auto" w:fill="auto"/>
            <w:vAlign w:val="center"/>
          </w:tcPr>
          <w:p w14:paraId="5BFC270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372058A"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784B82B4"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03E2321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1" w:type="dxa"/>
            <w:tcBorders>
              <w:top w:val="nil"/>
              <w:left w:val="nil"/>
              <w:bottom w:val="single" w:sz="4" w:space="0" w:color="000000"/>
              <w:right w:val="single" w:sz="4" w:space="0" w:color="000000"/>
            </w:tcBorders>
            <w:shd w:val="clear" w:color="auto" w:fill="auto"/>
            <w:vAlign w:val="center"/>
          </w:tcPr>
          <w:p w14:paraId="17A8A28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center"/>
          </w:tcPr>
          <w:p w14:paraId="3B70E147"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747F236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r>
      <w:tr w:rsidR="00844090" w14:paraId="369E8A1E"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4D1E7" w14:textId="00FB4361"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5  Elaboración de documento integrado: estrategia + plan financier</w:t>
            </w:r>
            <w:r w:rsidR="00B51E12" w:rsidRPr="00844090">
              <w:rPr>
                <w:rFonts w:ascii="Arial Narrow" w:eastAsia="Arial Narrow" w:hAnsi="Arial Narrow" w:cs="Arial Narrow"/>
                <w:color w:val="000000"/>
                <w:sz w:val="16"/>
                <w:szCs w:val="16"/>
              </w:rPr>
              <w:t>o</w:t>
            </w:r>
          </w:p>
        </w:tc>
        <w:tc>
          <w:tcPr>
            <w:tcW w:w="2400" w:type="dxa"/>
            <w:tcBorders>
              <w:top w:val="nil"/>
              <w:left w:val="nil"/>
              <w:bottom w:val="single" w:sz="4" w:space="0" w:color="000000"/>
              <w:right w:val="single" w:sz="4" w:space="0" w:color="000000"/>
            </w:tcBorders>
            <w:shd w:val="clear" w:color="auto" w:fill="auto"/>
            <w:vAlign w:val="center"/>
          </w:tcPr>
          <w:p w14:paraId="3B458E91"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GTR-ETA</w:t>
            </w:r>
          </w:p>
        </w:tc>
        <w:tc>
          <w:tcPr>
            <w:tcW w:w="1651" w:type="dxa"/>
            <w:tcBorders>
              <w:top w:val="nil"/>
              <w:left w:val="nil"/>
              <w:bottom w:val="single" w:sz="4" w:space="0" w:color="000000"/>
              <w:right w:val="single" w:sz="4" w:space="0" w:color="000000"/>
            </w:tcBorders>
            <w:shd w:val="clear" w:color="auto" w:fill="auto"/>
            <w:vAlign w:val="center"/>
          </w:tcPr>
          <w:p w14:paraId="767B300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6EEF920D"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7C2FE6C"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EA75F4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45FE41B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w:t>
            </w:r>
          </w:p>
        </w:tc>
        <w:tc>
          <w:tcPr>
            <w:tcW w:w="430" w:type="dxa"/>
            <w:tcBorders>
              <w:top w:val="nil"/>
              <w:left w:val="nil"/>
              <w:bottom w:val="single" w:sz="4" w:space="0" w:color="000000"/>
              <w:right w:val="single" w:sz="4" w:space="0" w:color="000000"/>
            </w:tcBorders>
            <w:shd w:val="clear" w:color="auto" w:fill="auto"/>
            <w:vAlign w:val="center"/>
          </w:tcPr>
          <w:p w14:paraId="462BE20C"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1C8BB4A9" w14:textId="77777777" w:rsidR="00EA0A65" w:rsidRPr="00844090" w:rsidRDefault="00EA0A65">
            <w:pPr>
              <w:jc w:val="center"/>
              <w:rPr>
                <w:rFonts w:ascii="Arial Narrow" w:eastAsia="Arial Narrow" w:hAnsi="Arial Narrow" w:cs="Arial Narrow"/>
                <w:color w:val="000000"/>
                <w:sz w:val="16"/>
                <w:szCs w:val="16"/>
              </w:rPr>
            </w:pPr>
          </w:p>
        </w:tc>
      </w:tr>
      <w:tr w:rsidR="00844090" w14:paraId="58EEEE5A" w14:textId="77777777" w:rsidTr="00844090">
        <w:trPr>
          <w:trHeight w:val="88"/>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6530955E"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6  Proceso de consulta pública</w:t>
            </w:r>
          </w:p>
          <w:p w14:paraId="13DF2EA9"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Diseño del proceso participativo. Validación por grupos y en proceso multiactor.</w:t>
            </w:r>
          </w:p>
          <w:p w14:paraId="740DD85E"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Revisión en espacios de participación existentes o convocados ad-hoc</w:t>
            </w:r>
          </w:p>
          <w:p w14:paraId="52327938"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Actualización del Mapa de Actores y balance de la participación articulada de los actores públicos y privados relevantes para la estrategia de intervención</w:t>
            </w:r>
          </w:p>
        </w:tc>
        <w:tc>
          <w:tcPr>
            <w:tcW w:w="2400" w:type="dxa"/>
            <w:tcBorders>
              <w:top w:val="single" w:sz="4" w:space="0" w:color="000000"/>
              <w:left w:val="nil"/>
              <w:bottom w:val="single" w:sz="4" w:space="0" w:color="000000"/>
              <w:right w:val="single" w:sz="4" w:space="0" w:color="000000"/>
            </w:tcBorders>
            <w:shd w:val="clear" w:color="auto" w:fill="auto"/>
            <w:vAlign w:val="center"/>
          </w:tcPr>
          <w:p w14:paraId="756148E9"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GTR-ETA</w:t>
            </w:r>
          </w:p>
        </w:tc>
        <w:tc>
          <w:tcPr>
            <w:tcW w:w="1651" w:type="dxa"/>
            <w:tcBorders>
              <w:top w:val="single" w:sz="4" w:space="0" w:color="000000"/>
              <w:left w:val="nil"/>
              <w:bottom w:val="single" w:sz="4" w:space="0" w:color="000000"/>
              <w:right w:val="single" w:sz="4" w:space="0" w:color="000000"/>
            </w:tcBorders>
            <w:shd w:val="clear" w:color="auto" w:fill="auto"/>
            <w:vAlign w:val="center"/>
          </w:tcPr>
          <w:p w14:paraId="3036FE3E"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single" w:sz="4" w:space="0" w:color="000000"/>
              <w:left w:val="nil"/>
              <w:bottom w:val="single" w:sz="4" w:space="0" w:color="000000"/>
              <w:right w:val="single" w:sz="4" w:space="0" w:color="000000"/>
            </w:tcBorders>
            <w:shd w:val="clear" w:color="auto" w:fill="auto"/>
            <w:vAlign w:val="center"/>
          </w:tcPr>
          <w:p w14:paraId="48C46411"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single" w:sz="4" w:space="0" w:color="000000"/>
              <w:left w:val="nil"/>
              <w:bottom w:val="single" w:sz="4" w:space="0" w:color="000000"/>
              <w:right w:val="single" w:sz="4" w:space="0" w:color="000000"/>
            </w:tcBorders>
            <w:shd w:val="clear" w:color="auto" w:fill="auto"/>
            <w:vAlign w:val="center"/>
          </w:tcPr>
          <w:p w14:paraId="313FCE52"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single" w:sz="4" w:space="0" w:color="000000"/>
              <w:left w:val="nil"/>
              <w:bottom w:val="single" w:sz="4" w:space="0" w:color="000000"/>
              <w:right w:val="single" w:sz="4" w:space="0" w:color="000000"/>
            </w:tcBorders>
            <w:shd w:val="clear" w:color="auto" w:fill="auto"/>
            <w:vAlign w:val="center"/>
          </w:tcPr>
          <w:p w14:paraId="77DAFA13" w14:textId="77777777" w:rsidR="00EA0A65" w:rsidRPr="00844090" w:rsidRDefault="00EA0A65">
            <w:pPr>
              <w:jc w:val="center"/>
              <w:rPr>
                <w:rFonts w:ascii="Arial Narrow" w:eastAsia="Arial Narrow" w:hAnsi="Arial Narrow" w:cs="Arial Narrow"/>
                <w:color w:val="000000"/>
                <w:sz w:val="16"/>
                <w:szCs w:val="16"/>
              </w:rPr>
            </w:pPr>
          </w:p>
        </w:tc>
        <w:tc>
          <w:tcPr>
            <w:tcW w:w="431" w:type="dxa"/>
            <w:tcBorders>
              <w:top w:val="single" w:sz="4" w:space="0" w:color="000000"/>
              <w:left w:val="nil"/>
              <w:bottom w:val="single" w:sz="4" w:space="0" w:color="000000"/>
              <w:right w:val="single" w:sz="4" w:space="0" w:color="000000"/>
            </w:tcBorders>
            <w:shd w:val="clear" w:color="auto" w:fill="auto"/>
            <w:vAlign w:val="center"/>
          </w:tcPr>
          <w:p w14:paraId="26B8A663"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single" w:sz="4" w:space="0" w:color="000000"/>
              <w:left w:val="nil"/>
              <w:bottom w:val="single" w:sz="4" w:space="0" w:color="000000"/>
              <w:right w:val="single" w:sz="4" w:space="0" w:color="000000"/>
            </w:tcBorders>
            <w:shd w:val="clear" w:color="auto" w:fill="auto"/>
            <w:vAlign w:val="center"/>
          </w:tcPr>
          <w:p w14:paraId="14D3E4A2"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single" w:sz="4" w:space="0" w:color="000000"/>
              <w:left w:val="nil"/>
              <w:bottom w:val="single" w:sz="4" w:space="0" w:color="000000"/>
              <w:right w:val="single" w:sz="4" w:space="0" w:color="000000"/>
            </w:tcBorders>
            <w:shd w:val="clear" w:color="auto" w:fill="auto"/>
            <w:vAlign w:val="center"/>
          </w:tcPr>
          <w:p w14:paraId="1FF6C4F7" w14:textId="77777777" w:rsidR="00EA0A65" w:rsidRPr="00844090" w:rsidRDefault="00EA0A65">
            <w:pPr>
              <w:jc w:val="center"/>
              <w:rPr>
                <w:rFonts w:ascii="Arial Narrow" w:eastAsia="Arial Narrow" w:hAnsi="Arial Narrow" w:cs="Arial Narrow"/>
                <w:color w:val="000000"/>
                <w:sz w:val="16"/>
                <w:szCs w:val="16"/>
              </w:rPr>
            </w:pPr>
          </w:p>
        </w:tc>
      </w:tr>
      <w:tr w:rsidR="00844090" w14:paraId="0BF84857" w14:textId="77777777" w:rsidTr="00844090">
        <w:trPr>
          <w:trHeight w:val="116"/>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9B9E6"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7  Integración de aportes y elaboración de versión 2</w:t>
            </w:r>
          </w:p>
        </w:tc>
        <w:tc>
          <w:tcPr>
            <w:tcW w:w="2400" w:type="dxa"/>
            <w:tcBorders>
              <w:top w:val="nil"/>
              <w:left w:val="nil"/>
              <w:bottom w:val="single" w:sz="4" w:space="0" w:color="000000"/>
              <w:right w:val="single" w:sz="4" w:space="0" w:color="000000"/>
            </w:tcBorders>
            <w:shd w:val="clear" w:color="auto" w:fill="auto"/>
            <w:vAlign w:val="bottom"/>
          </w:tcPr>
          <w:p w14:paraId="1DCD642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EII-GTR</w:t>
            </w:r>
          </w:p>
        </w:tc>
        <w:tc>
          <w:tcPr>
            <w:tcW w:w="1651" w:type="dxa"/>
            <w:tcBorders>
              <w:top w:val="nil"/>
              <w:left w:val="nil"/>
              <w:bottom w:val="single" w:sz="4" w:space="0" w:color="000000"/>
              <w:right w:val="single" w:sz="4" w:space="0" w:color="000000"/>
            </w:tcBorders>
            <w:shd w:val="clear" w:color="auto" w:fill="auto"/>
            <w:vAlign w:val="bottom"/>
          </w:tcPr>
          <w:p w14:paraId="6B87FD76"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bottom"/>
          </w:tcPr>
          <w:p w14:paraId="5B139B24"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bottom"/>
          </w:tcPr>
          <w:p w14:paraId="1A3396E9"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bottom"/>
          </w:tcPr>
          <w:p w14:paraId="48313286" w14:textId="77777777" w:rsidR="00EA0A65" w:rsidRPr="00844090" w:rsidRDefault="00EA0A65">
            <w:pPr>
              <w:jc w:val="center"/>
              <w:rPr>
                <w:rFonts w:ascii="Arial Narrow" w:eastAsia="Arial Narrow" w:hAnsi="Arial Narrow" w:cs="Arial Narrow"/>
                <w:color w:val="000000"/>
                <w:sz w:val="16"/>
                <w:szCs w:val="16"/>
              </w:rPr>
            </w:pPr>
          </w:p>
        </w:tc>
        <w:tc>
          <w:tcPr>
            <w:tcW w:w="431" w:type="dxa"/>
            <w:tcBorders>
              <w:top w:val="nil"/>
              <w:left w:val="nil"/>
              <w:bottom w:val="single" w:sz="4" w:space="0" w:color="000000"/>
              <w:right w:val="single" w:sz="4" w:space="0" w:color="000000"/>
            </w:tcBorders>
            <w:shd w:val="clear" w:color="auto" w:fill="auto"/>
            <w:vAlign w:val="bottom"/>
          </w:tcPr>
          <w:p w14:paraId="226C1C44"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bottom"/>
          </w:tcPr>
          <w:p w14:paraId="2885318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bottom"/>
          </w:tcPr>
          <w:p w14:paraId="18C9ACD6" w14:textId="77777777" w:rsidR="00EA0A65" w:rsidRPr="00844090" w:rsidRDefault="00EA0A65">
            <w:pPr>
              <w:rPr>
                <w:rFonts w:ascii="Arial Narrow" w:eastAsia="Arial Narrow" w:hAnsi="Arial Narrow" w:cs="Arial Narrow"/>
                <w:color w:val="000000"/>
                <w:sz w:val="16"/>
                <w:szCs w:val="16"/>
              </w:rPr>
            </w:pPr>
          </w:p>
        </w:tc>
      </w:tr>
      <w:tr w:rsidR="00844090" w14:paraId="424BB588"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F6575"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8. Presentación de versión 2 con aportes y acuerdos con actores clave. Talleres con grupos de actores para revisión.</w:t>
            </w:r>
          </w:p>
        </w:tc>
        <w:tc>
          <w:tcPr>
            <w:tcW w:w="2400" w:type="dxa"/>
            <w:tcBorders>
              <w:top w:val="nil"/>
              <w:left w:val="nil"/>
              <w:bottom w:val="single" w:sz="4" w:space="0" w:color="000000"/>
              <w:right w:val="single" w:sz="4" w:space="0" w:color="000000"/>
            </w:tcBorders>
            <w:shd w:val="clear" w:color="auto" w:fill="auto"/>
            <w:vAlign w:val="center"/>
          </w:tcPr>
          <w:p w14:paraId="1F7404F6"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w:t>
            </w:r>
          </w:p>
        </w:tc>
        <w:tc>
          <w:tcPr>
            <w:tcW w:w="1651" w:type="dxa"/>
            <w:tcBorders>
              <w:top w:val="nil"/>
              <w:left w:val="nil"/>
              <w:bottom w:val="single" w:sz="4" w:space="0" w:color="000000"/>
              <w:right w:val="single" w:sz="4" w:space="0" w:color="000000"/>
            </w:tcBorders>
            <w:shd w:val="clear" w:color="auto" w:fill="auto"/>
            <w:vAlign w:val="center"/>
          </w:tcPr>
          <w:p w14:paraId="40EF0179"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2C1849F6"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3ADA3563"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603EFAB1"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6B244F6F"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bottom"/>
          </w:tcPr>
          <w:p w14:paraId="6B084E2E"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c>
          <w:tcPr>
            <w:tcW w:w="430" w:type="dxa"/>
            <w:tcBorders>
              <w:top w:val="nil"/>
              <w:left w:val="nil"/>
              <w:bottom w:val="single" w:sz="4" w:space="0" w:color="000000"/>
              <w:right w:val="single" w:sz="4" w:space="0" w:color="000000"/>
            </w:tcBorders>
            <w:shd w:val="clear" w:color="auto" w:fill="auto"/>
            <w:vAlign w:val="bottom"/>
          </w:tcPr>
          <w:p w14:paraId="38AC3A7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r>
      <w:tr w:rsidR="00844090" w14:paraId="2CDB7304"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F520"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Documento final para aprobación mediante ordenanza regional</w:t>
            </w:r>
          </w:p>
        </w:tc>
        <w:tc>
          <w:tcPr>
            <w:tcW w:w="2400" w:type="dxa"/>
            <w:tcBorders>
              <w:top w:val="nil"/>
              <w:left w:val="nil"/>
              <w:bottom w:val="single" w:sz="4" w:space="0" w:color="000000"/>
              <w:right w:val="single" w:sz="4" w:space="0" w:color="000000"/>
            </w:tcBorders>
            <w:shd w:val="clear" w:color="auto" w:fill="auto"/>
            <w:vAlign w:val="center"/>
          </w:tcPr>
          <w:p w14:paraId="60EBBAD8"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GTR-EII</w:t>
            </w:r>
          </w:p>
        </w:tc>
        <w:tc>
          <w:tcPr>
            <w:tcW w:w="1651" w:type="dxa"/>
            <w:tcBorders>
              <w:top w:val="nil"/>
              <w:left w:val="nil"/>
              <w:bottom w:val="single" w:sz="4" w:space="0" w:color="000000"/>
              <w:right w:val="single" w:sz="4" w:space="0" w:color="000000"/>
            </w:tcBorders>
            <w:shd w:val="clear" w:color="auto" w:fill="auto"/>
            <w:vAlign w:val="center"/>
          </w:tcPr>
          <w:p w14:paraId="4E6BD1CD"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tcPr>
          <w:p w14:paraId="195C7D71"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0C4514F9"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51423B6B"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1" w:type="dxa"/>
            <w:tcBorders>
              <w:top w:val="nil"/>
              <w:left w:val="nil"/>
              <w:bottom w:val="single" w:sz="4" w:space="0" w:color="000000"/>
              <w:right w:val="single" w:sz="4" w:space="0" w:color="000000"/>
            </w:tcBorders>
            <w:shd w:val="clear" w:color="auto" w:fill="auto"/>
            <w:vAlign w:val="center"/>
          </w:tcPr>
          <w:p w14:paraId="74EE6317" w14:textId="77777777" w:rsidR="00EA0A65" w:rsidRPr="00844090" w:rsidRDefault="002959E9">
            <w:pPr>
              <w:jc w:val="cente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w:t>
            </w:r>
          </w:p>
        </w:tc>
        <w:tc>
          <w:tcPr>
            <w:tcW w:w="430" w:type="dxa"/>
            <w:tcBorders>
              <w:top w:val="nil"/>
              <w:left w:val="nil"/>
              <w:bottom w:val="single" w:sz="4" w:space="0" w:color="000000"/>
              <w:right w:val="single" w:sz="4" w:space="0" w:color="000000"/>
            </w:tcBorders>
            <w:shd w:val="clear" w:color="auto" w:fill="auto"/>
            <w:vAlign w:val="center"/>
          </w:tcPr>
          <w:p w14:paraId="785C66C8" w14:textId="77777777" w:rsidR="00EA0A65" w:rsidRPr="00844090" w:rsidRDefault="00EA0A65">
            <w:pPr>
              <w:jc w:val="cente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0BE0098F"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 X</w:t>
            </w:r>
          </w:p>
        </w:tc>
      </w:tr>
      <w:tr w:rsidR="00844090" w14:paraId="0801D821" w14:textId="77777777" w:rsidTr="00844090">
        <w:trPr>
          <w:trHeight w:val="59"/>
        </w:trPr>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EEF16" w14:textId="77777777" w:rsidR="00EA0A65" w:rsidRPr="00844090" w:rsidRDefault="002959E9">
            <w:pPr>
              <w:jc w:val="both"/>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9. Informe del Proceso</w:t>
            </w:r>
          </w:p>
        </w:tc>
        <w:tc>
          <w:tcPr>
            <w:tcW w:w="2400" w:type="dxa"/>
            <w:tcBorders>
              <w:top w:val="nil"/>
              <w:left w:val="nil"/>
              <w:bottom w:val="single" w:sz="4" w:space="0" w:color="000000"/>
              <w:right w:val="single" w:sz="4" w:space="0" w:color="000000"/>
            </w:tcBorders>
            <w:shd w:val="clear" w:color="auto" w:fill="auto"/>
            <w:vAlign w:val="center"/>
          </w:tcPr>
          <w:p w14:paraId="506705DE" w14:textId="77777777" w:rsidR="00EA0A65" w:rsidRPr="00844090" w:rsidRDefault="00EA0A65">
            <w:pPr>
              <w:rPr>
                <w:rFonts w:ascii="Arial Narrow" w:eastAsia="Arial Narrow" w:hAnsi="Arial Narrow" w:cs="Arial Narrow"/>
                <w:color w:val="000000"/>
                <w:sz w:val="16"/>
                <w:szCs w:val="16"/>
              </w:rPr>
            </w:pPr>
          </w:p>
        </w:tc>
        <w:tc>
          <w:tcPr>
            <w:tcW w:w="1651" w:type="dxa"/>
            <w:tcBorders>
              <w:top w:val="nil"/>
              <w:left w:val="nil"/>
              <w:bottom w:val="single" w:sz="4" w:space="0" w:color="000000"/>
              <w:right w:val="single" w:sz="4" w:space="0" w:color="000000"/>
            </w:tcBorders>
            <w:shd w:val="clear" w:color="auto" w:fill="auto"/>
            <w:vAlign w:val="center"/>
          </w:tcPr>
          <w:p w14:paraId="1B58FEA0" w14:textId="77777777" w:rsidR="00EA0A65" w:rsidRPr="00844090" w:rsidRDefault="00EA0A65">
            <w:pP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402D05F5" w14:textId="77777777" w:rsidR="00EA0A65" w:rsidRPr="00844090" w:rsidRDefault="00EA0A65">
            <w:pP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tcPr>
          <w:p w14:paraId="1A4A6CEF" w14:textId="77777777" w:rsidR="00EA0A65" w:rsidRPr="00844090" w:rsidRDefault="00EA0A65">
            <w:pP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3441DA00" w14:textId="77777777" w:rsidR="00EA0A65" w:rsidRPr="00844090" w:rsidRDefault="00EA0A65">
            <w:pPr>
              <w:rPr>
                <w:rFonts w:ascii="Arial Narrow" w:eastAsia="Arial Narrow" w:hAnsi="Arial Narrow" w:cs="Arial Narrow"/>
                <w:color w:val="000000"/>
                <w:sz w:val="16"/>
                <w:szCs w:val="16"/>
              </w:rPr>
            </w:pPr>
          </w:p>
        </w:tc>
        <w:tc>
          <w:tcPr>
            <w:tcW w:w="431" w:type="dxa"/>
            <w:tcBorders>
              <w:top w:val="nil"/>
              <w:left w:val="nil"/>
              <w:bottom w:val="single" w:sz="4" w:space="0" w:color="000000"/>
              <w:right w:val="single" w:sz="4" w:space="0" w:color="000000"/>
            </w:tcBorders>
            <w:shd w:val="clear" w:color="auto" w:fill="auto"/>
            <w:vAlign w:val="center"/>
          </w:tcPr>
          <w:p w14:paraId="5D550F49" w14:textId="77777777" w:rsidR="00EA0A65" w:rsidRPr="00844090" w:rsidRDefault="00EA0A65">
            <w:pP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233842D5" w14:textId="77777777" w:rsidR="00EA0A65" w:rsidRPr="00844090" w:rsidRDefault="00EA0A65">
            <w:pPr>
              <w:rPr>
                <w:rFonts w:ascii="Arial Narrow" w:eastAsia="Arial Narrow" w:hAnsi="Arial Narrow" w:cs="Arial Narrow"/>
                <w:color w:val="000000"/>
                <w:sz w:val="16"/>
                <w:szCs w:val="16"/>
              </w:rPr>
            </w:pPr>
          </w:p>
        </w:tc>
        <w:tc>
          <w:tcPr>
            <w:tcW w:w="430" w:type="dxa"/>
            <w:tcBorders>
              <w:top w:val="nil"/>
              <w:left w:val="nil"/>
              <w:bottom w:val="single" w:sz="4" w:space="0" w:color="000000"/>
              <w:right w:val="single" w:sz="4" w:space="0" w:color="000000"/>
            </w:tcBorders>
            <w:shd w:val="clear" w:color="auto" w:fill="auto"/>
            <w:vAlign w:val="center"/>
          </w:tcPr>
          <w:p w14:paraId="40689AA7" w14:textId="77777777" w:rsidR="00EA0A65" w:rsidRPr="00844090" w:rsidRDefault="002959E9">
            <w:pPr>
              <w:rPr>
                <w:rFonts w:ascii="Arial Narrow" w:eastAsia="Arial Narrow" w:hAnsi="Arial Narrow" w:cs="Arial Narrow"/>
                <w:color w:val="000000"/>
                <w:sz w:val="16"/>
                <w:szCs w:val="16"/>
              </w:rPr>
            </w:pPr>
            <w:r w:rsidRPr="00844090">
              <w:rPr>
                <w:rFonts w:ascii="Arial Narrow" w:eastAsia="Arial Narrow" w:hAnsi="Arial Narrow" w:cs="Arial Narrow"/>
                <w:color w:val="000000"/>
                <w:sz w:val="16"/>
                <w:szCs w:val="16"/>
              </w:rPr>
              <w:t>X</w:t>
            </w:r>
          </w:p>
        </w:tc>
      </w:tr>
    </w:tbl>
    <w:p w14:paraId="5F4BD4BE" w14:textId="16EEF498" w:rsidR="00EA0A65" w:rsidRDefault="002959E9" w:rsidP="00844090">
      <w:pPr>
        <w:widowControl w:val="0"/>
        <w:ind w:left="-567" w:right="-567"/>
        <w:jc w:val="center"/>
        <w:rPr>
          <w:rFonts w:ascii="Arial Narrow" w:eastAsia="Arial Narrow" w:hAnsi="Arial Narrow" w:cs="Arial Narrow"/>
          <w:sz w:val="16"/>
          <w:szCs w:val="16"/>
        </w:rPr>
      </w:pPr>
      <w:bookmarkStart w:id="15" w:name="_lnxbz9" w:colFirst="0" w:colLast="0"/>
      <w:bookmarkEnd w:id="15"/>
      <w:r>
        <w:rPr>
          <w:rFonts w:ascii="Arial Narrow" w:eastAsia="Arial Narrow" w:hAnsi="Arial Narrow" w:cs="Arial Narrow"/>
          <w:sz w:val="16"/>
          <w:szCs w:val="16"/>
        </w:rPr>
        <w:t>Fuente: elaboración propia</w:t>
      </w:r>
    </w:p>
    <w:p w14:paraId="7B2D6758" w14:textId="77777777" w:rsidR="00EA0A65" w:rsidRDefault="00EA0A65">
      <w:pPr>
        <w:widowControl w:val="0"/>
        <w:ind w:left="-567" w:right="-567"/>
        <w:jc w:val="both"/>
        <w:rPr>
          <w:rFonts w:ascii="Arial Narrow" w:eastAsia="Arial Narrow" w:hAnsi="Arial Narrow" w:cs="Arial Narrow"/>
          <w:sz w:val="20"/>
          <w:szCs w:val="20"/>
        </w:rPr>
      </w:pPr>
    </w:p>
    <w:p w14:paraId="17CFCB81" w14:textId="682A298F" w:rsidR="00EA0A65" w:rsidRDefault="00EA0A65">
      <w:pPr>
        <w:widowControl w:val="0"/>
        <w:pBdr>
          <w:top w:val="nil"/>
          <w:left w:val="nil"/>
          <w:bottom w:val="nil"/>
          <w:right w:val="nil"/>
          <w:between w:val="nil"/>
        </w:pBdr>
        <w:spacing w:line="276" w:lineRule="auto"/>
        <w:rPr>
          <w:rFonts w:ascii="Arial Narrow" w:eastAsia="Arial Narrow" w:hAnsi="Arial Narrow" w:cs="Arial Narrow"/>
          <w:sz w:val="20"/>
          <w:szCs w:val="20"/>
        </w:rPr>
        <w:sectPr w:rsidR="00EA0A65" w:rsidSect="00EE4210">
          <w:pgSz w:w="16840" w:h="11900" w:orient="landscape"/>
          <w:pgMar w:top="1440" w:right="1440" w:bottom="1440" w:left="1440" w:header="720" w:footer="720" w:gutter="0"/>
          <w:cols w:space="720"/>
          <w:docGrid w:linePitch="326"/>
        </w:sectPr>
      </w:pPr>
    </w:p>
    <w:p w14:paraId="19BEC47F" w14:textId="77777777" w:rsidR="00EA0A65" w:rsidRPr="003C2078" w:rsidRDefault="002959E9" w:rsidP="00EE4210">
      <w:pPr>
        <w:widowControl w:val="0"/>
        <w:pBdr>
          <w:top w:val="nil"/>
          <w:left w:val="nil"/>
          <w:bottom w:val="nil"/>
          <w:right w:val="nil"/>
          <w:between w:val="nil"/>
        </w:pBdr>
        <w:ind w:left="-284" w:right="-336"/>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lastRenderedPageBreak/>
        <w:t xml:space="preserve"> 1.</w:t>
      </w:r>
      <w:r w:rsidRPr="003C2078">
        <w:rPr>
          <w:rFonts w:ascii="Arial Narrow" w:eastAsia="Arial Narrow" w:hAnsi="Arial Narrow" w:cs="Arial Narrow"/>
          <w:b/>
          <w:color w:val="000000"/>
          <w:sz w:val="20"/>
          <w:szCs w:val="20"/>
        </w:rPr>
        <w:t>7     TEMAS TRANSVERSALES</w:t>
      </w:r>
    </w:p>
    <w:p w14:paraId="4684EB31" w14:textId="77777777" w:rsidR="00EA0A65" w:rsidRPr="003C2078" w:rsidRDefault="00EA0A65">
      <w:pPr>
        <w:ind w:left="-284" w:right="-336"/>
        <w:rPr>
          <w:rFonts w:ascii="Arial Narrow" w:eastAsia="Arial Narrow" w:hAnsi="Arial Narrow" w:cs="Arial Narrow"/>
          <w:b/>
          <w:sz w:val="20"/>
          <w:szCs w:val="20"/>
        </w:rPr>
      </w:pPr>
    </w:p>
    <w:p w14:paraId="743F9356" w14:textId="77777777" w:rsidR="00EA0A65" w:rsidRDefault="002959E9">
      <w:pPr>
        <w:ind w:left="-284" w:right="-336"/>
        <w:rPr>
          <w:rFonts w:ascii="Arial Narrow" w:eastAsia="Arial Narrow" w:hAnsi="Arial Narrow" w:cs="Arial Narrow"/>
          <w:b/>
          <w:sz w:val="20"/>
          <w:szCs w:val="20"/>
        </w:rPr>
      </w:pPr>
      <w:r w:rsidRPr="003C2078">
        <w:rPr>
          <w:rFonts w:ascii="Arial Narrow" w:eastAsia="Arial Narrow" w:hAnsi="Arial Narrow" w:cs="Arial Narrow"/>
          <w:b/>
          <w:sz w:val="20"/>
          <w:szCs w:val="20"/>
        </w:rPr>
        <w:t>Interacción con un marco normativo más amplio</w:t>
      </w:r>
      <w:r>
        <w:rPr>
          <w:rFonts w:ascii="Arial Narrow" w:eastAsia="Arial Narrow" w:hAnsi="Arial Narrow" w:cs="Arial Narrow"/>
          <w:b/>
          <w:sz w:val="20"/>
          <w:szCs w:val="20"/>
        </w:rPr>
        <w:t xml:space="preserve"> </w:t>
      </w:r>
    </w:p>
    <w:p w14:paraId="43D00115" w14:textId="77777777" w:rsidR="00305930" w:rsidRDefault="00305930">
      <w:pPr>
        <w:ind w:left="-284" w:right="-336"/>
        <w:jc w:val="both"/>
        <w:rPr>
          <w:rFonts w:ascii="Arial Narrow" w:eastAsia="Arial Narrow" w:hAnsi="Arial Narrow" w:cs="Arial Narrow"/>
          <w:sz w:val="20"/>
          <w:szCs w:val="20"/>
        </w:rPr>
      </w:pPr>
    </w:p>
    <w:p w14:paraId="77C63C45" w14:textId="4146BA08" w:rsidR="000F70BC" w:rsidRDefault="000F70BC" w:rsidP="000F70BC">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Tal como se ha señalado, en la Región Amazonas existen diferentes instrumentos de gestión aprobados (Ver Anexo I); siendo el más importante y vinculante el Plan de Desarrollo Regional Concertado. Este instrumento, que es aprobado por el Consejo Regional, orienta el desarrollo regional y define las principales metas de gestión para el Gobierno Regional. En ese sentido, es estratégico que la estrategia de desarrollo regional bajo en emisiones y su plan de inversión se articulen con el PDRC y los otros planes y políticas aprobadas a nivel regional como la Estrategia Regional sobre Diversidad Biológica. </w:t>
      </w:r>
      <w:r w:rsidR="00CA3CC4">
        <w:rPr>
          <w:rFonts w:ascii="Arial Narrow" w:eastAsia="Arial Narrow" w:hAnsi="Arial Narrow" w:cs="Arial Narrow"/>
          <w:sz w:val="20"/>
          <w:szCs w:val="20"/>
        </w:rPr>
        <w:t xml:space="preserve">La relación de instrumentos que serán analizados durante la ejecución del proyecto puede ser encontrada en el Anexo I. </w:t>
      </w:r>
    </w:p>
    <w:p w14:paraId="789F3072" w14:textId="77777777" w:rsidR="000F70BC" w:rsidRDefault="000F70BC" w:rsidP="000F70BC">
      <w:pPr>
        <w:ind w:left="-284" w:right="-336"/>
        <w:jc w:val="both"/>
        <w:rPr>
          <w:rFonts w:ascii="Arial Narrow" w:eastAsia="Arial Narrow" w:hAnsi="Arial Narrow" w:cs="Arial Narrow"/>
          <w:sz w:val="20"/>
          <w:szCs w:val="20"/>
        </w:rPr>
      </w:pPr>
    </w:p>
    <w:p w14:paraId="78466896" w14:textId="3F79C319" w:rsidR="000F70BC" w:rsidRDefault="000F70BC" w:rsidP="000F70BC">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De igual modo, se ha identificado que la estrategia y el plan de inversión deberá</w:t>
      </w:r>
      <w:r w:rsidR="00CA3CC4">
        <w:rPr>
          <w:rFonts w:ascii="Arial Narrow" w:eastAsia="Arial Narrow" w:hAnsi="Arial Narrow" w:cs="Arial Narrow"/>
          <w:sz w:val="20"/>
          <w:szCs w:val="20"/>
        </w:rPr>
        <w:t xml:space="preserve"> articularse con diferentes planes y programas nacionales como la Estrategia Nacional sobre Bosques y Cambio Climático, la Estrategia Nacional sobre Cambio Climático, el Plan de Implementación de la Fase II de la DCI y las medidas nacionales del sector USCUSS para la NDC. Cabe señalar que en el caso de la Región Amazonas resulta estratégico identificar el potencial aporte de esta región especialmente a la meta de “incentivos para conservación de bosques con comunidades nativas” de la Fase II. </w:t>
      </w:r>
    </w:p>
    <w:p w14:paraId="0F0C8556" w14:textId="77777777" w:rsidR="00CA3CC4" w:rsidRDefault="00CA3CC4" w:rsidP="000F70BC">
      <w:pPr>
        <w:ind w:left="-284" w:right="-336"/>
        <w:jc w:val="both"/>
        <w:rPr>
          <w:rFonts w:ascii="Arial Narrow" w:eastAsia="Arial Narrow" w:hAnsi="Arial Narrow" w:cs="Arial Narrow"/>
          <w:sz w:val="20"/>
          <w:szCs w:val="20"/>
        </w:rPr>
      </w:pPr>
    </w:p>
    <w:p w14:paraId="20023088" w14:textId="1B4C454F" w:rsidR="00CA3CC4" w:rsidRDefault="00CA3CC4" w:rsidP="00CA3CC4">
      <w:pPr>
        <w:ind w:left="-284" w:right="-336"/>
        <w:jc w:val="both"/>
        <w:rPr>
          <w:rFonts w:ascii="Arial Narrow" w:eastAsia="Arial Narrow" w:hAnsi="Arial Narrow" w:cs="Arial Narrow"/>
          <w:color w:val="FF0000"/>
          <w:sz w:val="20"/>
          <w:szCs w:val="20"/>
        </w:rPr>
      </w:pPr>
      <w:r>
        <w:rPr>
          <w:rFonts w:ascii="Arial Narrow" w:eastAsia="Arial Narrow" w:hAnsi="Arial Narrow" w:cs="Arial Narrow"/>
          <w:sz w:val="20"/>
          <w:szCs w:val="20"/>
        </w:rPr>
        <w:t xml:space="preserve">De esta manera la estrategia y plan alinearán -con una función de meta estrategia- el accionar de las áreas correspondientes a desarrollo económico (como agricultura, producción y promoción de inversión privada), con las de la autoridad ambiental (bosques, áreas protegidas), en un enfoque integral de paisaje y de desarrollo rural bajo en emisiones a través de la aproximación integrada de “producción – protección – inclusión”. Los aspectos de infraestructura, servicios públicos bajo desarrollo social y otras áreas del gobierno regional se alinearán con este enfoque. La construcción de una visión común dentro del gobierno regional y consensuado con el resto de actores permitirá alinear en forma positiva los intereses de los sectores, a través de incentivos positivos: desarrollo sostenible basado en las potencialidades antes que en prohibiciones. </w:t>
      </w:r>
    </w:p>
    <w:p w14:paraId="3DDC1761" w14:textId="77777777" w:rsidR="00CA3CC4" w:rsidRDefault="00CA3CC4" w:rsidP="000F70BC">
      <w:pPr>
        <w:ind w:left="-284" w:right="-336"/>
        <w:jc w:val="both"/>
        <w:rPr>
          <w:rFonts w:ascii="Arial Narrow" w:eastAsia="Arial Narrow" w:hAnsi="Arial Narrow" w:cs="Arial Narrow"/>
          <w:sz w:val="20"/>
          <w:szCs w:val="20"/>
        </w:rPr>
      </w:pPr>
    </w:p>
    <w:p w14:paraId="46043098" w14:textId="75AF815A" w:rsidR="00EA0A65" w:rsidRDefault="00CA3CC4">
      <w:pPr>
        <w:ind w:left="-284" w:right="-336"/>
        <w:jc w:val="both"/>
        <w:rPr>
          <w:rFonts w:ascii="Arial Narrow" w:eastAsia="Arial Narrow" w:hAnsi="Arial Narrow" w:cs="Arial Narrow"/>
          <w:b/>
          <w:sz w:val="20"/>
          <w:szCs w:val="20"/>
        </w:rPr>
      </w:pPr>
      <w:r>
        <w:rPr>
          <w:rFonts w:ascii="Arial Narrow" w:eastAsia="Arial Narrow" w:hAnsi="Arial Narrow" w:cs="Arial Narrow"/>
          <w:sz w:val="20"/>
          <w:szCs w:val="20"/>
        </w:rPr>
        <w:t xml:space="preserve">Para buscar una adecuada integración de esta propuesta a escala amazónica, las regiones peruanas miembros del </w:t>
      </w:r>
      <w:r w:rsidR="002959E9">
        <w:rPr>
          <w:rFonts w:ascii="Arial Narrow" w:eastAsia="Arial Narrow" w:hAnsi="Arial Narrow" w:cs="Arial Narrow"/>
          <w:sz w:val="20"/>
          <w:szCs w:val="20"/>
        </w:rPr>
        <w:t xml:space="preserve">GCF-TF </w:t>
      </w:r>
      <w:r>
        <w:rPr>
          <w:rFonts w:ascii="Arial Narrow" w:eastAsia="Arial Narrow" w:hAnsi="Arial Narrow" w:cs="Arial Narrow"/>
          <w:sz w:val="20"/>
          <w:szCs w:val="20"/>
        </w:rPr>
        <w:t xml:space="preserve">han concebido los Proyectos de la Ventanilla A para Perú como parte de un </w:t>
      </w:r>
      <w:r w:rsidR="002959E9">
        <w:rPr>
          <w:rFonts w:ascii="Arial Narrow" w:eastAsia="Arial Narrow" w:hAnsi="Arial Narrow" w:cs="Arial Narrow"/>
          <w:sz w:val="20"/>
          <w:szCs w:val="20"/>
        </w:rPr>
        <w:t>programa multi</w:t>
      </w:r>
      <w:r>
        <w:rPr>
          <w:rFonts w:ascii="Arial Narrow" w:eastAsia="Arial Narrow" w:hAnsi="Arial Narrow" w:cs="Arial Narrow"/>
          <w:sz w:val="20"/>
          <w:szCs w:val="20"/>
        </w:rPr>
        <w:t xml:space="preserve"> </w:t>
      </w:r>
      <w:r w:rsidR="002959E9">
        <w:rPr>
          <w:rFonts w:ascii="Arial Narrow" w:eastAsia="Arial Narrow" w:hAnsi="Arial Narrow" w:cs="Arial Narrow"/>
          <w:sz w:val="20"/>
          <w:szCs w:val="20"/>
        </w:rPr>
        <w:t>regiones</w:t>
      </w:r>
      <w:r>
        <w:rPr>
          <w:rFonts w:ascii="Arial Narrow" w:eastAsia="Arial Narrow" w:hAnsi="Arial Narrow" w:cs="Arial Narrow"/>
          <w:sz w:val="20"/>
          <w:szCs w:val="20"/>
        </w:rPr>
        <w:t xml:space="preserve"> en el que se buscará </w:t>
      </w:r>
      <w:r w:rsidR="002959E9">
        <w:rPr>
          <w:rFonts w:ascii="Arial Narrow" w:eastAsia="Arial Narrow" w:hAnsi="Arial Narrow" w:cs="Arial Narrow"/>
          <w:sz w:val="20"/>
          <w:szCs w:val="20"/>
        </w:rPr>
        <w:t>fortalecer los procesos interregionales en marcha en el país, facilitando la construcción de enfoques comunes, la consistencia entre los planes, y generar una eficiente articulación con el gobierno central y los procesos nacionales. El proceso facilitará la articulación con el gobierno nacional y las agencias de los sectores vinculados</w:t>
      </w:r>
      <w:r w:rsidR="002959E9">
        <w:rPr>
          <w:rFonts w:ascii="Arial Narrow" w:eastAsia="Arial Narrow" w:hAnsi="Arial Narrow" w:cs="Arial Narrow"/>
          <w:sz w:val="20"/>
          <w:szCs w:val="20"/>
          <w:vertAlign w:val="superscript"/>
        </w:rPr>
        <w:footnoteReference w:id="23"/>
      </w:r>
      <w:r w:rsidR="002959E9">
        <w:rPr>
          <w:rFonts w:ascii="Arial Narrow" w:eastAsia="Arial Narrow" w:hAnsi="Arial Narrow" w:cs="Arial Narrow"/>
          <w:sz w:val="20"/>
          <w:szCs w:val="20"/>
        </w:rPr>
        <w:t>, a través del comité de coordinación propuesto en la gobernanza del proceso</w:t>
      </w:r>
      <w:r w:rsidR="002959E9">
        <w:rPr>
          <w:rFonts w:ascii="Arial Narrow" w:eastAsia="Arial Narrow" w:hAnsi="Arial Narrow" w:cs="Arial Narrow"/>
          <w:sz w:val="20"/>
          <w:szCs w:val="20"/>
          <w:vertAlign w:val="superscript"/>
        </w:rPr>
        <w:footnoteReference w:id="24"/>
      </w:r>
      <w:r w:rsidR="002959E9">
        <w:rPr>
          <w:rFonts w:ascii="Arial Narrow" w:eastAsia="Arial Narrow" w:hAnsi="Arial Narrow" w:cs="Arial Narrow"/>
          <w:sz w:val="20"/>
          <w:szCs w:val="20"/>
        </w:rPr>
        <w:t xml:space="preserve">. La Parte Responsable actuará como secretaría de este Comité.  Este modelo brinda eficiencia en la coordinación multinivel y contribuye al empoderamiento de los gobiernos regionales en el proceso. </w:t>
      </w:r>
    </w:p>
    <w:p w14:paraId="29C915DB" w14:textId="77777777" w:rsidR="00EA0A65" w:rsidRDefault="00EA0A65">
      <w:pPr>
        <w:ind w:left="-284" w:right="-336"/>
        <w:jc w:val="both"/>
        <w:rPr>
          <w:rFonts w:ascii="Arial Narrow" w:eastAsia="Arial Narrow" w:hAnsi="Arial Narrow" w:cs="Arial Narrow"/>
          <w:sz w:val="20"/>
          <w:szCs w:val="20"/>
        </w:rPr>
      </w:pPr>
    </w:p>
    <w:p w14:paraId="35CA7DE8" w14:textId="77777777" w:rsidR="00EA0A65" w:rsidRDefault="002959E9">
      <w:pPr>
        <w:ind w:left="-284" w:right="-336"/>
        <w:rPr>
          <w:rFonts w:ascii="Arial Narrow" w:eastAsia="Arial Narrow" w:hAnsi="Arial Narrow" w:cs="Arial Narrow"/>
          <w:b/>
          <w:sz w:val="20"/>
          <w:szCs w:val="20"/>
        </w:rPr>
      </w:pPr>
      <w:r>
        <w:rPr>
          <w:rFonts w:ascii="Arial Narrow" w:eastAsia="Arial Narrow" w:hAnsi="Arial Narrow" w:cs="Arial Narrow"/>
          <w:b/>
          <w:sz w:val="20"/>
          <w:szCs w:val="20"/>
        </w:rPr>
        <w:t>Asociaciones</w:t>
      </w:r>
    </w:p>
    <w:p w14:paraId="580BA54A" w14:textId="77777777" w:rsidR="00CA3CC4" w:rsidRDefault="00CA3CC4">
      <w:pPr>
        <w:ind w:left="-284" w:right="-336"/>
        <w:jc w:val="both"/>
        <w:rPr>
          <w:rFonts w:ascii="Arial Narrow" w:eastAsia="Arial Narrow" w:hAnsi="Arial Narrow" w:cs="Arial Narrow"/>
          <w:sz w:val="20"/>
          <w:szCs w:val="20"/>
        </w:rPr>
      </w:pPr>
    </w:p>
    <w:p w14:paraId="611FF537" w14:textId="77777777" w:rsidR="00941EA8"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La diversidad de temas y capacidades requeridas para conducir adecuadamente el complejo proceso de elaboración participativa de la estrategia y </w:t>
      </w:r>
      <w:r w:rsidRPr="00CA3CC4">
        <w:rPr>
          <w:rFonts w:ascii="Arial Narrow" w:eastAsia="Arial Narrow" w:hAnsi="Arial Narrow" w:cs="Arial Narrow"/>
          <w:sz w:val="20"/>
          <w:szCs w:val="20"/>
        </w:rPr>
        <w:t xml:space="preserve">plan, que es fundamentalmente una negociación multiactor basada en la mejor ciencia disponible, incluyendo el conocimiento del escenario regional y la confianza con actores clave. Atendiendo a ello se ha conformado un grupo de apoyo al proceso conformado por entidades de reconocida trayectoria internacional, o nacional y local, según el caso, que actuarán como socios en este proceso. Todas comparten el enfoque de desarrollo rural bajo en emisiones, con fortalezas en diferentes aspectos. Las fortalezas técnicas y las organizativas de los socios, tanto en el campo de las cadenas de suministro, como en el de la gestión y conservación de bosques, pero también en el de la construcción de institucionalidad, generan sinergia con el GR y entre sí. </w:t>
      </w:r>
    </w:p>
    <w:p w14:paraId="3A460A4C" w14:textId="77777777" w:rsidR="00941EA8" w:rsidRDefault="00941EA8">
      <w:pPr>
        <w:ind w:left="-284" w:right="-336"/>
        <w:jc w:val="both"/>
        <w:rPr>
          <w:rFonts w:ascii="Arial Narrow" w:eastAsia="Arial Narrow" w:hAnsi="Arial Narrow" w:cs="Arial Narrow"/>
          <w:sz w:val="20"/>
          <w:szCs w:val="20"/>
        </w:rPr>
      </w:pPr>
    </w:p>
    <w:p w14:paraId="2C05C5C0" w14:textId="77777777" w:rsidR="00941EA8" w:rsidRDefault="002959E9">
      <w:pPr>
        <w:ind w:left="-284" w:right="-336"/>
        <w:jc w:val="both"/>
        <w:rPr>
          <w:rFonts w:ascii="Arial Narrow" w:eastAsia="Arial Narrow" w:hAnsi="Arial Narrow" w:cs="Arial Narrow"/>
          <w:sz w:val="20"/>
          <w:szCs w:val="20"/>
        </w:rPr>
      </w:pPr>
      <w:r w:rsidRPr="00CA3CC4">
        <w:rPr>
          <w:rFonts w:ascii="Arial Narrow" w:eastAsia="Arial Narrow" w:hAnsi="Arial Narrow" w:cs="Arial Narrow"/>
          <w:sz w:val="20"/>
          <w:szCs w:val="20"/>
        </w:rPr>
        <w:t xml:space="preserve">EII viene apoyando, con diferente nivel de avance, proceso hacia el DRBE en las regiones miembros de GCF-TF, en el Perú y en otros países, con un enfoque metodológico probado, lo que posibilita su papel de parte responsable, así como de asistencia técnica en la estrategia y planificación financiera. ICRAF viene desarrollando un importante trabajo en materia de causas de deforestación y medidas para hacerle frente, clave para el objetivo de la estrategia. </w:t>
      </w:r>
      <w:r w:rsidR="00EE4210" w:rsidRPr="00CA3CC4">
        <w:rPr>
          <w:rFonts w:ascii="Arial Narrow" w:eastAsia="Arial Narrow" w:hAnsi="Arial Narrow" w:cs="Arial Narrow"/>
          <w:sz w:val="20"/>
          <w:szCs w:val="20"/>
        </w:rPr>
        <w:t>NCI tiene un importante papel en promover áreas de conservación en la región. APECO tiene una larga y destacada trayectoria en conservación</w:t>
      </w:r>
      <w:r w:rsidR="00941EA8">
        <w:rPr>
          <w:rFonts w:ascii="Arial Narrow" w:eastAsia="Arial Narrow" w:hAnsi="Arial Narrow" w:cs="Arial Narrow"/>
          <w:sz w:val="20"/>
          <w:szCs w:val="20"/>
        </w:rPr>
        <w:t>.</w:t>
      </w:r>
    </w:p>
    <w:p w14:paraId="71DE04AB" w14:textId="77777777" w:rsidR="00941EA8" w:rsidRDefault="00941EA8">
      <w:pPr>
        <w:ind w:left="-284" w:right="-336"/>
        <w:jc w:val="both"/>
        <w:rPr>
          <w:rFonts w:ascii="Arial Narrow" w:eastAsia="Arial Narrow" w:hAnsi="Arial Narrow" w:cs="Arial Narrow"/>
          <w:sz w:val="20"/>
          <w:szCs w:val="20"/>
        </w:rPr>
      </w:pPr>
    </w:p>
    <w:p w14:paraId="344CEC99" w14:textId="6D65FB72" w:rsidR="00EA0A65" w:rsidRDefault="002959E9">
      <w:pPr>
        <w:ind w:left="-284" w:right="-336"/>
        <w:jc w:val="both"/>
        <w:rPr>
          <w:rFonts w:ascii="Arial Narrow" w:eastAsia="Arial Narrow" w:hAnsi="Arial Narrow" w:cs="Arial Narrow"/>
          <w:sz w:val="20"/>
          <w:szCs w:val="20"/>
        </w:rPr>
      </w:pPr>
      <w:r w:rsidRPr="00CA3CC4">
        <w:rPr>
          <w:rFonts w:ascii="Arial Narrow" w:eastAsia="Arial Narrow" w:hAnsi="Arial Narrow" w:cs="Arial Narrow"/>
          <w:sz w:val="20"/>
          <w:szCs w:val="20"/>
        </w:rPr>
        <w:t>Para asegurar capacitación similar en todas las regiones se identificó a Ausejo Consulting como un proveedor clave por su experiencia en los temas y articulación con universidades de prestigio. Las organizaciones socias locales exhiben experiencia en los temas de conservación de bosques, desarrollo rural y poseen conocimiento de la realidad local, así como capacidades operativas que facilitan el desarrollo del proceso. La organización y gobernanza se detalla en el Anexo V.</w:t>
      </w:r>
    </w:p>
    <w:p w14:paraId="061D6FB8" w14:textId="77777777" w:rsidR="00EA0A65" w:rsidRDefault="00EA0A65">
      <w:pPr>
        <w:ind w:left="-284" w:right="-336"/>
        <w:rPr>
          <w:rFonts w:ascii="Arial Narrow" w:eastAsia="Arial Narrow" w:hAnsi="Arial Narrow" w:cs="Arial Narrow"/>
          <w:sz w:val="20"/>
          <w:szCs w:val="20"/>
        </w:rPr>
      </w:pPr>
    </w:p>
    <w:p w14:paraId="7C6C30D5" w14:textId="77777777" w:rsidR="00941EA8" w:rsidRDefault="00941EA8">
      <w:pPr>
        <w:ind w:left="-284" w:right="-336"/>
        <w:rPr>
          <w:rFonts w:ascii="Arial Narrow" w:eastAsia="Arial Narrow" w:hAnsi="Arial Narrow" w:cs="Arial Narrow"/>
          <w:sz w:val="20"/>
          <w:szCs w:val="20"/>
        </w:rPr>
      </w:pPr>
    </w:p>
    <w:p w14:paraId="5D9A5549" w14:textId="77777777" w:rsidR="00941EA8" w:rsidRDefault="00941EA8">
      <w:pPr>
        <w:ind w:left="-284" w:right="-336"/>
        <w:rPr>
          <w:rFonts w:ascii="Arial Narrow" w:eastAsia="Arial Narrow" w:hAnsi="Arial Narrow" w:cs="Arial Narrow"/>
          <w:sz w:val="20"/>
          <w:szCs w:val="20"/>
        </w:rPr>
      </w:pPr>
    </w:p>
    <w:p w14:paraId="04C6BFBE" w14:textId="77777777" w:rsidR="00941EA8" w:rsidRDefault="00941EA8">
      <w:pPr>
        <w:ind w:left="-284" w:right="-336"/>
        <w:rPr>
          <w:rFonts w:ascii="Arial Narrow" w:eastAsia="Arial Narrow" w:hAnsi="Arial Narrow" w:cs="Arial Narrow"/>
          <w:sz w:val="20"/>
          <w:szCs w:val="20"/>
        </w:rPr>
      </w:pPr>
    </w:p>
    <w:p w14:paraId="325399EC" w14:textId="77777777" w:rsidR="00EA0A65" w:rsidRDefault="002959E9">
      <w:pPr>
        <w:ind w:left="-284" w:right="-336"/>
        <w:rPr>
          <w:rFonts w:ascii="Arial Narrow" w:eastAsia="Arial Narrow" w:hAnsi="Arial Narrow" w:cs="Arial Narrow"/>
          <w:b/>
          <w:sz w:val="20"/>
          <w:szCs w:val="20"/>
        </w:rPr>
      </w:pPr>
      <w:r>
        <w:rPr>
          <w:rFonts w:ascii="Arial Narrow" w:eastAsia="Arial Narrow" w:hAnsi="Arial Narrow" w:cs="Arial Narrow"/>
          <w:b/>
          <w:sz w:val="20"/>
          <w:szCs w:val="20"/>
        </w:rPr>
        <w:lastRenderedPageBreak/>
        <w:t xml:space="preserve">Participación de múltiples interesados </w:t>
      </w:r>
    </w:p>
    <w:p w14:paraId="51D0ED8F" w14:textId="77777777" w:rsidR="00CA3CC4" w:rsidRDefault="00CA3CC4">
      <w:pPr>
        <w:ind w:left="-284" w:right="-336"/>
        <w:jc w:val="both"/>
        <w:rPr>
          <w:rFonts w:ascii="Arial Narrow" w:eastAsia="Arial Narrow" w:hAnsi="Arial Narrow" w:cs="Arial Narrow"/>
          <w:sz w:val="20"/>
          <w:szCs w:val="20"/>
        </w:rPr>
      </w:pPr>
    </w:p>
    <w:p w14:paraId="57B696EA" w14:textId="77777777" w:rsidR="00941EA8" w:rsidRDefault="00455FA0" w:rsidP="00455FA0">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Respecto a la participación de los actores claves en el proceso de construcción de la estrategia y el plan, es importante señalar que Amazonas tiene dos áreas bien diferenciadas que deben ser consideradas para el diseño de</w:t>
      </w:r>
      <w:r w:rsidR="004203C5">
        <w:rPr>
          <w:rFonts w:ascii="Arial Narrow" w:eastAsia="Arial Narrow" w:hAnsi="Arial Narrow" w:cs="Arial Narrow"/>
          <w:sz w:val="20"/>
          <w:szCs w:val="20"/>
        </w:rPr>
        <w:t xml:space="preserve">l </w:t>
      </w:r>
      <w:r>
        <w:rPr>
          <w:rFonts w:ascii="Arial Narrow" w:eastAsia="Arial Narrow" w:hAnsi="Arial Narrow" w:cs="Arial Narrow"/>
          <w:sz w:val="20"/>
          <w:szCs w:val="20"/>
        </w:rPr>
        <w:t xml:space="preserve">proceso participativo. La primera área es la ciudad de Chachapoyas, </w:t>
      </w:r>
      <w:r w:rsidR="004203C5">
        <w:rPr>
          <w:rFonts w:ascii="Arial Narrow" w:eastAsia="Arial Narrow" w:hAnsi="Arial Narrow" w:cs="Arial Narrow"/>
          <w:sz w:val="20"/>
          <w:szCs w:val="20"/>
        </w:rPr>
        <w:t xml:space="preserve">ubicada </w:t>
      </w:r>
      <w:r>
        <w:rPr>
          <w:rFonts w:ascii="Arial Narrow" w:eastAsia="Arial Narrow" w:hAnsi="Arial Narrow" w:cs="Arial Narrow"/>
          <w:sz w:val="20"/>
          <w:szCs w:val="20"/>
        </w:rPr>
        <w:t>en la parte andina de la región, en donde se concentra la mayor cantidad de instituciones públicas y no gubernamentales de la Región Amazonas</w:t>
      </w:r>
      <w:r w:rsidR="004203C5">
        <w:rPr>
          <w:rFonts w:ascii="Arial Narrow" w:eastAsia="Arial Narrow" w:hAnsi="Arial Narrow" w:cs="Arial Narrow"/>
          <w:sz w:val="20"/>
          <w:szCs w:val="20"/>
        </w:rPr>
        <w:t xml:space="preserve"> y es considerado el centro político de la Región en donde se pueden generar acuerdos vinculantes con las autoridades</w:t>
      </w:r>
      <w:r>
        <w:rPr>
          <w:rFonts w:ascii="Arial Narrow" w:eastAsia="Arial Narrow" w:hAnsi="Arial Narrow" w:cs="Arial Narrow"/>
          <w:sz w:val="20"/>
          <w:szCs w:val="20"/>
        </w:rPr>
        <w:t xml:space="preserve">, y </w:t>
      </w:r>
      <w:r w:rsidR="004203C5">
        <w:rPr>
          <w:rFonts w:ascii="Arial Narrow" w:eastAsia="Arial Narrow" w:hAnsi="Arial Narrow" w:cs="Arial Narrow"/>
          <w:sz w:val="20"/>
          <w:szCs w:val="20"/>
        </w:rPr>
        <w:t xml:space="preserve">una segunda área </w:t>
      </w:r>
      <w:r>
        <w:rPr>
          <w:rFonts w:ascii="Arial Narrow" w:eastAsia="Arial Narrow" w:hAnsi="Arial Narrow" w:cs="Arial Narrow"/>
          <w:sz w:val="20"/>
          <w:szCs w:val="20"/>
        </w:rPr>
        <w:t>conformada por las provincias de Bagua y Condorcanqui</w:t>
      </w:r>
      <w:r w:rsidR="004203C5">
        <w:rPr>
          <w:rFonts w:ascii="Arial Narrow" w:eastAsia="Arial Narrow" w:hAnsi="Arial Narrow" w:cs="Arial Narrow"/>
          <w:sz w:val="20"/>
          <w:szCs w:val="20"/>
        </w:rPr>
        <w:t xml:space="preserve">, área amazónica de la Región, </w:t>
      </w:r>
      <w:r>
        <w:rPr>
          <w:rFonts w:ascii="Arial Narrow" w:eastAsia="Arial Narrow" w:hAnsi="Arial Narrow" w:cs="Arial Narrow"/>
          <w:sz w:val="20"/>
          <w:szCs w:val="20"/>
        </w:rPr>
        <w:t>en donde se concentra la mayor cantidad de la població</w:t>
      </w:r>
      <w:r w:rsidR="004203C5">
        <w:rPr>
          <w:rFonts w:ascii="Arial Narrow" w:eastAsia="Arial Narrow" w:hAnsi="Arial Narrow" w:cs="Arial Narrow"/>
          <w:sz w:val="20"/>
          <w:szCs w:val="20"/>
        </w:rPr>
        <w:t>n de la r</w:t>
      </w:r>
      <w:r>
        <w:rPr>
          <w:rFonts w:ascii="Arial Narrow" w:eastAsia="Arial Narrow" w:hAnsi="Arial Narrow" w:cs="Arial Narrow"/>
          <w:sz w:val="20"/>
          <w:szCs w:val="20"/>
        </w:rPr>
        <w:t xml:space="preserve">egión (Bagua), </w:t>
      </w:r>
      <w:r w:rsidR="004203C5">
        <w:rPr>
          <w:rFonts w:ascii="Arial Narrow" w:eastAsia="Arial Narrow" w:hAnsi="Arial Narrow" w:cs="Arial Narrow"/>
          <w:sz w:val="20"/>
          <w:szCs w:val="20"/>
        </w:rPr>
        <w:t xml:space="preserve">los bosques y la población </w:t>
      </w:r>
      <w:r>
        <w:rPr>
          <w:rFonts w:ascii="Arial Narrow" w:eastAsia="Arial Narrow" w:hAnsi="Arial Narrow" w:cs="Arial Narrow"/>
          <w:sz w:val="20"/>
          <w:szCs w:val="20"/>
        </w:rPr>
        <w:t>indígena (Condorcanqui).</w:t>
      </w:r>
      <w:r w:rsidR="004203C5">
        <w:rPr>
          <w:rFonts w:ascii="Arial Narrow" w:eastAsia="Arial Narrow" w:hAnsi="Arial Narrow" w:cs="Arial Narrow"/>
          <w:sz w:val="20"/>
          <w:szCs w:val="20"/>
        </w:rPr>
        <w:t xml:space="preserve"> </w:t>
      </w:r>
    </w:p>
    <w:p w14:paraId="31D7AB8D" w14:textId="77777777" w:rsidR="00941EA8" w:rsidRDefault="00941EA8" w:rsidP="00455FA0">
      <w:pPr>
        <w:ind w:left="-284" w:right="-336"/>
        <w:jc w:val="both"/>
        <w:rPr>
          <w:rFonts w:ascii="Arial Narrow" w:eastAsia="Arial Narrow" w:hAnsi="Arial Narrow" w:cs="Arial Narrow"/>
          <w:sz w:val="20"/>
          <w:szCs w:val="20"/>
        </w:rPr>
      </w:pPr>
    </w:p>
    <w:p w14:paraId="4D5169B2" w14:textId="390B3BE3" w:rsidR="004203C5" w:rsidRDefault="004203C5" w:rsidP="00455FA0">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De igual modo, y si bien puede distinguirse dos grandes áreas geográficas importantes, algunos actores – sobre todo los productores agrarios y ganaderos- que están organizados alrededor de corredores económicos como el corredor Corral Quemado-Bagua-Pedro Ruiz-El Progreso (corredor agrícola y comercial), el corredor Chachapoyas- </w:t>
      </w:r>
      <w:r w:rsidR="00F6762D">
        <w:rPr>
          <w:rFonts w:ascii="Arial Narrow" w:eastAsia="Arial Narrow" w:hAnsi="Arial Narrow" w:cs="Arial Narrow"/>
          <w:sz w:val="20"/>
          <w:szCs w:val="20"/>
        </w:rPr>
        <w:t>Rodríguez</w:t>
      </w:r>
      <w:r>
        <w:rPr>
          <w:rFonts w:ascii="Arial Narrow" w:eastAsia="Arial Narrow" w:hAnsi="Arial Narrow" w:cs="Arial Narrow"/>
          <w:sz w:val="20"/>
          <w:szCs w:val="20"/>
        </w:rPr>
        <w:t xml:space="preserve"> de Mendoza (café y ganadería), el corredor Molinopampa-Vilcaniza (ganadería vacuna) y  Chachapoyas-Leymebamba-Balsas (agricultura, ganadería y turismo).</w:t>
      </w:r>
    </w:p>
    <w:p w14:paraId="7D012355" w14:textId="77777777" w:rsidR="004203C5" w:rsidRDefault="004203C5" w:rsidP="00455FA0">
      <w:pPr>
        <w:ind w:left="-284" w:right="-336"/>
        <w:jc w:val="both"/>
        <w:rPr>
          <w:rFonts w:ascii="Arial Narrow" w:eastAsia="Arial Narrow" w:hAnsi="Arial Narrow" w:cs="Arial Narrow"/>
          <w:sz w:val="20"/>
          <w:szCs w:val="20"/>
        </w:rPr>
      </w:pPr>
    </w:p>
    <w:p w14:paraId="2FB57A4D" w14:textId="510FE5C1" w:rsidR="004203C5" w:rsidRDefault="004203C5" w:rsidP="00616428">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Complementado estas características es importante señalar que existen diversas organizaciones representativas de los pueblos indígenas </w:t>
      </w:r>
      <w:r w:rsidR="00616428">
        <w:rPr>
          <w:rFonts w:ascii="Arial Narrow" w:eastAsia="Arial Narrow" w:hAnsi="Arial Narrow" w:cs="Arial Narrow"/>
          <w:sz w:val="20"/>
          <w:szCs w:val="20"/>
        </w:rPr>
        <w:t xml:space="preserve">en Amazonas, algunas de ellas </w:t>
      </w:r>
      <w:r>
        <w:rPr>
          <w:rFonts w:ascii="Arial Narrow" w:eastAsia="Arial Narrow" w:hAnsi="Arial Narrow" w:cs="Arial Narrow"/>
          <w:sz w:val="20"/>
          <w:szCs w:val="20"/>
        </w:rPr>
        <w:t xml:space="preserve"> muy simbólicas a nivel nacional, como el Consejo Awaj</w:t>
      </w:r>
      <w:r w:rsidR="00F6762D">
        <w:rPr>
          <w:rFonts w:ascii="Arial Narrow" w:eastAsia="Arial Narrow" w:hAnsi="Arial Narrow" w:cs="Arial Narrow"/>
          <w:sz w:val="20"/>
          <w:szCs w:val="20"/>
        </w:rPr>
        <w:t>ú</w:t>
      </w:r>
      <w:r>
        <w:rPr>
          <w:rFonts w:ascii="Arial Narrow" w:eastAsia="Arial Narrow" w:hAnsi="Arial Narrow" w:cs="Arial Narrow"/>
          <w:sz w:val="20"/>
          <w:szCs w:val="20"/>
        </w:rPr>
        <w:t>n – Huampis,</w:t>
      </w:r>
      <w:r w:rsidR="00616428">
        <w:rPr>
          <w:rFonts w:ascii="Arial Narrow" w:eastAsia="Arial Narrow" w:hAnsi="Arial Narrow" w:cs="Arial Narrow"/>
          <w:sz w:val="20"/>
          <w:szCs w:val="20"/>
        </w:rPr>
        <w:t xml:space="preserve"> la </w:t>
      </w:r>
      <w:r w:rsidR="00616428" w:rsidRPr="00616428">
        <w:rPr>
          <w:rFonts w:ascii="Arial Narrow" w:eastAsia="Arial Narrow" w:hAnsi="Arial Narrow" w:cs="Arial Narrow"/>
          <w:sz w:val="20"/>
          <w:szCs w:val="20"/>
        </w:rPr>
        <w:t>Organización de Desarrollo de las Comunidades Fronterizo del Alto Cenepa</w:t>
      </w:r>
      <w:r w:rsidR="00616428">
        <w:rPr>
          <w:rFonts w:ascii="Arial Narrow" w:eastAsia="Arial Narrow" w:hAnsi="Arial Narrow" w:cs="Arial Narrow"/>
          <w:sz w:val="20"/>
          <w:szCs w:val="20"/>
        </w:rPr>
        <w:t xml:space="preserve"> </w:t>
      </w:r>
      <w:r w:rsidR="00616428" w:rsidRPr="00616428">
        <w:rPr>
          <w:rFonts w:ascii="Arial Narrow" w:eastAsia="Arial Narrow" w:hAnsi="Arial Narrow" w:cs="Arial Narrow"/>
          <w:sz w:val="20"/>
          <w:szCs w:val="20"/>
        </w:rPr>
        <w:t>(ODECOFROC)</w:t>
      </w:r>
      <w:r w:rsidR="00616428">
        <w:rPr>
          <w:rFonts w:ascii="Arial Narrow" w:eastAsia="Arial Narrow" w:hAnsi="Arial Narrow" w:cs="Arial Narrow"/>
          <w:sz w:val="20"/>
          <w:szCs w:val="20"/>
        </w:rPr>
        <w:t xml:space="preserve"> y la Organización Awaj</w:t>
      </w:r>
      <w:r w:rsidR="00F6762D">
        <w:rPr>
          <w:rFonts w:ascii="Arial Narrow" w:eastAsia="Arial Narrow" w:hAnsi="Arial Narrow" w:cs="Arial Narrow"/>
          <w:sz w:val="20"/>
          <w:szCs w:val="20"/>
        </w:rPr>
        <w:t>ú</w:t>
      </w:r>
      <w:r w:rsidR="00616428">
        <w:rPr>
          <w:rFonts w:ascii="Arial Narrow" w:eastAsia="Arial Narrow" w:hAnsi="Arial Narrow" w:cs="Arial Narrow"/>
          <w:sz w:val="20"/>
          <w:szCs w:val="20"/>
        </w:rPr>
        <w:t>n de San Ignac</w:t>
      </w:r>
      <w:r w:rsidR="00616428" w:rsidRPr="00616428">
        <w:rPr>
          <w:rFonts w:ascii="Arial Narrow" w:eastAsia="Arial Narrow" w:hAnsi="Arial Narrow" w:cs="Arial Narrow"/>
          <w:sz w:val="20"/>
          <w:szCs w:val="20"/>
        </w:rPr>
        <w:t>io (ORASI)</w:t>
      </w:r>
      <w:r w:rsidR="00616428">
        <w:rPr>
          <w:rFonts w:ascii="Arial Narrow" w:eastAsia="Arial Narrow" w:hAnsi="Arial Narrow" w:cs="Arial Narrow"/>
          <w:sz w:val="20"/>
          <w:szCs w:val="20"/>
        </w:rPr>
        <w:t xml:space="preserve">, las cuales se encuentran agrupadas en la </w:t>
      </w:r>
      <w:r>
        <w:rPr>
          <w:rFonts w:ascii="Arial Narrow" w:eastAsia="Arial Narrow" w:hAnsi="Arial Narrow" w:cs="Arial Narrow"/>
          <w:sz w:val="20"/>
          <w:szCs w:val="20"/>
        </w:rPr>
        <w:t xml:space="preserve">la </w:t>
      </w:r>
      <w:r w:rsidR="00616428" w:rsidRPr="00616428">
        <w:rPr>
          <w:rFonts w:ascii="Arial Narrow" w:eastAsia="Arial Narrow" w:hAnsi="Arial Narrow" w:cs="Arial Narrow"/>
          <w:sz w:val="20"/>
          <w:szCs w:val="20"/>
        </w:rPr>
        <w:t xml:space="preserve">Organización Regional de los Pueblos Indígenas de </w:t>
      </w:r>
      <w:r w:rsidR="00616428">
        <w:rPr>
          <w:rFonts w:ascii="Arial Narrow" w:eastAsia="Arial Narrow" w:hAnsi="Arial Narrow" w:cs="Arial Narrow"/>
          <w:sz w:val="20"/>
          <w:szCs w:val="20"/>
        </w:rPr>
        <w:t xml:space="preserve">la Amazonía del Norte del Perú (ORPIAN). </w:t>
      </w:r>
      <w:r>
        <w:rPr>
          <w:rFonts w:ascii="Arial Narrow" w:eastAsia="Arial Narrow" w:hAnsi="Arial Narrow" w:cs="Arial Narrow"/>
          <w:sz w:val="20"/>
          <w:szCs w:val="20"/>
        </w:rPr>
        <w:t xml:space="preserve"> </w:t>
      </w:r>
      <w:r w:rsidR="00616428">
        <w:rPr>
          <w:rFonts w:ascii="Arial Narrow" w:eastAsia="Arial Narrow" w:hAnsi="Arial Narrow" w:cs="Arial Narrow"/>
          <w:sz w:val="20"/>
          <w:szCs w:val="20"/>
        </w:rPr>
        <w:t xml:space="preserve">En ese sentido, es importante trabajar de manera coordinada con esta organización para poder definir los mecanismos más apropiados para la participación de los pueblos indígenas. </w:t>
      </w:r>
    </w:p>
    <w:p w14:paraId="2F8D4873" w14:textId="77777777" w:rsidR="00455FA0" w:rsidRDefault="00455FA0" w:rsidP="00455FA0">
      <w:pPr>
        <w:ind w:left="-284" w:right="-336"/>
        <w:jc w:val="both"/>
        <w:rPr>
          <w:rFonts w:ascii="Arial Narrow" w:eastAsia="Arial Narrow" w:hAnsi="Arial Narrow" w:cs="Arial Narrow"/>
          <w:sz w:val="20"/>
          <w:szCs w:val="20"/>
        </w:rPr>
      </w:pPr>
    </w:p>
    <w:p w14:paraId="4C44AF6D" w14:textId="69B1BA1A" w:rsidR="00EA0A65" w:rsidRDefault="00616428" w:rsidP="00616428">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Cabe señalar que vista la diversidad de actores y el contexto, se elaborará un plan de involucramiento de actores que permita procurar la participación adecuada de algunos actores clave para la implementación del plan y además </w:t>
      </w:r>
      <w:r w:rsidR="002959E9">
        <w:rPr>
          <w:rFonts w:ascii="Arial Narrow" w:eastAsia="Arial Narrow" w:hAnsi="Arial Narrow" w:cs="Arial Narrow"/>
          <w:sz w:val="20"/>
          <w:szCs w:val="20"/>
        </w:rPr>
        <w:t xml:space="preserve">la aplicación de salvaguardas que permita no sólo mitigar impactos negativos sino sobre todo generar sinergias en la implementación de la estrategia y plan. </w:t>
      </w:r>
      <w:r>
        <w:rPr>
          <w:rFonts w:ascii="Arial Narrow" w:eastAsia="Arial Narrow" w:hAnsi="Arial Narrow" w:cs="Arial Narrow"/>
          <w:sz w:val="20"/>
          <w:szCs w:val="20"/>
        </w:rPr>
        <w:t xml:space="preserve">De manera preliminar se ha identificado algunos </w:t>
      </w:r>
      <w:r w:rsidR="002959E9">
        <w:rPr>
          <w:rFonts w:ascii="Arial Narrow" w:eastAsia="Arial Narrow" w:hAnsi="Arial Narrow" w:cs="Arial Narrow"/>
          <w:sz w:val="20"/>
          <w:szCs w:val="20"/>
        </w:rPr>
        <w:t>espacios actuales de participación en materias ambientales asociadas a las actividades productivas (comités técnicos de cadenas de productos agropecuarios) y a los aspectos ambientales (comisión ambiental regional -CAR)</w:t>
      </w:r>
      <w:r>
        <w:rPr>
          <w:rFonts w:ascii="Arial Narrow" w:eastAsia="Arial Narrow" w:hAnsi="Arial Narrow" w:cs="Arial Narrow"/>
          <w:sz w:val="20"/>
          <w:szCs w:val="20"/>
        </w:rPr>
        <w:t xml:space="preserve"> como espacios potenciales para la discusión del plan, pero esto deberá validarse en el plan de </w:t>
      </w:r>
      <w:r w:rsidR="00F6762D">
        <w:rPr>
          <w:rFonts w:ascii="Arial Narrow" w:eastAsia="Arial Narrow" w:hAnsi="Arial Narrow" w:cs="Arial Narrow"/>
          <w:sz w:val="20"/>
          <w:szCs w:val="20"/>
        </w:rPr>
        <w:t>involucramiento</w:t>
      </w:r>
      <w:r>
        <w:rPr>
          <w:rFonts w:ascii="Arial Narrow" w:eastAsia="Arial Narrow" w:hAnsi="Arial Narrow" w:cs="Arial Narrow"/>
          <w:sz w:val="20"/>
          <w:szCs w:val="20"/>
        </w:rPr>
        <w:t xml:space="preserve"> de actores. </w:t>
      </w:r>
    </w:p>
    <w:p w14:paraId="0D5062A4" w14:textId="77777777" w:rsidR="00EE4210" w:rsidRDefault="00EE4210">
      <w:pPr>
        <w:ind w:left="-284" w:right="-336"/>
        <w:jc w:val="both"/>
        <w:rPr>
          <w:rFonts w:ascii="Arial Narrow" w:eastAsia="Arial Narrow" w:hAnsi="Arial Narrow" w:cs="Arial Narrow"/>
          <w:sz w:val="20"/>
          <w:szCs w:val="20"/>
        </w:rPr>
      </w:pPr>
    </w:p>
    <w:p w14:paraId="728FCBD2" w14:textId="77777777" w:rsidR="00EA0A65" w:rsidRDefault="002959E9">
      <w:pPr>
        <w:ind w:left="-284" w:right="-336"/>
        <w:rPr>
          <w:rFonts w:ascii="Arial Narrow" w:eastAsia="Arial Narrow" w:hAnsi="Arial Narrow" w:cs="Arial Narrow"/>
          <w:b/>
          <w:sz w:val="20"/>
          <w:szCs w:val="20"/>
        </w:rPr>
      </w:pPr>
      <w:r>
        <w:rPr>
          <w:rFonts w:ascii="Arial Narrow" w:eastAsia="Arial Narrow" w:hAnsi="Arial Narrow" w:cs="Arial Narrow"/>
          <w:b/>
          <w:sz w:val="20"/>
          <w:szCs w:val="20"/>
        </w:rPr>
        <w:t xml:space="preserve">La integración de una perspectiva de género </w:t>
      </w:r>
    </w:p>
    <w:p w14:paraId="639FA31C" w14:textId="77777777" w:rsidR="00DB5493" w:rsidRDefault="00DB5493">
      <w:pPr>
        <w:ind w:left="-284" w:right="-336"/>
        <w:jc w:val="both"/>
        <w:rPr>
          <w:rFonts w:ascii="Arial Narrow" w:eastAsia="Arial Narrow" w:hAnsi="Arial Narrow" w:cs="Arial Narrow"/>
          <w:sz w:val="20"/>
          <w:szCs w:val="20"/>
        </w:rPr>
      </w:pPr>
    </w:p>
    <w:p w14:paraId="4C9DEAAF" w14:textId="6A2CB819" w:rsidR="00223873" w:rsidRDefault="00DB5493">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La región Amazonas se caracteriza por una población joven, con casi un tercio menor a los 15 años (USAID, 2012) concentrando además el 19% de la niñez indígena del Perú. A diferencia de otras regiones </w:t>
      </w:r>
      <w:r w:rsidR="00223873">
        <w:rPr>
          <w:rFonts w:ascii="Arial Narrow" w:eastAsia="Arial Narrow" w:hAnsi="Arial Narrow" w:cs="Arial Narrow"/>
          <w:sz w:val="20"/>
          <w:szCs w:val="20"/>
        </w:rPr>
        <w:t>Amazónicas</w:t>
      </w:r>
      <w:r>
        <w:rPr>
          <w:rFonts w:ascii="Arial Narrow" w:eastAsia="Arial Narrow" w:hAnsi="Arial Narrow" w:cs="Arial Narrow"/>
          <w:sz w:val="20"/>
          <w:szCs w:val="20"/>
        </w:rPr>
        <w:t>, Amazonas se caracteriza por que su población es básicamente rural (aproximadamente un 67</w:t>
      </w:r>
      <w:r w:rsidR="00223873">
        <w:rPr>
          <w:rFonts w:ascii="Arial Narrow" w:eastAsia="Arial Narrow" w:hAnsi="Arial Narrow" w:cs="Arial Narrow"/>
          <w:sz w:val="20"/>
          <w:szCs w:val="20"/>
        </w:rPr>
        <w:t>.9%) frente a la urbana (32.1) además de ser el departamento con mayores brechas de género respecto a població</w:t>
      </w:r>
      <w:r w:rsidR="00455A99">
        <w:rPr>
          <w:rFonts w:ascii="Arial Narrow" w:eastAsia="Arial Narrow" w:hAnsi="Arial Narrow" w:cs="Arial Narrow"/>
          <w:sz w:val="20"/>
          <w:szCs w:val="20"/>
        </w:rPr>
        <w:t xml:space="preserve">n </w:t>
      </w:r>
      <w:r w:rsidR="00455A99" w:rsidRPr="00F6762D">
        <w:rPr>
          <w:rFonts w:ascii="Arial Narrow" w:eastAsia="Arial Narrow" w:hAnsi="Arial Narrow" w:cs="Arial Narrow"/>
          <w:sz w:val="20"/>
          <w:szCs w:val="20"/>
          <w:lang w:val="es-PE"/>
        </w:rPr>
        <w:t>a</w:t>
      </w:r>
      <w:r w:rsidR="00F6762D" w:rsidRPr="00F6762D">
        <w:rPr>
          <w:rFonts w:ascii="Arial Narrow" w:eastAsia="Arial Narrow" w:hAnsi="Arial Narrow" w:cs="Arial Narrow"/>
          <w:sz w:val="20"/>
          <w:szCs w:val="20"/>
          <w:lang w:val="es-PE"/>
        </w:rPr>
        <w:t>na</w:t>
      </w:r>
      <w:r w:rsidR="00455A99" w:rsidRPr="00F6762D">
        <w:rPr>
          <w:rFonts w:ascii="Arial Narrow" w:eastAsia="Arial Narrow" w:hAnsi="Arial Narrow" w:cs="Arial Narrow"/>
          <w:sz w:val="20"/>
          <w:szCs w:val="20"/>
          <w:lang w:val="es-PE"/>
        </w:rPr>
        <w:t xml:space="preserve">lfabeta </w:t>
      </w:r>
      <w:r w:rsidR="00455A99">
        <w:rPr>
          <w:rFonts w:ascii="Arial Narrow" w:eastAsia="Arial Narrow" w:hAnsi="Arial Narrow" w:cs="Arial Narrow"/>
          <w:sz w:val="20"/>
          <w:szCs w:val="20"/>
        </w:rPr>
        <w:t xml:space="preserve">(-11-1%). Además más </w:t>
      </w:r>
      <w:r w:rsidR="00223873">
        <w:rPr>
          <w:rFonts w:ascii="Arial Narrow" w:eastAsia="Arial Narrow" w:hAnsi="Arial Narrow" w:cs="Arial Narrow"/>
          <w:sz w:val="20"/>
          <w:szCs w:val="20"/>
        </w:rPr>
        <w:t xml:space="preserve">del 15.8 de la mujeres de la región mayores de 15 años son analfabetas presentándose además una deserción escolar en los primeros años de secundaria. Esta situación de desigualdad tiene un impacto importante en la brecha salarial. </w:t>
      </w:r>
    </w:p>
    <w:p w14:paraId="787448F8" w14:textId="77777777" w:rsidR="00223873" w:rsidRDefault="00223873">
      <w:pPr>
        <w:ind w:left="-284" w:right="-336"/>
        <w:jc w:val="both"/>
        <w:rPr>
          <w:rFonts w:ascii="Arial Narrow" w:eastAsia="Arial Narrow" w:hAnsi="Arial Narrow" w:cs="Arial Narrow"/>
          <w:sz w:val="20"/>
          <w:szCs w:val="20"/>
        </w:rPr>
      </w:pPr>
    </w:p>
    <w:p w14:paraId="12780591" w14:textId="63F85731" w:rsidR="00223873" w:rsidRDefault="00223873">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En Amazonas se estima que el 80.7% de las mujeres trabajan recibiendo -34.8% de salario promedio mensual. Se estima además que aproximadamente un 22.3% de las mujeres son cabeza de hogar, siendo al menos un 45% menor a los 20 años. El estudio realizado por USAID en el 2012 revela además que la deforestación ha tenido un impacto negativo sobre mujeres rurales en Amazonas. Se ha determinado que las mujeres rurales en la región son altamente dependientes de los recursos del bosque como fuente de alimentos, combustible y plantas medicinales por lo que su desaparición hace más difícil sus labores cotidianas más aun si no pueden acceder a alguna actividad económica complementaria para comprar esos bienes. </w:t>
      </w:r>
    </w:p>
    <w:p w14:paraId="1009D335" w14:textId="77777777" w:rsidR="00223873" w:rsidRDefault="00223873">
      <w:pPr>
        <w:ind w:left="-284" w:right="-336"/>
        <w:jc w:val="both"/>
        <w:rPr>
          <w:rFonts w:ascii="Arial Narrow" w:eastAsia="Arial Narrow" w:hAnsi="Arial Narrow" w:cs="Arial Narrow"/>
          <w:sz w:val="20"/>
          <w:szCs w:val="20"/>
        </w:rPr>
      </w:pPr>
    </w:p>
    <w:p w14:paraId="4935E2D1" w14:textId="11095068" w:rsidR="00223873" w:rsidRDefault="00223873">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Mención especial en el contexto sobre el enfoque de género ameritan las mujeres rurales indígenas, sobre todo de los </w:t>
      </w:r>
      <w:r w:rsidR="00455A99">
        <w:rPr>
          <w:rFonts w:ascii="Arial Narrow" w:eastAsia="Arial Narrow" w:hAnsi="Arial Narrow" w:cs="Arial Narrow"/>
          <w:sz w:val="20"/>
          <w:szCs w:val="20"/>
        </w:rPr>
        <w:t>pueblos Awaj</w:t>
      </w:r>
      <w:r w:rsidR="00F6762D">
        <w:rPr>
          <w:rFonts w:ascii="Arial Narrow" w:eastAsia="Arial Narrow" w:hAnsi="Arial Narrow" w:cs="Arial Narrow"/>
          <w:sz w:val="20"/>
          <w:szCs w:val="20"/>
        </w:rPr>
        <w:t>ú</w:t>
      </w:r>
      <w:r w:rsidR="00455A99">
        <w:rPr>
          <w:rFonts w:ascii="Arial Narrow" w:eastAsia="Arial Narrow" w:hAnsi="Arial Narrow" w:cs="Arial Narrow"/>
          <w:sz w:val="20"/>
          <w:szCs w:val="20"/>
        </w:rPr>
        <w:t>n y Huampis</w:t>
      </w:r>
      <w:r w:rsidR="00FC26C5">
        <w:rPr>
          <w:rFonts w:ascii="Arial Narrow" w:eastAsia="Arial Narrow" w:hAnsi="Arial Narrow" w:cs="Arial Narrow"/>
          <w:sz w:val="20"/>
          <w:szCs w:val="20"/>
        </w:rPr>
        <w:t xml:space="preserve">, quienes tienen poca representación como dirigentes o lideresas al menos en espacios formales u organizaciones indígenas. Por ello se sugiere tener especial cuidado en el diseño de los mecanismos de participación que serán implementados para el proyecto a fin de considerar espacios y metodologías apropiadas para considerar sus aportes. </w:t>
      </w:r>
    </w:p>
    <w:p w14:paraId="1A85F459" w14:textId="77777777" w:rsidR="00FC26C5" w:rsidRDefault="00FC26C5">
      <w:pPr>
        <w:ind w:left="-284" w:right="-336"/>
        <w:jc w:val="both"/>
        <w:rPr>
          <w:rFonts w:ascii="Arial Narrow" w:eastAsia="Arial Narrow" w:hAnsi="Arial Narrow" w:cs="Arial Narrow"/>
          <w:sz w:val="20"/>
          <w:szCs w:val="20"/>
        </w:rPr>
      </w:pPr>
    </w:p>
    <w:p w14:paraId="5CDE278C" w14:textId="77777777" w:rsidR="00960717" w:rsidRDefault="00DD4DF5">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Por ello, como parte de la implementación de este proyecto se ha propuesto contratar una consultoría especializada sobre género que pueda determinar la metodología de participación más apropiada y un conjunto de indicadores para monitor</w:t>
      </w:r>
      <w:r w:rsidR="007A6AC1">
        <w:rPr>
          <w:rFonts w:ascii="Arial Narrow" w:eastAsia="Arial Narrow" w:hAnsi="Arial Narrow" w:cs="Arial Narrow"/>
          <w:sz w:val="20"/>
          <w:szCs w:val="20"/>
        </w:rPr>
        <w:t xml:space="preserve">ear la adecuada incorporación del enfoque de género en el proyecto. De igual modo, se </w:t>
      </w:r>
      <w:r w:rsidR="002959E9">
        <w:rPr>
          <w:rFonts w:ascii="Arial Narrow" w:eastAsia="Arial Narrow" w:hAnsi="Arial Narrow" w:cs="Arial Narrow"/>
          <w:sz w:val="20"/>
          <w:szCs w:val="20"/>
        </w:rPr>
        <w:t xml:space="preserve">incluirá esta temática en la inducción y alineamiento estratégico que se realizará al inicio del proyecto para asegurar que el equipo técnico considere esta perspectiva adecuadamente. </w:t>
      </w:r>
    </w:p>
    <w:p w14:paraId="24474C2D" w14:textId="77777777" w:rsidR="00EA0A65" w:rsidRDefault="00EA0A65">
      <w:pPr>
        <w:ind w:left="-284" w:right="-336"/>
        <w:jc w:val="both"/>
        <w:rPr>
          <w:rFonts w:ascii="Arial Narrow" w:eastAsia="Arial Narrow" w:hAnsi="Arial Narrow" w:cs="Arial Narrow"/>
          <w:sz w:val="20"/>
          <w:szCs w:val="20"/>
        </w:rPr>
      </w:pPr>
    </w:p>
    <w:p w14:paraId="5E421AC9" w14:textId="77261574"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Además de tener especial cuidado en la participación, se analizará si las metas y acciones del plan consideran adecuadamente la perspectiva de género observando con especial cuidado si las mujeres tienen un acceso equitativo a los bosques y la tierra, o incentivos para mejorar la eficiencia de sus sistemas productivos bajo un enfoque de producción libre de deforestación toda vez que estas brechas son grandes en la Amazonía peruana. Además, se propondrán medidas especializada para mujeres de pueblos indígenas y analizar el impacto de las actividades agrarias o forestales que serán promovidas por el plan sobre los medios de vida de </w:t>
      </w:r>
      <w:r>
        <w:rPr>
          <w:rFonts w:ascii="Arial Narrow" w:eastAsia="Arial Narrow" w:hAnsi="Arial Narrow" w:cs="Arial Narrow"/>
          <w:sz w:val="20"/>
          <w:szCs w:val="20"/>
        </w:rPr>
        <w:lastRenderedPageBreak/>
        <w:t>las mujeres rurales.  En caso se determinen potenciales impactos se propondrán salvaguardas y sistemas de monitoreo para evitar efectos negativos. Finalmente, y dentro del marco de monitoreo del proyecto, se propondrán indicadores y evaluaciones periódicas para garantizar que las medidas propuestas sean cumplidas.</w:t>
      </w:r>
    </w:p>
    <w:p w14:paraId="0B11F3FC" w14:textId="4AC9D34D" w:rsidR="00225CC0" w:rsidRDefault="00225CC0">
      <w:pPr>
        <w:ind w:left="-284" w:right="-336"/>
        <w:jc w:val="both"/>
        <w:rPr>
          <w:rFonts w:ascii="Arial Narrow" w:eastAsia="Arial Narrow" w:hAnsi="Arial Narrow" w:cs="Arial Narrow"/>
          <w:sz w:val="20"/>
          <w:szCs w:val="20"/>
        </w:rPr>
      </w:pPr>
    </w:p>
    <w:p w14:paraId="3BBC1920" w14:textId="7978004A" w:rsidR="00225CC0" w:rsidRDefault="00225CC0">
      <w:pPr>
        <w:ind w:left="-284" w:right="-336"/>
        <w:jc w:val="both"/>
        <w:rPr>
          <w:rFonts w:ascii="Arial Narrow" w:eastAsia="Arial Narrow" w:hAnsi="Arial Narrow" w:cs="Arial Narrow"/>
          <w:sz w:val="20"/>
          <w:szCs w:val="20"/>
        </w:rPr>
      </w:pPr>
      <w:r w:rsidRPr="00225CC0">
        <w:rPr>
          <w:rFonts w:ascii="Arial Narrow" w:eastAsia="Arial Narrow" w:hAnsi="Arial Narrow" w:cs="Arial Narrow"/>
          <w:sz w:val="20"/>
          <w:szCs w:val="20"/>
        </w:rPr>
        <w:t>A fin de asegurar la debida incorporación del enfoque de género, en adición a contar con una persona responsable en el equipo</w:t>
      </w:r>
      <w:r>
        <w:rPr>
          <w:rFonts w:ascii="Arial Narrow" w:eastAsia="Arial Narrow" w:hAnsi="Arial Narrow" w:cs="Arial Narrow"/>
          <w:sz w:val="20"/>
          <w:szCs w:val="20"/>
        </w:rPr>
        <w:t xml:space="preserve"> y </w:t>
      </w:r>
      <w:r w:rsidR="00960717">
        <w:rPr>
          <w:rFonts w:ascii="Arial Narrow" w:eastAsia="Arial Narrow" w:hAnsi="Arial Narrow" w:cs="Arial Narrow"/>
          <w:sz w:val="20"/>
          <w:szCs w:val="20"/>
        </w:rPr>
        <w:t>de las medidas arriba señaladas.</w:t>
      </w:r>
    </w:p>
    <w:p w14:paraId="290A72F4" w14:textId="77777777" w:rsidR="00EA0A65" w:rsidRDefault="00EA0A65">
      <w:pPr>
        <w:ind w:left="-284" w:right="-336"/>
        <w:rPr>
          <w:rFonts w:ascii="Arial Narrow" w:eastAsia="Arial Narrow" w:hAnsi="Arial Narrow" w:cs="Arial Narrow"/>
          <w:sz w:val="20"/>
          <w:szCs w:val="20"/>
        </w:rPr>
      </w:pPr>
    </w:p>
    <w:p w14:paraId="10E8BDA1" w14:textId="77777777" w:rsidR="00EA0A65" w:rsidRDefault="002959E9">
      <w:pPr>
        <w:ind w:left="-284" w:right="-336"/>
        <w:rPr>
          <w:rFonts w:ascii="Arial Narrow" w:eastAsia="Arial Narrow" w:hAnsi="Arial Narrow" w:cs="Arial Narrow"/>
          <w:b/>
          <w:sz w:val="20"/>
          <w:szCs w:val="20"/>
        </w:rPr>
      </w:pPr>
      <w:r>
        <w:rPr>
          <w:rFonts w:ascii="Arial Narrow" w:eastAsia="Arial Narrow" w:hAnsi="Arial Narrow" w:cs="Arial Narrow"/>
          <w:b/>
          <w:sz w:val="20"/>
          <w:szCs w:val="20"/>
        </w:rPr>
        <w:t>Gestión de conocimientos y comunicaciones</w:t>
      </w:r>
    </w:p>
    <w:p w14:paraId="0BB00FBF" w14:textId="77777777" w:rsidR="00960717" w:rsidRDefault="00960717">
      <w:pPr>
        <w:ind w:left="-284" w:right="-336"/>
        <w:jc w:val="both"/>
        <w:rPr>
          <w:rFonts w:ascii="Arial Narrow" w:eastAsia="Arial Narrow" w:hAnsi="Arial Narrow" w:cs="Arial Narrow"/>
          <w:sz w:val="20"/>
          <w:szCs w:val="20"/>
        </w:rPr>
      </w:pPr>
    </w:p>
    <w:p w14:paraId="4B11DC6E" w14:textId="77777777" w:rsidR="00A066B8"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Parte del aporte de EII es su experiencia en recoger, sistematizar y compartir información basada en trabajos de investigación y procesos de campo con actores a diferente nivel. El equipo global de EII apoyará al equipo del Programa Perú y socios locales en esta tarea. Se preparará documentos informativos sobre el proceso y documentos sobre productos intermedios como el análisis de drivers y actores de deforestación, en éste caso con ICRAF. Lo socios locales tiene experiencia en procesos participativos, recojo de información y comunicaciones, que contribuirán a la tarea. Se empleará al máximo las páginas institucionales del gobierno regional, entidades nacionales y de las propias ONG socias para anunciar el proceso y divulgar sus avances y resultados. Una persona del equipo será responsable de la sistematización del proceso, experiencia y resultado. </w:t>
      </w:r>
    </w:p>
    <w:p w14:paraId="13D7A7AA" w14:textId="77777777" w:rsidR="00A066B8" w:rsidRDefault="00A066B8">
      <w:pPr>
        <w:ind w:left="-284" w:right="-336"/>
        <w:jc w:val="both"/>
        <w:rPr>
          <w:rFonts w:ascii="Arial Narrow" w:eastAsia="Arial Narrow" w:hAnsi="Arial Narrow" w:cs="Arial Narrow"/>
          <w:sz w:val="20"/>
          <w:szCs w:val="20"/>
        </w:rPr>
      </w:pPr>
    </w:p>
    <w:p w14:paraId="4BBF8BCD" w14:textId="5347E844"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De acuerdo al plan de involucramiento, se devolverá a los participantes los productos generados con su aporte.  Los productos del proceso podrán ser divulgados en espacios diversos, desde publicaciones científicas y divulgativas -parte del trabajo de EII</w:t>
      </w:r>
      <w:r>
        <w:rPr>
          <w:rFonts w:ascii="Arial Narrow" w:eastAsia="Arial Narrow" w:hAnsi="Arial Narrow" w:cs="Arial Narrow"/>
          <w:sz w:val="20"/>
          <w:szCs w:val="20"/>
          <w:vertAlign w:val="superscript"/>
        </w:rPr>
        <w:footnoteReference w:id="25"/>
      </w:r>
      <w:r>
        <w:rPr>
          <w:rFonts w:ascii="Arial Narrow" w:eastAsia="Arial Narrow" w:hAnsi="Arial Narrow" w:cs="Arial Narrow"/>
          <w:sz w:val="20"/>
          <w:szCs w:val="20"/>
        </w:rPr>
        <w:t>- hasta medios de comunicación. Desde el equipo nacional de EII se brindará apoyo en materia de estrategia de comunicaciones al equipo regional de la estrategia. A nivel nacional se coordinará con la coordinación nacional de GCF y a nivel global con la Secretaría de GCF, para colaborar en la comunicación a esa escala. Eventos nacionales, como la Expoamazónica, el espacio Dialoguemos, impulsado por el MINAM, las reuniones del GCF y otros espacios pueden ser usados para mostrar los avances.</w:t>
      </w:r>
    </w:p>
    <w:p w14:paraId="0E6307CD"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082EEC2A"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0B26AC93" w14:textId="77777777" w:rsidR="00EA0A65" w:rsidRDefault="002959E9">
      <w:pPr>
        <w:widowControl w:val="0"/>
        <w:numPr>
          <w:ilvl w:val="0"/>
          <w:numId w:val="16"/>
        </w:numPr>
        <w:pBdr>
          <w:top w:val="nil"/>
          <w:left w:val="nil"/>
          <w:bottom w:val="single" w:sz="4" w:space="1" w:color="000000"/>
          <w:right w:val="nil"/>
          <w:between w:val="nil"/>
        </w:pBdr>
        <w:ind w:left="-284" w:right="-336" w:firstLine="0"/>
        <w:contextualSpacing/>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RIESGOS, MONITOREO Y EVALUACIÓN</w:t>
      </w:r>
    </w:p>
    <w:p w14:paraId="65B74869" w14:textId="77777777" w:rsidR="00EA0A65" w:rsidRDefault="00EA0A65">
      <w:pPr>
        <w:widowControl w:val="0"/>
        <w:ind w:left="-284" w:right="-336"/>
        <w:rPr>
          <w:rFonts w:ascii="Arial Narrow" w:eastAsia="Arial Narrow" w:hAnsi="Arial Narrow" w:cs="Arial Narrow"/>
          <w:b/>
          <w:sz w:val="20"/>
          <w:szCs w:val="20"/>
        </w:rPr>
      </w:pPr>
    </w:p>
    <w:p w14:paraId="37C55B1D" w14:textId="77777777" w:rsidR="00941EA8" w:rsidRDefault="00941EA8">
      <w:pPr>
        <w:widowControl w:val="0"/>
        <w:ind w:left="-284" w:right="-336"/>
        <w:rPr>
          <w:rFonts w:ascii="Arial Narrow" w:eastAsia="Arial Narrow" w:hAnsi="Arial Narrow" w:cs="Arial Narrow"/>
          <w:b/>
          <w:sz w:val="20"/>
          <w:szCs w:val="20"/>
        </w:rPr>
      </w:pPr>
    </w:p>
    <w:p w14:paraId="4361C926" w14:textId="77777777" w:rsidR="00EA0A65" w:rsidRDefault="002959E9">
      <w:pPr>
        <w:widowControl w:val="0"/>
        <w:ind w:left="-284" w:right="-336" w:firstLine="142"/>
        <w:rPr>
          <w:rFonts w:ascii="Arial Narrow" w:eastAsia="Arial Narrow" w:hAnsi="Arial Narrow" w:cs="Arial Narrow"/>
          <w:b/>
          <w:sz w:val="20"/>
          <w:szCs w:val="20"/>
        </w:rPr>
      </w:pPr>
      <w:r>
        <w:rPr>
          <w:rFonts w:ascii="Arial Narrow" w:eastAsia="Arial Narrow" w:hAnsi="Arial Narrow" w:cs="Arial Narrow"/>
          <w:b/>
          <w:sz w:val="20"/>
          <w:szCs w:val="20"/>
        </w:rPr>
        <w:t xml:space="preserve">2.1    </w:t>
      </w:r>
      <w:r>
        <w:rPr>
          <w:rFonts w:ascii="Arial Narrow" w:eastAsia="Arial Narrow" w:hAnsi="Arial Narrow" w:cs="Arial Narrow"/>
          <w:b/>
          <w:sz w:val="20"/>
          <w:szCs w:val="20"/>
        </w:rPr>
        <w:tab/>
        <w:t>Gestión de riesgos</w:t>
      </w:r>
    </w:p>
    <w:p w14:paraId="1AEA833A" w14:textId="77777777" w:rsidR="002E6E7E" w:rsidRDefault="002E6E7E" w:rsidP="00225CC0">
      <w:pPr>
        <w:widowControl w:val="0"/>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196E8AF4" w14:textId="77777777" w:rsidR="00EA0A65" w:rsidRDefault="002959E9" w:rsidP="00225CC0">
      <w:pPr>
        <w:widowControl w:val="0"/>
        <w:pBdr>
          <w:top w:val="nil"/>
          <w:left w:val="nil"/>
          <w:bottom w:val="nil"/>
          <w:right w:val="nil"/>
          <w:between w:val="nil"/>
        </w:pBdr>
        <w:ind w:left="-284" w:right="-336"/>
        <w:jc w:val="both"/>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rPr>
        <w:t>Tal como ha sido indicado en el marco de resultados, existen riesgos importantes que deben ser considerandos durante la implementación del Proyecto. Estos riesgos están asociados a: a) cambios de autoridades políticas regionales por el proceso de elecciones en octubre del 2018, b) cambios en las autoridades políticas y técnicas nacionales, c) falta de interés o conflicto de intereses entre actores durante el proceso de construcción del plan, d) presión de actividades y economías ilegales en la Región para mantener deforestación, e) dificultad para conseguir especialistas para implementar el proyecto, f) alta rotación de funcionarios con responsabilidad en diseñar el plan, g) conflictos sociales con pueblos indígenas, y h) dificultades en la cooperación y coordinación de actividades socias o externas durante la implementación del proyecto. Se presenta una tabla en el Anexo VI que describe cada uno de los riesgos y las medidas de contingencia propuestas.</w:t>
      </w:r>
    </w:p>
    <w:p w14:paraId="40D56571" w14:textId="77777777" w:rsidR="00EA0A65" w:rsidRDefault="00EA0A65">
      <w:pPr>
        <w:widowControl w:val="0"/>
        <w:ind w:left="-284" w:right="-336"/>
        <w:rPr>
          <w:rFonts w:ascii="Arial Narrow" w:eastAsia="Arial Narrow" w:hAnsi="Arial Narrow" w:cs="Arial Narrow"/>
          <w:sz w:val="20"/>
          <w:szCs w:val="20"/>
        </w:rPr>
      </w:pPr>
    </w:p>
    <w:p w14:paraId="55A17FBC" w14:textId="77777777" w:rsidR="00EA0A65" w:rsidRDefault="002959E9">
      <w:pPr>
        <w:widowControl w:val="0"/>
        <w:numPr>
          <w:ilvl w:val="1"/>
          <w:numId w:val="20"/>
        </w:numPr>
        <w:pBdr>
          <w:top w:val="nil"/>
          <w:left w:val="nil"/>
          <w:bottom w:val="nil"/>
          <w:right w:val="nil"/>
          <w:between w:val="nil"/>
        </w:pBdr>
        <w:ind w:left="-284" w:right="-336" w:firstLine="142"/>
        <w:contextualSpacing/>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Monitoreo </w:t>
      </w:r>
    </w:p>
    <w:p w14:paraId="31B916AC" w14:textId="77777777" w:rsidR="002E6E7E" w:rsidRDefault="002E6E7E">
      <w:pPr>
        <w:ind w:left="-284" w:right="-336"/>
        <w:jc w:val="both"/>
        <w:rPr>
          <w:rFonts w:ascii="Arial Narrow" w:eastAsia="Arial Narrow" w:hAnsi="Arial Narrow" w:cs="Arial Narrow"/>
          <w:sz w:val="20"/>
          <w:szCs w:val="20"/>
        </w:rPr>
      </w:pPr>
    </w:p>
    <w:p w14:paraId="27717ED4" w14:textId="77777777" w:rsidR="00941EA8"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Como ya ha sido indicado anteriormente, el presente proyecto se inserta en una intervención concebida como un Programa con seis proyectos, correspondientes a las regiones miembros del GCF-TF en el Perú.  En forma consistente con este enfoque, se seleccionó una parte responsable común a todos los proyectos comprometidos y para la conducción del Programa multirregión se ha propuesto dotarse de una Unidad de Coordinación Central, encargada de articular los procesos regionales y el interaprendizaje entre los mismos. </w:t>
      </w:r>
    </w:p>
    <w:p w14:paraId="5A21E375" w14:textId="77777777" w:rsidR="00941EA8" w:rsidRDefault="00941EA8">
      <w:pPr>
        <w:ind w:left="-284" w:right="-336"/>
        <w:jc w:val="both"/>
        <w:rPr>
          <w:rFonts w:ascii="Arial Narrow" w:eastAsia="Arial Narrow" w:hAnsi="Arial Narrow" w:cs="Arial Narrow"/>
          <w:sz w:val="20"/>
          <w:szCs w:val="20"/>
        </w:rPr>
      </w:pPr>
    </w:p>
    <w:p w14:paraId="39DD0D2D" w14:textId="77777777" w:rsidR="00941EA8"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La Unidad de Coordinación Central contará con la Unidad de Monitoreo y Sistematización del Programa, la misma que será responsable de diseñar y conducir el monitoreo de actividades y avance del proceso en las </w:t>
      </w:r>
      <w:r w:rsidR="00225CC0">
        <w:rPr>
          <w:rFonts w:ascii="Arial Narrow" w:eastAsia="Arial Narrow" w:hAnsi="Arial Narrow" w:cs="Arial Narrow"/>
          <w:sz w:val="20"/>
          <w:szCs w:val="20"/>
        </w:rPr>
        <w:t>seis</w:t>
      </w:r>
      <w:r>
        <w:rPr>
          <w:rFonts w:ascii="Arial Narrow" w:eastAsia="Arial Narrow" w:hAnsi="Arial Narrow" w:cs="Arial Narrow"/>
          <w:sz w:val="20"/>
          <w:szCs w:val="20"/>
        </w:rPr>
        <w:t xml:space="preserve"> regiones, asegurar el registro y apoyo a los equipos regionales en la sistematización de la información y en la aplicación de salvaguardas, garantizando la construcción de enfoques comunes y la consistencia entre los planes, así como asegurar una eficiente articulación con el gobierno central y los procesos nacionales. </w:t>
      </w:r>
    </w:p>
    <w:p w14:paraId="2B4CAE3E" w14:textId="77777777" w:rsidR="00941EA8" w:rsidRDefault="00941EA8">
      <w:pPr>
        <w:ind w:left="-284" w:right="-336"/>
        <w:jc w:val="both"/>
        <w:rPr>
          <w:rFonts w:ascii="Arial Narrow" w:eastAsia="Arial Narrow" w:hAnsi="Arial Narrow" w:cs="Arial Narrow"/>
          <w:sz w:val="20"/>
          <w:szCs w:val="20"/>
        </w:rPr>
      </w:pPr>
    </w:p>
    <w:p w14:paraId="2FAE276A" w14:textId="704F3FBA"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La Unidad de Monitoreo y Sistematización será el nexo permanente con el Grupo Técnico Regional, establecido en el Gobierno Regional, brindando asistencia para la generación y procesamiento de la información y análisis de las tendencias de los principales procesos a monitorear a partir del marco de resultados, con un enfoque de monitoreo participativo en el que se involucre al conjunto de los actores identificados, mediante una interacción directa entre todos los actores involucrados en las acciones del proyecto.</w:t>
      </w:r>
    </w:p>
    <w:p w14:paraId="472AD85C" w14:textId="77777777" w:rsidR="00EA0A65" w:rsidRDefault="00EA0A65">
      <w:pPr>
        <w:ind w:left="-284" w:right="-336"/>
        <w:jc w:val="both"/>
        <w:rPr>
          <w:rFonts w:ascii="Arial Narrow" w:eastAsia="Arial Narrow" w:hAnsi="Arial Narrow" w:cs="Arial Narrow"/>
          <w:sz w:val="20"/>
          <w:szCs w:val="20"/>
        </w:rPr>
      </w:pPr>
    </w:p>
    <w:p w14:paraId="51BB2CDE" w14:textId="6FF2A78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Para el funcionamiento operativo de la Unidad de Monitoreo y Sistematización, esta contará con una contraparte en cada Grupo Técnico Regional, constituyendo un núcleo operador en el Programa, orientado a consolidar dos niveles de monitoreo: a) desempeño: para analizar los avances con relación a los resultados propuestos por el proyecto, y b) operativo: para garantizar el seguimiento y control de las tareas cotidianas del grupo técnico regional respectivo y su correlato administrativo.</w:t>
      </w:r>
      <w:r w:rsidR="00A066B8">
        <w:rPr>
          <w:rFonts w:ascii="Arial Narrow" w:eastAsia="Arial Narrow" w:hAnsi="Arial Narrow" w:cs="Arial Narrow"/>
          <w:sz w:val="20"/>
          <w:szCs w:val="20"/>
        </w:rPr>
        <w:t xml:space="preserve"> Cabe precisar que se incluirán dentro de las actividades de monitoreo, el seguimiento al avance de los indicadores sobre género que sean planteados en la consultoría especializada que será contratada al inicio del proyecto. </w:t>
      </w:r>
    </w:p>
    <w:p w14:paraId="62C2602A" w14:textId="77777777" w:rsidR="00A066B8" w:rsidRDefault="00A066B8">
      <w:pPr>
        <w:widowControl w:val="0"/>
        <w:ind w:left="-284" w:right="-336"/>
        <w:rPr>
          <w:rFonts w:ascii="Arial Narrow" w:eastAsia="Arial Narrow" w:hAnsi="Arial Narrow" w:cs="Arial Narrow"/>
          <w:sz w:val="20"/>
          <w:szCs w:val="20"/>
        </w:rPr>
      </w:pPr>
    </w:p>
    <w:p w14:paraId="057D9FCA" w14:textId="77777777" w:rsidR="00EA0A65" w:rsidRDefault="002959E9" w:rsidP="00B71CF9">
      <w:pPr>
        <w:widowControl w:val="0"/>
        <w:ind w:left="-284" w:right="-336"/>
        <w:rPr>
          <w:rFonts w:ascii="Arial Narrow" w:eastAsia="Arial Narrow" w:hAnsi="Arial Narrow" w:cs="Arial Narrow"/>
          <w:b/>
          <w:sz w:val="20"/>
          <w:szCs w:val="20"/>
        </w:rPr>
      </w:pPr>
      <w:r>
        <w:rPr>
          <w:rFonts w:ascii="Arial Narrow" w:eastAsia="Arial Narrow" w:hAnsi="Arial Narrow" w:cs="Arial Narrow"/>
          <w:b/>
          <w:sz w:val="20"/>
          <w:szCs w:val="20"/>
        </w:rPr>
        <w:t xml:space="preserve">2.3    Sustentabilidad de los resultados </w:t>
      </w:r>
    </w:p>
    <w:p w14:paraId="24A78CB8" w14:textId="77777777" w:rsidR="002E6E7E" w:rsidRDefault="002E6E7E">
      <w:pPr>
        <w:ind w:left="-284" w:right="-336"/>
        <w:jc w:val="both"/>
        <w:rPr>
          <w:rFonts w:ascii="Arial Narrow" w:eastAsia="Arial Narrow" w:hAnsi="Arial Narrow" w:cs="Arial Narrow"/>
          <w:sz w:val="20"/>
          <w:szCs w:val="20"/>
        </w:rPr>
      </w:pPr>
    </w:p>
    <w:p w14:paraId="3F6422EB" w14:textId="77777777" w:rsidR="00941EA8"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La base de la sustentabilidad del Proyecto descansa en la orientación explícita de articular el plan de desarrollo rural bajo en emisiones como un enfoque de trabajo en los instrumentos de gestión de las instancias involucradas (Gobierno Regional, Gobiernos Locales). Con los insumos generados por el Proyecto, el Plan de Desarrollo Regional Concertado (PDRC) y Planes de Desarrollo Local Concertado (provincias y distritos) podrán ser ajustados para involucrar de manera más adecuada la propuesta de visión y metas generadas. Además, es posible lograr que las instancias nacionales prioritarias, como el Ministerio del Ambiente (MINAM), el Ministerio de Agricultura y Riego (MINAGRI), el Servicio Nacional Forestal y de Fauna Silvestre (SERFOR), entre otros, puedan orientar sus intervenciones, ver Anexo VII , en base al plan que generará el proyecto destinando recursos para las actividades priorizadas. </w:t>
      </w:r>
    </w:p>
    <w:p w14:paraId="304AF6F6" w14:textId="77777777" w:rsidR="00941EA8" w:rsidRDefault="00941EA8">
      <w:pPr>
        <w:ind w:left="-284" w:right="-336"/>
        <w:jc w:val="both"/>
        <w:rPr>
          <w:rFonts w:ascii="Arial Narrow" w:eastAsia="Arial Narrow" w:hAnsi="Arial Narrow" w:cs="Arial Narrow"/>
          <w:sz w:val="20"/>
          <w:szCs w:val="20"/>
        </w:rPr>
      </w:pPr>
    </w:p>
    <w:p w14:paraId="3F67BB8F" w14:textId="7F9C753F"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Por otro lado, la intervención busca movilizar a los actores locales y sus organizaciones, como soporte y base social a un plan que les brinda beneficios tangibles. La incorporación de los distintos intereses económicos y sociales, estableciendo acuerdos para la gestión sostenible del territorio será una de las claves para la sustentabilidad de esta intervención, en la que uno de sus retos mayores es el involucramiento de los actores privados, principalmente los ligados a los sectores más modernos de la economía regional, cuyo rol en el crecimiento sostenido de la región en la última década es bastante conocido. En el caso de Amazonas, es importante además resaltar la oportunidad de alinear estratégicamente a todas las intervenciones de proyectos financiados por la Agencia Noruega de Cooperación para el Desarrollo (NORAD) bajo este plan que permitan escalar los resultados más allá de un ámbito focalizado de intervención. </w:t>
      </w:r>
    </w:p>
    <w:p w14:paraId="0993391D" w14:textId="77777777" w:rsidR="00EA0A65" w:rsidRDefault="00EA0A65">
      <w:pPr>
        <w:ind w:left="-284" w:right="-336"/>
        <w:jc w:val="both"/>
        <w:rPr>
          <w:rFonts w:ascii="Arial Narrow" w:eastAsia="Arial Narrow" w:hAnsi="Arial Narrow" w:cs="Arial Narrow"/>
          <w:sz w:val="20"/>
          <w:szCs w:val="20"/>
        </w:rPr>
      </w:pPr>
    </w:p>
    <w:p w14:paraId="7002D10B" w14:textId="77777777" w:rsidR="00EA0A65" w:rsidRDefault="00EA0A65">
      <w:pPr>
        <w:ind w:left="-284" w:right="-336"/>
        <w:rPr>
          <w:rFonts w:ascii="Arial Narrow" w:eastAsia="Arial Narrow" w:hAnsi="Arial Narrow" w:cs="Arial Narrow"/>
          <w:sz w:val="20"/>
          <w:szCs w:val="20"/>
        </w:rPr>
      </w:pPr>
    </w:p>
    <w:p w14:paraId="371A8616" w14:textId="77777777" w:rsidR="00EA0A65" w:rsidRDefault="002959E9">
      <w:pPr>
        <w:widowControl w:val="0"/>
        <w:numPr>
          <w:ilvl w:val="0"/>
          <w:numId w:val="22"/>
        </w:numPr>
        <w:pBdr>
          <w:top w:val="nil"/>
          <w:left w:val="nil"/>
          <w:bottom w:val="single" w:sz="4" w:space="1" w:color="000000"/>
          <w:right w:val="nil"/>
          <w:between w:val="nil"/>
        </w:pBdr>
        <w:ind w:left="-142" w:right="-567" w:firstLine="142"/>
        <w:contextualSpacing/>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PRESUPUESTO </w:t>
      </w:r>
    </w:p>
    <w:p w14:paraId="0F96D3D6" w14:textId="77777777" w:rsidR="00EA0A65" w:rsidRDefault="00EA0A65">
      <w:pPr>
        <w:widowControl w:val="0"/>
        <w:ind w:hanging="142"/>
        <w:jc w:val="both"/>
        <w:rPr>
          <w:rFonts w:ascii="Arial Narrow" w:eastAsia="Arial Narrow" w:hAnsi="Arial Narrow" w:cs="Arial Narrow"/>
          <w:sz w:val="20"/>
          <w:szCs w:val="20"/>
        </w:rPr>
      </w:pPr>
    </w:p>
    <w:p w14:paraId="46F1059F" w14:textId="77777777" w:rsidR="00941EA8" w:rsidRDefault="00941EA8">
      <w:pPr>
        <w:widowControl w:val="0"/>
        <w:ind w:hanging="142"/>
        <w:jc w:val="both"/>
        <w:rPr>
          <w:rFonts w:ascii="Arial Narrow" w:eastAsia="Arial Narrow" w:hAnsi="Arial Narrow" w:cs="Arial Narrow"/>
          <w:sz w:val="20"/>
          <w:szCs w:val="20"/>
        </w:rPr>
      </w:pPr>
    </w:p>
    <w:p w14:paraId="2849640D" w14:textId="77777777" w:rsidR="00EA0A65" w:rsidRDefault="002959E9">
      <w:pPr>
        <w:pStyle w:val="Heading3"/>
        <w:keepNext w:val="0"/>
        <w:keepLines w:val="0"/>
        <w:widowControl w:val="0"/>
        <w:numPr>
          <w:ilvl w:val="1"/>
          <w:numId w:val="22"/>
        </w:numPr>
        <w:spacing w:before="0"/>
        <w:ind w:left="-142" w:hanging="142"/>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Presupuesto por actividades</w:t>
      </w:r>
    </w:p>
    <w:p w14:paraId="2290201D" w14:textId="77777777" w:rsidR="00EA0A65" w:rsidRDefault="00EA0A65">
      <w:pPr>
        <w:ind w:hanging="142"/>
      </w:pPr>
    </w:p>
    <w:p w14:paraId="61EFBFA7" w14:textId="77777777" w:rsidR="00941EA8" w:rsidRDefault="00941EA8" w:rsidP="00941EA8">
      <w:pPr>
        <w:ind w:left="-142"/>
        <w:jc w:val="both"/>
        <w:rPr>
          <w:rFonts w:ascii="Arial Narrow" w:hAnsi="Arial Narrow"/>
          <w:sz w:val="20"/>
          <w:szCs w:val="20"/>
          <w:lang w:eastAsia="en-GB"/>
        </w:rPr>
      </w:pPr>
      <w:r>
        <w:rPr>
          <w:rFonts w:ascii="Arial Narrow" w:hAnsi="Arial Narrow"/>
          <w:sz w:val="20"/>
          <w:szCs w:val="20"/>
          <w:lang w:eastAsia="en-GB"/>
        </w:rPr>
        <w:t>Se adjunta a continuación el presupuesto detallado por actividad, costo, año e institución que participa en el proyecto. Acompaña a esta propuesta un archivo en Excel con esta información.</w:t>
      </w:r>
    </w:p>
    <w:p w14:paraId="45984EE5" w14:textId="77777777" w:rsidR="00941EA8" w:rsidRDefault="00941EA8" w:rsidP="00941EA8">
      <w:pPr>
        <w:ind w:left="-142"/>
        <w:jc w:val="both"/>
        <w:rPr>
          <w:rFonts w:ascii="Arial Narrow" w:hAnsi="Arial Narrow"/>
          <w:sz w:val="20"/>
          <w:szCs w:val="20"/>
          <w:lang w:eastAsia="en-GB"/>
        </w:rPr>
      </w:pPr>
    </w:p>
    <w:p w14:paraId="7F17903D" w14:textId="77777777" w:rsidR="00941EA8" w:rsidRDefault="00941EA8" w:rsidP="00941EA8">
      <w:pPr>
        <w:widowControl w:val="0"/>
        <w:autoSpaceDE w:val="0"/>
        <w:autoSpaceDN w:val="0"/>
        <w:adjustRightInd w:val="0"/>
        <w:jc w:val="center"/>
        <w:rPr>
          <w:rFonts w:ascii="Arial Narrow" w:hAnsi="Arial Narrow" w:cs="Arial"/>
          <w:b/>
          <w:bCs/>
          <w:sz w:val="20"/>
          <w:szCs w:val="20"/>
        </w:rPr>
      </w:pPr>
      <w:r w:rsidRPr="00BD5D97">
        <w:rPr>
          <w:rFonts w:ascii="Arial Narrow" w:hAnsi="Arial Narrow" w:cs="Arial"/>
          <w:b/>
          <w:bCs/>
          <w:sz w:val="20"/>
          <w:szCs w:val="20"/>
        </w:rPr>
        <w:t>Cuadro No 3. Presupuesto resumido por tipo de costo</w:t>
      </w:r>
    </w:p>
    <w:tbl>
      <w:tblPr>
        <w:tblW w:w="9923" w:type="dxa"/>
        <w:tblInd w:w="-289" w:type="dxa"/>
        <w:tblLayout w:type="fixed"/>
        <w:tblCellMar>
          <w:left w:w="70" w:type="dxa"/>
          <w:right w:w="70" w:type="dxa"/>
        </w:tblCellMar>
        <w:tblLook w:val="04A0" w:firstRow="1" w:lastRow="0" w:firstColumn="1" w:lastColumn="0" w:noHBand="0" w:noVBand="1"/>
      </w:tblPr>
      <w:tblGrid>
        <w:gridCol w:w="4113"/>
        <w:gridCol w:w="5810"/>
      </w:tblGrid>
      <w:tr w:rsidR="00941EA8" w:rsidRPr="00941EA8" w14:paraId="77B4ADB5" w14:textId="77777777" w:rsidTr="00941EA8">
        <w:trPr>
          <w:trHeight w:val="320"/>
        </w:trPr>
        <w:tc>
          <w:tcPr>
            <w:tcW w:w="4113" w:type="dxa"/>
            <w:tcBorders>
              <w:top w:val="single" w:sz="4" w:space="0" w:color="000000"/>
              <w:left w:val="single" w:sz="4" w:space="0" w:color="000000"/>
              <w:bottom w:val="single" w:sz="4" w:space="0" w:color="000000"/>
              <w:right w:val="single" w:sz="4" w:space="0" w:color="000000"/>
            </w:tcBorders>
            <w:shd w:val="clear" w:color="FFC000" w:fill="70AD47"/>
            <w:noWrap/>
            <w:hideMark/>
          </w:tcPr>
          <w:p w14:paraId="61F14853" w14:textId="77777777" w:rsidR="00941EA8" w:rsidRPr="00941EA8" w:rsidRDefault="00941EA8">
            <w:pPr>
              <w:rPr>
                <w:rFonts w:ascii="Arial Narrow" w:hAnsi="Arial Narrow"/>
                <w:b/>
                <w:bCs/>
                <w:color w:val="000000"/>
                <w:sz w:val="20"/>
                <w:szCs w:val="20"/>
                <w:lang w:val="es-ES_tradnl" w:eastAsia="es-ES_tradnl"/>
              </w:rPr>
            </w:pPr>
            <w:r w:rsidRPr="00941EA8">
              <w:rPr>
                <w:rFonts w:ascii="Arial Narrow" w:hAnsi="Arial Narrow"/>
                <w:b/>
                <w:bCs/>
                <w:color w:val="000000"/>
                <w:sz w:val="20"/>
                <w:szCs w:val="20"/>
              </w:rPr>
              <w:t xml:space="preserve">Tipo de costo </w:t>
            </w:r>
          </w:p>
        </w:tc>
        <w:tc>
          <w:tcPr>
            <w:tcW w:w="5810" w:type="dxa"/>
            <w:tcBorders>
              <w:top w:val="single" w:sz="4" w:space="0" w:color="000000"/>
              <w:left w:val="nil"/>
              <w:bottom w:val="single" w:sz="4" w:space="0" w:color="000000"/>
              <w:right w:val="single" w:sz="4" w:space="0" w:color="000000"/>
            </w:tcBorders>
            <w:shd w:val="clear" w:color="FFC000" w:fill="70AD47"/>
            <w:noWrap/>
            <w:hideMark/>
          </w:tcPr>
          <w:p w14:paraId="00708541" w14:textId="77777777" w:rsidR="00941EA8" w:rsidRPr="00941EA8" w:rsidRDefault="00941EA8">
            <w:pPr>
              <w:jc w:val="center"/>
              <w:rPr>
                <w:rFonts w:ascii="Arial Narrow" w:hAnsi="Arial Narrow"/>
                <w:b/>
                <w:bCs/>
                <w:color w:val="000000"/>
                <w:sz w:val="20"/>
                <w:szCs w:val="20"/>
              </w:rPr>
            </w:pPr>
            <w:r w:rsidRPr="00941EA8">
              <w:rPr>
                <w:rFonts w:ascii="Arial Narrow" w:hAnsi="Arial Narrow"/>
                <w:b/>
                <w:bCs/>
                <w:color w:val="000000"/>
                <w:sz w:val="20"/>
                <w:szCs w:val="20"/>
              </w:rPr>
              <w:t>Total (USD)</w:t>
            </w:r>
          </w:p>
        </w:tc>
      </w:tr>
      <w:tr w:rsidR="00941EA8" w:rsidRPr="00941EA8" w14:paraId="71F172FA" w14:textId="77777777" w:rsidTr="00941EA8">
        <w:trPr>
          <w:trHeight w:val="73"/>
        </w:trPr>
        <w:tc>
          <w:tcPr>
            <w:tcW w:w="4113" w:type="dxa"/>
            <w:tcBorders>
              <w:top w:val="nil"/>
              <w:left w:val="single" w:sz="4" w:space="0" w:color="000000"/>
              <w:bottom w:val="single" w:sz="4" w:space="0" w:color="000000"/>
              <w:right w:val="single" w:sz="4" w:space="0" w:color="000000"/>
            </w:tcBorders>
            <w:shd w:val="clear" w:color="auto" w:fill="auto"/>
            <w:noWrap/>
            <w:hideMark/>
          </w:tcPr>
          <w:p w14:paraId="6978E134" w14:textId="77777777" w:rsidR="00941EA8" w:rsidRPr="00941EA8" w:rsidRDefault="00941EA8">
            <w:pPr>
              <w:rPr>
                <w:rFonts w:ascii="Arial Narrow" w:hAnsi="Arial Narrow"/>
                <w:color w:val="000000"/>
                <w:sz w:val="20"/>
                <w:szCs w:val="20"/>
              </w:rPr>
            </w:pPr>
            <w:r w:rsidRPr="00941EA8">
              <w:rPr>
                <w:rFonts w:ascii="Arial Narrow" w:hAnsi="Arial Narrow"/>
                <w:color w:val="000000"/>
                <w:sz w:val="20"/>
                <w:szCs w:val="20"/>
              </w:rPr>
              <w:t>1. Staff</w:t>
            </w:r>
          </w:p>
        </w:tc>
        <w:tc>
          <w:tcPr>
            <w:tcW w:w="5810" w:type="dxa"/>
            <w:tcBorders>
              <w:top w:val="nil"/>
              <w:left w:val="nil"/>
              <w:bottom w:val="single" w:sz="4" w:space="0" w:color="000000"/>
              <w:right w:val="single" w:sz="4" w:space="0" w:color="000000"/>
            </w:tcBorders>
            <w:shd w:val="clear" w:color="auto" w:fill="auto"/>
            <w:noWrap/>
            <w:hideMark/>
          </w:tcPr>
          <w:p w14:paraId="5D647536" w14:textId="77777777" w:rsidR="00941EA8" w:rsidRPr="00941EA8" w:rsidRDefault="00941EA8">
            <w:pPr>
              <w:jc w:val="right"/>
              <w:rPr>
                <w:rFonts w:ascii="Arial Narrow" w:hAnsi="Arial Narrow"/>
                <w:color w:val="000000"/>
                <w:sz w:val="20"/>
                <w:szCs w:val="20"/>
              </w:rPr>
            </w:pPr>
            <w:r w:rsidRPr="00941EA8">
              <w:rPr>
                <w:rFonts w:ascii="Arial Narrow" w:hAnsi="Arial Narrow"/>
                <w:color w:val="000000"/>
                <w:sz w:val="20"/>
                <w:szCs w:val="20"/>
              </w:rPr>
              <w:t>USD 201,500.00</w:t>
            </w:r>
          </w:p>
        </w:tc>
      </w:tr>
      <w:tr w:rsidR="00941EA8" w:rsidRPr="00941EA8" w14:paraId="1AD7F12E" w14:textId="77777777" w:rsidTr="00941EA8">
        <w:trPr>
          <w:trHeight w:val="171"/>
        </w:trPr>
        <w:tc>
          <w:tcPr>
            <w:tcW w:w="4113" w:type="dxa"/>
            <w:tcBorders>
              <w:top w:val="nil"/>
              <w:left w:val="single" w:sz="4" w:space="0" w:color="000000"/>
              <w:bottom w:val="single" w:sz="4" w:space="0" w:color="000000"/>
              <w:right w:val="single" w:sz="4" w:space="0" w:color="000000"/>
            </w:tcBorders>
            <w:shd w:val="clear" w:color="auto" w:fill="auto"/>
            <w:noWrap/>
            <w:hideMark/>
          </w:tcPr>
          <w:p w14:paraId="56D4E345" w14:textId="77777777" w:rsidR="00941EA8" w:rsidRPr="00941EA8" w:rsidRDefault="00941EA8">
            <w:pPr>
              <w:rPr>
                <w:rFonts w:ascii="Arial Narrow" w:hAnsi="Arial Narrow"/>
                <w:color w:val="000000"/>
                <w:sz w:val="20"/>
                <w:szCs w:val="20"/>
              </w:rPr>
            </w:pPr>
            <w:r w:rsidRPr="00941EA8">
              <w:rPr>
                <w:rFonts w:ascii="Arial Narrow" w:hAnsi="Arial Narrow"/>
                <w:color w:val="000000"/>
                <w:sz w:val="20"/>
                <w:szCs w:val="20"/>
              </w:rPr>
              <w:t>2. Consultorías y servicios de terceros</w:t>
            </w:r>
          </w:p>
        </w:tc>
        <w:tc>
          <w:tcPr>
            <w:tcW w:w="5810" w:type="dxa"/>
            <w:tcBorders>
              <w:top w:val="nil"/>
              <w:left w:val="nil"/>
              <w:bottom w:val="single" w:sz="4" w:space="0" w:color="000000"/>
              <w:right w:val="single" w:sz="4" w:space="0" w:color="000000"/>
            </w:tcBorders>
            <w:shd w:val="clear" w:color="auto" w:fill="auto"/>
            <w:noWrap/>
            <w:hideMark/>
          </w:tcPr>
          <w:p w14:paraId="401FB10C" w14:textId="77777777" w:rsidR="00941EA8" w:rsidRPr="00941EA8" w:rsidRDefault="00941EA8">
            <w:pPr>
              <w:jc w:val="right"/>
              <w:rPr>
                <w:rFonts w:ascii="Arial Narrow" w:hAnsi="Arial Narrow"/>
                <w:color w:val="000000"/>
                <w:sz w:val="20"/>
                <w:szCs w:val="20"/>
              </w:rPr>
            </w:pPr>
            <w:r w:rsidRPr="00941EA8">
              <w:rPr>
                <w:rFonts w:ascii="Arial Narrow" w:hAnsi="Arial Narrow"/>
                <w:color w:val="000000"/>
                <w:sz w:val="20"/>
                <w:szCs w:val="20"/>
              </w:rPr>
              <w:t>USD 94,832.00</w:t>
            </w:r>
          </w:p>
        </w:tc>
      </w:tr>
      <w:tr w:rsidR="00941EA8" w:rsidRPr="00941EA8" w14:paraId="10615E20" w14:textId="77777777" w:rsidTr="00941EA8">
        <w:trPr>
          <w:trHeight w:val="73"/>
        </w:trPr>
        <w:tc>
          <w:tcPr>
            <w:tcW w:w="4113" w:type="dxa"/>
            <w:tcBorders>
              <w:top w:val="nil"/>
              <w:left w:val="single" w:sz="4" w:space="0" w:color="000000"/>
              <w:bottom w:val="single" w:sz="4" w:space="0" w:color="000000"/>
              <w:right w:val="single" w:sz="4" w:space="0" w:color="000000"/>
            </w:tcBorders>
            <w:shd w:val="clear" w:color="auto" w:fill="auto"/>
            <w:noWrap/>
            <w:hideMark/>
          </w:tcPr>
          <w:p w14:paraId="694C20B0" w14:textId="77777777" w:rsidR="00941EA8" w:rsidRPr="00941EA8" w:rsidRDefault="00941EA8">
            <w:pPr>
              <w:rPr>
                <w:rFonts w:ascii="Arial Narrow" w:hAnsi="Arial Narrow"/>
                <w:color w:val="000000"/>
                <w:sz w:val="20"/>
                <w:szCs w:val="20"/>
              </w:rPr>
            </w:pPr>
            <w:r w:rsidRPr="00941EA8">
              <w:rPr>
                <w:rFonts w:ascii="Arial Narrow" w:hAnsi="Arial Narrow"/>
                <w:color w:val="000000"/>
                <w:sz w:val="20"/>
                <w:szCs w:val="20"/>
              </w:rPr>
              <w:t>3. Talleres y reuniones</w:t>
            </w:r>
          </w:p>
        </w:tc>
        <w:tc>
          <w:tcPr>
            <w:tcW w:w="5810" w:type="dxa"/>
            <w:tcBorders>
              <w:top w:val="nil"/>
              <w:left w:val="nil"/>
              <w:bottom w:val="single" w:sz="4" w:space="0" w:color="000000"/>
              <w:right w:val="single" w:sz="4" w:space="0" w:color="000000"/>
            </w:tcBorders>
            <w:shd w:val="clear" w:color="auto" w:fill="auto"/>
            <w:noWrap/>
            <w:hideMark/>
          </w:tcPr>
          <w:p w14:paraId="288EFBDF" w14:textId="77777777" w:rsidR="00941EA8" w:rsidRPr="00941EA8" w:rsidRDefault="00941EA8">
            <w:pPr>
              <w:jc w:val="right"/>
              <w:rPr>
                <w:rFonts w:ascii="Arial Narrow" w:hAnsi="Arial Narrow"/>
                <w:color w:val="000000"/>
                <w:sz w:val="20"/>
                <w:szCs w:val="20"/>
              </w:rPr>
            </w:pPr>
            <w:r w:rsidRPr="00941EA8">
              <w:rPr>
                <w:rFonts w:ascii="Arial Narrow" w:hAnsi="Arial Narrow"/>
                <w:color w:val="000000"/>
                <w:sz w:val="20"/>
                <w:szCs w:val="20"/>
              </w:rPr>
              <w:t>USD 31,900.00</w:t>
            </w:r>
          </w:p>
        </w:tc>
      </w:tr>
      <w:tr w:rsidR="00941EA8" w:rsidRPr="00941EA8" w14:paraId="42D1F40F" w14:textId="77777777" w:rsidTr="00941EA8">
        <w:trPr>
          <w:trHeight w:val="172"/>
        </w:trPr>
        <w:tc>
          <w:tcPr>
            <w:tcW w:w="4113" w:type="dxa"/>
            <w:tcBorders>
              <w:top w:val="nil"/>
              <w:left w:val="single" w:sz="4" w:space="0" w:color="000000"/>
              <w:bottom w:val="single" w:sz="4" w:space="0" w:color="000000"/>
              <w:right w:val="single" w:sz="4" w:space="0" w:color="000000"/>
            </w:tcBorders>
            <w:shd w:val="clear" w:color="auto" w:fill="auto"/>
            <w:noWrap/>
            <w:hideMark/>
          </w:tcPr>
          <w:p w14:paraId="0264A960" w14:textId="77777777" w:rsidR="00941EA8" w:rsidRPr="00941EA8" w:rsidRDefault="00941EA8">
            <w:pPr>
              <w:rPr>
                <w:rFonts w:ascii="Arial Narrow" w:hAnsi="Arial Narrow"/>
                <w:color w:val="000000"/>
                <w:sz w:val="20"/>
                <w:szCs w:val="20"/>
              </w:rPr>
            </w:pPr>
            <w:r w:rsidRPr="00941EA8">
              <w:rPr>
                <w:rFonts w:ascii="Arial Narrow" w:hAnsi="Arial Narrow"/>
                <w:color w:val="000000"/>
                <w:sz w:val="20"/>
                <w:szCs w:val="20"/>
              </w:rPr>
              <w:t xml:space="preserve">4. Viajes </w:t>
            </w:r>
          </w:p>
        </w:tc>
        <w:tc>
          <w:tcPr>
            <w:tcW w:w="5810" w:type="dxa"/>
            <w:tcBorders>
              <w:top w:val="nil"/>
              <w:left w:val="nil"/>
              <w:bottom w:val="single" w:sz="4" w:space="0" w:color="000000"/>
              <w:right w:val="single" w:sz="4" w:space="0" w:color="000000"/>
            </w:tcBorders>
            <w:shd w:val="clear" w:color="auto" w:fill="auto"/>
            <w:noWrap/>
            <w:hideMark/>
          </w:tcPr>
          <w:p w14:paraId="6AC280BE" w14:textId="77777777" w:rsidR="00941EA8" w:rsidRPr="00941EA8" w:rsidRDefault="00941EA8">
            <w:pPr>
              <w:jc w:val="right"/>
              <w:rPr>
                <w:rFonts w:ascii="Arial Narrow" w:hAnsi="Arial Narrow"/>
                <w:color w:val="000000"/>
                <w:sz w:val="20"/>
                <w:szCs w:val="20"/>
              </w:rPr>
            </w:pPr>
            <w:r w:rsidRPr="00941EA8">
              <w:rPr>
                <w:rFonts w:ascii="Arial Narrow" w:hAnsi="Arial Narrow"/>
                <w:color w:val="000000"/>
                <w:sz w:val="20"/>
                <w:szCs w:val="20"/>
              </w:rPr>
              <w:t>USD 13,500.00</w:t>
            </w:r>
          </w:p>
        </w:tc>
      </w:tr>
      <w:tr w:rsidR="00941EA8" w:rsidRPr="00941EA8" w14:paraId="2CA9C82D" w14:textId="77777777" w:rsidTr="00941EA8">
        <w:trPr>
          <w:trHeight w:val="73"/>
        </w:trPr>
        <w:tc>
          <w:tcPr>
            <w:tcW w:w="4113" w:type="dxa"/>
            <w:tcBorders>
              <w:top w:val="nil"/>
              <w:left w:val="single" w:sz="4" w:space="0" w:color="000000"/>
              <w:bottom w:val="single" w:sz="4" w:space="0" w:color="000000"/>
              <w:right w:val="single" w:sz="4" w:space="0" w:color="000000"/>
            </w:tcBorders>
            <w:shd w:val="clear" w:color="auto" w:fill="auto"/>
            <w:noWrap/>
            <w:hideMark/>
          </w:tcPr>
          <w:p w14:paraId="0B8CB7AC" w14:textId="77777777" w:rsidR="00941EA8" w:rsidRPr="00941EA8" w:rsidRDefault="00941EA8">
            <w:pPr>
              <w:rPr>
                <w:rFonts w:ascii="Arial Narrow" w:hAnsi="Arial Narrow"/>
                <w:color w:val="000000"/>
                <w:sz w:val="20"/>
                <w:szCs w:val="20"/>
              </w:rPr>
            </w:pPr>
            <w:r w:rsidRPr="00941EA8">
              <w:rPr>
                <w:rFonts w:ascii="Arial Narrow" w:hAnsi="Arial Narrow"/>
                <w:color w:val="000000"/>
                <w:sz w:val="20"/>
                <w:szCs w:val="20"/>
              </w:rPr>
              <w:t xml:space="preserve">5. Publicaciones </w:t>
            </w:r>
          </w:p>
        </w:tc>
        <w:tc>
          <w:tcPr>
            <w:tcW w:w="5810" w:type="dxa"/>
            <w:tcBorders>
              <w:top w:val="nil"/>
              <w:left w:val="nil"/>
              <w:bottom w:val="single" w:sz="4" w:space="0" w:color="000000"/>
              <w:right w:val="single" w:sz="4" w:space="0" w:color="000000"/>
            </w:tcBorders>
            <w:shd w:val="clear" w:color="auto" w:fill="auto"/>
            <w:noWrap/>
            <w:hideMark/>
          </w:tcPr>
          <w:p w14:paraId="306EFB41" w14:textId="77777777" w:rsidR="00941EA8" w:rsidRPr="00941EA8" w:rsidRDefault="00941EA8">
            <w:pPr>
              <w:jc w:val="right"/>
              <w:rPr>
                <w:rFonts w:ascii="Arial Narrow" w:hAnsi="Arial Narrow"/>
                <w:color w:val="000000"/>
                <w:sz w:val="20"/>
                <w:szCs w:val="20"/>
              </w:rPr>
            </w:pPr>
            <w:r w:rsidRPr="00941EA8">
              <w:rPr>
                <w:rFonts w:ascii="Arial Narrow" w:hAnsi="Arial Narrow"/>
                <w:color w:val="000000"/>
                <w:sz w:val="20"/>
                <w:szCs w:val="20"/>
              </w:rPr>
              <w:t>USD 1,500.00</w:t>
            </w:r>
          </w:p>
        </w:tc>
      </w:tr>
      <w:tr w:rsidR="00941EA8" w:rsidRPr="00941EA8" w14:paraId="25FFF088" w14:textId="77777777" w:rsidTr="00941EA8">
        <w:trPr>
          <w:trHeight w:val="73"/>
        </w:trPr>
        <w:tc>
          <w:tcPr>
            <w:tcW w:w="4113" w:type="dxa"/>
            <w:tcBorders>
              <w:top w:val="nil"/>
              <w:left w:val="single" w:sz="4" w:space="0" w:color="000000"/>
              <w:bottom w:val="single" w:sz="4" w:space="0" w:color="000000"/>
              <w:right w:val="single" w:sz="4" w:space="0" w:color="000000"/>
            </w:tcBorders>
            <w:shd w:val="clear" w:color="auto" w:fill="auto"/>
            <w:noWrap/>
            <w:hideMark/>
          </w:tcPr>
          <w:p w14:paraId="08713ED7" w14:textId="77777777" w:rsidR="00941EA8" w:rsidRPr="00941EA8" w:rsidRDefault="00941EA8">
            <w:pPr>
              <w:rPr>
                <w:rFonts w:ascii="Arial Narrow" w:hAnsi="Arial Narrow"/>
                <w:color w:val="000000"/>
                <w:sz w:val="20"/>
                <w:szCs w:val="20"/>
              </w:rPr>
            </w:pPr>
            <w:r w:rsidRPr="00941EA8">
              <w:rPr>
                <w:rFonts w:ascii="Arial Narrow" w:hAnsi="Arial Narrow"/>
                <w:color w:val="000000"/>
                <w:sz w:val="20"/>
                <w:szCs w:val="20"/>
              </w:rPr>
              <w:t>6. Materiales de oficina</w:t>
            </w:r>
          </w:p>
        </w:tc>
        <w:tc>
          <w:tcPr>
            <w:tcW w:w="5810" w:type="dxa"/>
            <w:tcBorders>
              <w:top w:val="nil"/>
              <w:left w:val="nil"/>
              <w:bottom w:val="single" w:sz="4" w:space="0" w:color="000000"/>
              <w:right w:val="single" w:sz="4" w:space="0" w:color="000000"/>
            </w:tcBorders>
            <w:shd w:val="clear" w:color="auto" w:fill="auto"/>
            <w:noWrap/>
            <w:hideMark/>
          </w:tcPr>
          <w:p w14:paraId="7B84856F" w14:textId="77777777" w:rsidR="00941EA8" w:rsidRPr="00941EA8" w:rsidRDefault="00941EA8">
            <w:pPr>
              <w:jc w:val="right"/>
              <w:rPr>
                <w:rFonts w:ascii="Arial Narrow" w:hAnsi="Arial Narrow"/>
                <w:color w:val="000000"/>
                <w:sz w:val="20"/>
                <w:szCs w:val="20"/>
              </w:rPr>
            </w:pPr>
            <w:r w:rsidRPr="00941EA8">
              <w:rPr>
                <w:rFonts w:ascii="Arial Narrow" w:hAnsi="Arial Narrow"/>
                <w:color w:val="000000"/>
                <w:sz w:val="20"/>
                <w:szCs w:val="20"/>
              </w:rPr>
              <w:t>USD 5,250.00</w:t>
            </w:r>
          </w:p>
        </w:tc>
      </w:tr>
      <w:tr w:rsidR="00941EA8" w:rsidRPr="00941EA8" w14:paraId="010D5705" w14:textId="77777777" w:rsidTr="00941EA8">
        <w:trPr>
          <w:trHeight w:val="213"/>
        </w:trPr>
        <w:tc>
          <w:tcPr>
            <w:tcW w:w="4113" w:type="dxa"/>
            <w:tcBorders>
              <w:top w:val="nil"/>
              <w:left w:val="single" w:sz="4" w:space="0" w:color="000000"/>
              <w:bottom w:val="single" w:sz="4" w:space="0" w:color="000000"/>
              <w:right w:val="single" w:sz="4" w:space="0" w:color="000000"/>
            </w:tcBorders>
            <w:shd w:val="clear" w:color="auto" w:fill="auto"/>
            <w:noWrap/>
            <w:hideMark/>
          </w:tcPr>
          <w:p w14:paraId="66BB58F6" w14:textId="77777777" w:rsidR="00941EA8" w:rsidRPr="00941EA8" w:rsidRDefault="00941EA8">
            <w:pPr>
              <w:rPr>
                <w:rFonts w:ascii="Arial Narrow" w:hAnsi="Arial Narrow"/>
                <w:color w:val="000000"/>
                <w:sz w:val="20"/>
                <w:szCs w:val="20"/>
              </w:rPr>
            </w:pPr>
            <w:r w:rsidRPr="00941EA8">
              <w:rPr>
                <w:rFonts w:ascii="Arial Narrow" w:hAnsi="Arial Narrow"/>
                <w:color w:val="000000"/>
                <w:sz w:val="20"/>
                <w:szCs w:val="20"/>
              </w:rPr>
              <w:t>7. Evaluaciones y monitoreo</w:t>
            </w:r>
          </w:p>
        </w:tc>
        <w:tc>
          <w:tcPr>
            <w:tcW w:w="5810" w:type="dxa"/>
            <w:tcBorders>
              <w:top w:val="nil"/>
              <w:left w:val="nil"/>
              <w:bottom w:val="single" w:sz="4" w:space="0" w:color="000000"/>
              <w:right w:val="single" w:sz="4" w:space="0" w:color="000000"/>
            </w:tcBorders>
            <w:shd w:val="clear" w:color="auto" w:fill="auto"/>
            <w:noWrap/>
            <w:hideMark/>
          </w:tcPr>
          <w:p w14:paraId="3C50C11D" w14:textId="77777777" w:rsidR="00941EA8" w:rsidRPr="00941EA8" w:rsidRDefault="00941EA8">
            <w:pPr>
              <w:jc w:val="right"/>
              <w:rPr>
                <w:rFonts w:ascii="Arial Narrow" w:hAnsi="Arial Narrow"/>
                <w:color w:val="000000"/>
                <w:sz w:val="20"/>
                <w:szCs w:val="20"/>
              </w:rPr>
            </w:pPr>
            <w:r w:rsidRPr="00941EA8">
              <w:rPr>
                <w:rFonts w:ascii="Arial Narrow" w:hAnsi="Arial Narrow"/>
                <w:color w:val="000000"/>
                <w:sz w:val="20"/>
                <w:szCs w:val="20"/>
              </w:rPr>
              <w:t>USD 16,000.00</w:t>
            </w:r>
          </w:p>
        </w:tc>
      </w:tr>
      <w:tr w:rsidR="00941EA8" w:rsidRPr="00941EA8" w14:paraId="7DFAC8C5" w14:textId="77777777" w:rsidTr="00941EA8">
        <w:trPr>
          <w:trHeight w:val="115"/>
        </w:trPr>
        <w:tc>
          <w:tcPr>
            <w:tcW w:w="4113" w:type="dxa"/>
            <w:tcBorders>
              <w:top w:val="nil"/>
              <w:left w:val="single" w:sz="4" w:space="0" w:color="000000"/>
              <w:bottom w:val="single" w:sz="4" w:space="0" w:color="000000"/>
              <w:right w:val="single" w:sz="4" w:space="0" w:color="000000"/>
            </w:tcBorders>
            <w:shd w:val="clear" w:color="A5A5A5" w:fill="A5A5A5"/>
            <w:noWrap/>
            <w:hideMark/>
          </w:tcPr>
          <w:p w14:paraId="77D01A5A" w14:textId="77777777" w:rsidR="00941EA8" w:rsidRPr="00941EA8" w:rsidRDefault="00941EA8">
            <w:pPr>
              <w:rPr>
                <w:rFonts w:ascii="Arial Narrow" w:hAnsi="Arial Narrow"/>
                <w:color w:val="000000"/>
                <w:sz w:val="20"/>
                <w:szCs w:val="20"/>
              </w:rPr>
            </w:pPr>
            <w:r w:rsidRPr="00941EA8">
              <w:rPr>
                <w:rFonts w:ascii="Arial Narrow" w:hAnsi="Arial Narrow"/>
                <w:color w:val="000000"/>
                <w:sz w:val="20"/>
                <w:szCs w:val="20"/>
              </w:rPr>
              <w:t>Total costos directos</w:t>
            </w:r>
          </w:p>
        </w:tc>
        <w:tc>
          <w:tcPr>
            <w:tcW w:w="5810" w:type="dxa"/>
            <w:tcBorders>
              <w:top w:val="nil"/>
              <w:left w:val="nil"/>
              <w:bottom w:val="single" w:sz="4" w:space="0" w:color="000000"/>
              <w:right w:val="single" w:sz="4" w:space="0" w:color="000000"/>
            </w:tcBorders>
            <w:shd w:val="clear" w:color="A5A5A5" w:fill="A5A5A5"/>
            <w:noWrap/>
            <w:hideMark/>
          </w:tcPr>
          <w:p w14:paraId="058FF01A" w14:textId="77777777" w:rsidR="00941EA8" w:rsidRPr="00941EA8" w:rsidRDefault="00941EA8">
            <w:pPr>
              <w:jc w:val="right"/>
              <w:rPr>
                <w:rFonts w:ascii="Arial Narrow" w:hAnsi="Arial Narrow"/>
                <w:color w:val="000000"/>
                <w:sz w:val="20"/>
                <w:szCs w:val="20"/>
              </w:rPr>
            </w:pPr>
            <w:r w:rsidRPr="00941EA8">
              <w:rPr>
                <w:rFonts w:ascii="Arial Narrow" w:hAnsi="Arial Narrow"/>
                <w:color w:val="000000"/>
                <w:sz w:val="20"/>
                <w:szCs w:val="20"/>
              </w:rPr>
              <w:t>USD 364,482.00</w:t>
            </w:r>
          </w:p>
        </w:tc>
      </w:tr>
      <w:tr w:rsidR="00941EA8" w:rsidRPr="00941EA8" w14:paraId="5CF6E7CD" w14:textId="77777777" w:rsidTr="00941EA8">
        <w:trPr>
          <w:trHeight w:val="73"/>
        </w:trPr>
        <w:tc>
          <w:tcPr>
            <w:tcW w:w="4113" w:type="dxa"/>
            <w:tcBorders>
              <w:top w:val="nil"/>
              <w:left w:val="single" w:sz="4" w:space="0" w:color="000000"/>
              <w:bottom w:val="single" w:sz="4" w:space="0" w:color="000000"/>
              <w:right w:val="single" w:sz="4" w:space="0" w:color="000000"/>
            </w:tcBorders>
            <w:shd w:val="clear" w:color="A5A5A5" w:fill="A5A5A5"/>
            <w:noWrap/>
            <w:hideMark/>
          </w:tcPr>
          <w:p w14:paraId="18F517AB" w14:textId="77777777" w:rsidR="00941EA8" w:rsidRPr="00941EA8" w:rsidRDefault="00941EA8">
            <w:pPr>
              <w:rPr>
                <w:rFonts w:ascii="Arial Narrow" w:hAnsi="Arial Narrow"/>
                <w:color w:val="000000"/>
                <w:sz w:val="20"/>
                <w:szCs w:val="20"/>
              </w:rPr>
            </w:pPr>
            <w:r w:rsidRPr="00941EA8">
              <w:rPr>
                <w:rFonts w:ascii="Arial Narrow" w:hAnsi="Arial Narrow"/>
                <w:color w:val="000000"/>
                <w:sz w:val="20"/>
                <w:szCs w:val="20"/>
              </w:rPr>
              <w:t>Costos indirectos</w:t>
            </w:r>
          </w:p>
        </w:tc>
        <w:tc>
          <w:tcPr>
            <w:tcW w:w="5810" w:type="dxa"/>
            <w:tcBorders>
              <w:top w:val="nil"/>
              <w:left w:val="nil"/>
              <w:bottom w:val="single" w:sz="4" w:space="0" w:color="000000"/>
              <w:right w:val="single" w:sz="4" w:space="0" w:color="000000"/>
            </w:tcBorders>
            <w:shd w:val="clear" w:color="A5A5A5" w:fill="A5A5A5"/>
            <w:noWrap/>
            <w:hideMark/>
          </w:tcPr>
          <w:p w14:paraId="0D99B665" w14:textId="77777777" w:rsidR="00941EA8" w:rsidRPr="00941EA8" w:rsidRDefault="00941EA8">
            <w:pPr>
              <w:jc w:val="right"/>
              <w:rPr>
                <w:rFonts w:ascii="Arial Narrow" w:hAnsi="Arial Narrow"/>
                <w:color w:val="000000"/>
                <w:sz w:val="20"/>
                <w:szCs w:val="20"/>
              </w:rPr>
            </w:pPr>
            <w:r w:rsidRPr="00941EA8">
              <w:rPr>
                <w:rFonts w:ascii="Arial Narrow" w:hAnsi="Arial Narrow"/>
                <w:color w:val="000000"/>
                <w:sz w:val="20"/>
                <w:szCs w:val="20"/>
              </w:rPr>
              <w:t>USD 25,513.74</w:t>
            </w:r>
          </w:p>
        </w:tc>
      </w:tr>
      <w:tr w:rsidR="00941EA8" w:rsidRPr="00941EA8" w14:paraId="3902E6FC" w14:textId="77777777" w:rsidTr="00941EA8">
        <w:trPr>
          <w:trHeight w:val="185"/>
        </w:trPr>
        <w:tc>
          <w:tcPr>
            <w:tcW w:w="4113" w:type="dxa"/>
            <w:tcBorders>
              <w:top w:val="nil"/>
              <w:left w:val="single" w:sz="4" w:space="0" w:color="000000"/>
              <w:bottom w:val="single" w:sz="4" w:space="0" w:color="000000"/>
              <w:right w:val="single" w:sz="4" w:space="0" w:color="000000"/>
            </w:tcBorders>
            <w:shd w:val="clear" w:color="7F7F7F" w:fill="7F7F7F"/>
            <w:noWrap/>
            <w:hideMark/>
          </w:tcPr>
          <w:p w14:paraId="07279CA3" w14:textId="77777777" w:rsidR="00941EA8" w:rsidRPr="00941EA8" w:rsidRDefault="00941EA8">
            <w:pPr>
              <w:rPr>
                <w:rFonts w:ascii="Arial Narrow" w:hAnsi="Arial Narrow"/>
                <w:b/>
                <w:bCs/>
                <w:color w:val="FFFFFF"/>
                <w:sz w:val="20"/>
                <w:szCs w:val="20"/>
              </w:rPr>
            </w:pPr>
            <w:r w:rsidRPr="00941EA8">
              <w:rPr>
                <w:rFonts w:ascii="Arial Narrow" w:hAnsi="Arial Narrow"/>
                <w:b/>
                <w:bCs/>
                <w:color w:val="FFFFFF"/>
                <w:sz w:val="20"/>
                <w:szCs w:val="20"/>
              </w:rPr>
              <w:t xml:space="preserve">Total costo del Proyecto </w:t>
            </w:r>
          </w:p>
        </w:tc>
        <w:tc>
          <w:tcPr>
            <w:tcW w:w="5810" w:type="dxa"/>
            <w:tcBorders>
              <w:top w:val="nil"/>
              <w:left w:val="nil"/>
              <w:bottom w:val="single" w:sz="4" w:space="0" w:color="000000"/>
              <w:right w:val="single" w:sz="4" w:space="0" w:color="000000"/>
            </w:tcBorders>
            <w:shd w:val="clear" w:color="7F7F7F" w:fill="7F7F7F"/>
            <w:noWrap/>
            <w:hideMark/>
          </w:tcPr>
          <w:p w14:paraId="15B0C1AE" w14:textId="77777777" w:rsidR="00941EA8" w:rsidRPr="00941EA8" w:rsidRDefault="00941EA8">
            <w:pPr>
              <w:jc w:val="right"/>
              <w:rPr>
                <w:rFonts w:ascii="Arial Narrow" w:hAnsi="Arial Narrow"/>
                <w:b/>
                <w:bCs/>
                <w:color w:val="FFFFFF"/>
                <w:sz w:val="20"/>
                <w:szCs w:val="20"/>
              </w:rPr>
            </w:pPr>
            <w:r w:rsidRPr="00941EA8">
              <w:rPr>
                <w:rFonts w:ascii="Arial Narrow" w:hAnsi="Arial Narrow"/>
                <w:b/>
                <w:bCs/>
                <w:color w:val="FFFFFF"/>
                <w:sz w:val="20"/>
                <w:szCs w:val="20"/>
              </w:rPr>
              <w:t>USD 389,995.74</w:t>
            </w:r>
          </w:p>
        </w:tc>
      </w:tr>
    </w:tbl>
    <w:p w14:paraId="46056753" w14:textId="77777777" w:rsidR="00941EA8" w:rsidRDefault="00941EA8" w:rsidP="00941EA8">
      <w:pPr>
        <w:widowControl w:val="0"/>
        <w:autoSpaceDE w:val="0"/>
        <w:autoSpaceDN w:val="0"/>
        <w:adjustRightInd w:val="0"/>
        <w:jc w:val="center"/>
        <w:rPr>
          <w:rFonts w:ascii="Arial Narrow" w:hAnsi="Arial Narrow" w:cs="Arial"/>
          <w:b/>
          <w:bCs/>
          <w:sz w:val="20"/>
          <w:szCs w:val="20"/>
        </w:rPr>
      </w:pPr>
    </w:p>
    <w:p w14:paraId="5859BC09" w14:textId="77777777" w:rsidR="00941EA8" w:rsidRDefault="00941EA8" w:rsidP="00941EA8">
      <w:pPr>
        <w:widowControl w:val="0"/>
        <w:autoSpaceDE w:val="0"/>
        <w:autoSpaceDN w:val="0"/>
        <w:adjustRightInd w:val="0"/>
        <w:jc w:val="center"/>
        <w:rPr>
          <w:rFonts w:ascii="Arial Narrow" w:hAnsi="Arial Narrow" w:cs="Arial"/>
          <w:b/>
          <w:bCs/>
          <w:sz w:val="20"/>
          <w:szCs w:val="20"/>
        </w:rPr>
      </w:pPr>
    </w:p>
    <w:p w14:paraId="058F79CB" w14:textId="77777777" w:rsidR="00941EA8" w:rsidRDefault="00941EA8" w:rsidP="00941EA8">
      <w:pPr>
        <w:widowControl w:val="0"/>
        <w:autoSpaceDE w:val="0"/>
        <w:autoSpaceDN w:val="0"/>
        <w:adjustRightInd w:val="0"/>
        <w:jc w:val="center"/>
        <w:rPr>
          <w:rFonts w:ascii="Arial Narrow" w:hAnsi="Arial Narrow" w:cs="Arial"/>
          <w:b/>
          <w:bCs/>
          <w:sz w:val="20"/>
          <w:szCs w:val="20"/>
        </w:rPr>
      </w:pPr>
    </w:p>
    <w:p w14:paraId="6C401006" w14:textId="77777777" w:rsidR="00941EA8" w:rsidRDefault="00941EA8" w:rsidP="00941EA8">
      <w:pPr>
        <w:widowControl w:val="0"/>
        <w:autoSpaceDE w:val="0"/>
        <w:autoSpaceDN w:val="0"/>
        <w:adjustRightInd w:val="0"/>
        <w:jc w:val="center"/>
        <w:rPr>
          <w:rFonts w:ascii="Arial Narrow" w:hAnsi="Arial Narrow" w:cs="Arial"/>
          <w:b/>
          <w:bCs/>
          <w:sz w:val="20"/>
          <w:szCs w:val="20"/>
        </w:rPr>
      </w:pPr>
    </w:p>
    <w:p w14:paraId="70B3A79E" w14:textId="77777777" w:rsidR="00941EA8" w:rsidRDefault="00941EA8" w:rsidP="00941EA8">
      <w:pPr>
        <w:widowControl w:val="0"/>
        <w:autoSpaceDE w:val="0"/>
        <w:autoSpaceDN w:val="0"/>
        <w:adjustRightInd w:val="0"/>
        <w:jc w:val="center"/>
        <w:rPr>
          <w:rFonts w:ascii="Arial Narrow" w:hAnsi="Arial Narrow" w:cs="Arial"/>
          <w:b/>
          <w:bCs/>
          <w:sz w:val="20"/>
          <w:szCs w:val="20"/>
        </w:rPr>
      </w:pPr>
    </w:p>
    <w:p w14:paraId="373258E7" w14:textId="77777777" w:rsidR="00941EA8" w:rsidRDefault="00941EA8" w:rsidP="00941EA8">
      <w:pPr>
        <w:widowControl w:val="0"/>
        <w:autoSpaceDE w:val="0"/>
        <w:autoSpaceDN w:val="0"/>
        <w:adjustRightInd w:val="0"/>
        <w:jc w:val="center"/>
        <w:rPr>
          <w:rFonts w:ascii="Arial Narrow" w:hAnsi="Arial Narrow" w:cs="Arial"/>
          <w:b/>
          <w:bCs/>
          <w:sz w:val="20"/>
          <w:szCs w:val="20"/>
        </w:rPr>
      </w:pPr>
    </w:p>
    <w:p w14:paraId="21895D2D" w14:textId="77777777" w:rsidR="00941EA8" w:rsidRDefault="00941EA8" w:rsidP="00941EA8">
      <w:pPr>
        <w:widowControl w:val="0"/>
        <w:autoSpaceDE w:val="0"/>
        <w:autoSpaceDN w:val="0"/>
        <w:adjustRightInd w:val="0"/>
        <w:jc w:val="center"/>
        <w:rPr>
          <w:rFonts w:ascii="Arial Narrow" w:hAnsi="Arial Narrow" w:cs="Arial"/>
          <w:b/>
          <w:bCs/>
          <w:sz w:val="20"/>
          <w:szCs w:val="20"/>
        </w:rPr>
      </w:pPr>
    </w:p>
    <w:p w14:paraId="31FF67F6" w14:textId="77777777" w:rsidR="001D6B75" w:rsidRDefault="001D6B75" w:rsidP="00941EA8">
      <w:pPr>
        <w:widowControl w:val="0"/>
        <w:autoSpaceDE w:val="0"/>
        <w:autoSpaceDN w:val="0"/>
        <w:adjustRightInd w:val="0"/>
        <w:jc w:val="center"/>
        <w:rPr>
          <w:rFonts w:ascii="Arial Narrow" w:hAnsi="Arial Narrow" w:cs="Arial"/>
          <w:b/>
          <w:bCs/>
          <w:sz w:val="20"/>
          <w:szCs w:val="20"/>
        </w:rPr>
        <w:sectPr w:rsidR="001D6B75">
          <w:type w:val="continuous"/>
          <w:pgSz w:w="11900" w:h="16840"/>
          <w:pgMar w:top="1440" w:right="1440" w:bottom="1440" w:left="1440" w:header="720" w:footer="720" w:gutter="0"/>
          <w:cols w:space="720"/>
        </w:sectPr>
      </w:pPr>
    </w:p>
    <w:p w14:paraId="2DC85739" w14:textId="03B96145" w:rsidR="00941EA8" w:rsidRDefault="001D6B75" w:rsidP="00941EA8">
      <w:pPr>
        <w:widowControl w:val="0"/>
        <w:autoSpaceDE w:val="0"/>
        <w:autoSpaceDN w:val="0"/>
        <w:adjustRightInd w:val="0"/>
        <w:jc w:val="center"/>
        <w:rPr>
          <w:rFonts w:ascii="Arial Narrow" w:hAnsi="Arial Narrow" w:cs="Arial"/>
          <w:b/>
          <w:bCs/>
          <w:sz w:val="20"/>
          <w:szCs w:val="20"/>
        </w:rPr>
      </w:pPr>
      <w:r>
        <w:rPr>
          <w:rFonts w:ascii="Arial Narrow" w:hAnsi="Arial Narrow"/>
          <w:b/>
          <w:sz w:val="20"/>
          <w:szCs w:val="20"/>
          <w:lang w:eastAsia="en-GB"/>
        </w:rPr>
        <w:lastRenderedPageBreak/>
        <w:t>Cuadro No 4 Presupuesto general por actividad con contrapartidas (en especie)</w:t>
      </w:r>
    </w:p>
    <w:tbl>
      <w:tblPr>
        <w:tblW w:w="15310" w:type="dxa"/>
        <w:tblInd w:w="-856" w:type="dxa"/>
        <w:tblLayout w:type="fixed"/>
        <w:tblCellMar>
          <w:left w:w="70" w:type="dxa"/>
          <w:right w:w="70" w:type="dxa"/>
        </w:tblCellMar>
        <w:tblLook w:val="04A0" w:firstRow="1" w:lastRow="0" w:firstColumn="1" w:lastColumn="0" w:noHBand="0" w:noVBand="1"/>
      </w:tblPr>
      <w:tblGrid>
        <w:gridCol w:w="2127"/>
        <w:gridCol w:w="2693"/>
        <w:gridCol w:w="3546"/>
        <w:gridCol w:w="1274"/>
        <w:gridCol w:w="1134"/>
        <w:gridCol w:w="1134"/>
        <w:gridCol w:w="992"/>
        <w:gridCol w:w="1134"/>
        <w:gridCol w:w="1276"/>
      </w:tblGrid>
      <w:tr w:rsidR="00FD1D4D" w:rsidRPr="00FD1D4D" w14:paraId="6BFB813F" w14:textId="77777777" w:rsidTr="00FD1D4D">
        <w:trPr>
          <w:trHeight w:val="320"/>
        </w:trPr>
        <w:tc>
          <w:tcPr>
            <w:tcW w:w="2127" w:type="dxa"/>
            <w:tcBorders>
              <w:top w:val="single" w:sz="4" w:space="0" w:color="auto"/>
              <w:left w:val="single" w:sz="4" w:space="0" w:color="auto"/>
              <w:bottom w:val="single" w:sz="4" w:space="0" w:color="auto"/>
              <w:right w:val="single" w:sz="4" w:space="0" w:color="auto"/>
            </w:tcBorders>
            <w:shd w:val="clear" w:color="000000" w:fill="70AD47"/>
            <w:noWrap/>
            <w:hideMark/>
          </w:tcPr>
          <w:p w14:paraId="26CAF6F1" w14:textId="77777777" w:rsidR="001254DA" w:rsidRPr="00FD1D4D" w:rsidRDefault="001254DA">
            <w:pPr>
              <w:jc w:val="center"/>
              <w:rPr>
                <w:rFonts w:ascii="Arial Narrow" w:hAnsi="Arial Narrow"/>
                <w:b/>
                <w:bCs/>
                <w:color w:val="000000"/>
                <w:sz w:val="14"/>
                <w:szCs w:val="14"/>
                <w:lang w:val="es-ES_tradnl" w:eastAsia="es-ES_tradnl"/>
              </w:rPr>
            </w:pPr>
            <w:r w:rsidRPr="00FD1D4D">
              <w:rPr>
                <w:rFonts w:ascii="Arial Narrow" w:hAnsi="Arial Narrow"/>
                <w:b/>
                <w:bCs/>
                <w:color w:val="000000"/>
                <w:sz w:val="14"/>
                <w:szCs w:val="14"/>
              </w:rPr>
              <w:t>Producto</w:t>
            </w:r>
          </w:p>
        </w:tc>
        <w:tc>
          <w:tcPr>
            <w:tcW w:w="2693" w:type="dxa"/>
            <w:tcBorders>
              <w:top w:val="single" w:sz="4" w:space="0" w:color="auto"/>
              <w:left w:val="nil"/>
              <w:bottom w:val="single" w:sz="4" w:space="0" w:color="auto"/>
              <w:right w:val="single" w:sz="4" w:space="0" w:color="auto"/>
            </w:tcBorders>
            <w:shd w:val="clear" w:color="000000" w:fill="70AD47"/>
            <w:hideMark/>
          </w:tcPr>
          <w:p w14:paraId="537049ED" w14:textId="77777777" w:rsidR="001254DA" w:rsidRPr="00FD1D4D" w:rsidRDefault="001254DA">
            <w:pPr>
              <w:rPr>
                <w:rFonts w:ascii="Arial Narrow" w:hAnsi="Arial Narrow"/>
                <w:b/>
                <w:bCs/>
                <w:color w:val="000000"/>
                <w:sz w:val="14"/>
                <w:szCs w:val="14"/>
              </w:rPr>
            </w:pPr>
            <w:r w:rsidRPr="00FD1D4D">
              <w:rPr>
                <w:rFonts w:ascii="Arial Narrow" w:hAnsi="Arial Narrow"/>
                <w:b/>
                <w:bCs/>
                <w:color w:val="000000"/>
                <w:sz w:val="14"/>
                <w:szCs w:val="14"/>
              </w:rPr>
              <w:t>Actividades</w:t>
            </w:r>
          </w:p>
        </w:tc>
        <w:tc>
          <w:tcPr>
            <w:tcW w:w="3546" w:type="dxa"/>
            <w:tcBorders>
              <w:top w:val="single" w:sz="4" w:space="0" w:color="auto"/>
              <w:left w:val="nil"/>
              <w:bottom w:val="single" w:sz="4" w:space="0" w:color="auto"/>
              <w:right w:val="nil"/>
            </w:tcBorders>
            <w:shd w:val="clear" w:color="000000" w:fill="70AD47"/>
            <w:noWrap/>
            <w:hideMark/>
          </w:tcPr>
          <w:p w14:paraId="15D0E2CA" w14:textId="77777777" w:rsidR="001254DA" w:rsidRPr="00FD1D4D" w:rsidRDefault="001254DA">
            <w:pPr>
              <w:rPr>
                <w:rFonts w:ascii="Arial Narrow" w:hAnsi="Arial Narrow"/>
                <w:b/>
                <w:bCs/>
                <w:color w:val="000000"/>
                <w:sz w:val="14"/>
                <w:szCs w:val="14"/>
              </w:rPr>
            </w:pPr>
            <w:r w:rsidRPr="00FD1D4D">
              <w:rPr>
                <w:rFonts w:ascii="Arial Narrow" w:hAnsi="Arial Narrow"/>
                <w:b/>
                <w:bCs/>
                <w:color w:val="000000"/>
                <w:sz w:val="14"/>
                <w:szCs w:val="14"/>
              </w:rPr>
              <w:t xml:space="preserve">Descripción del presupuesto </w:t>
            </w:r>
          </w:p>
        </w:tc>
        <w:tc>
          <w:tcPr>
            <w:tcW w:w="1274" w:type="dxa"/>
            <w:tcBorders>
              <w:top w:val="single" w:sz="4" w:space="0" w:color="auto"/>
              <w:left w:val="single" w:sz="4" w:space="0" w:color="auto"/>
              <w:bottom w:val="single" w:sz="4" w:space="0" w:color="auto"/>
              <w:right w:val="single" w:sz="4" w:space="0" w:color="auto"/>
            </w:tcBorders>
            <w:shd w:val="clear" w:color="000000" w:fill="70AD47"/>
            <w:noWrap/>
            <w:hideMark/>
          </w:tcPr>
          <w:p w14:paraId="0999231F"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Presupuesto 2018</w:t>
            </w:r>
          </w:p>
        </w:tc>
        <w:tc>
          <w:tcPr>
            <w:tcW w:w="1134" w:type="dxa"/>
            <w:tcBorders>
              <w:top w:val="single" w:sz="4" w:space="0" w:color="auto"/>
              <w:left w:val="nil"/>
              <w:bottom w:val="single" w:sz="4" w:space="0" w:color="auto"/>
              <w:right w:val="single" w:sz="4" w:space="0" w:color="auto"/>
            </w:tcBorders>
            <w:shd w:val="clear" w:color="000000" w:fill="70AD47"/>
            <w:noWrap/>
            <w:hideMark/>
          </w:tcPr>
          <w:p w14:paraId="52E51787"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Presupuesto 2019</w:t>
            </w:r>
          </w:p>
        </w:tc>
        <w:tc>
          <w:tcPr>
            <w:tcW w:w="1134" w:type="dxa"/>
            <w:tcBorders>
              <w:top w:val="single" w:sz="4" w:space="0" w:color="auto"/>
              <w:left w:val="nil"/>
              <w:bottom w:val="single" w:sz="4" w:space="0" w:color="auto"/>
              <w:right w:val="single" w:sz="4" w:space="0" w:color="auto"/>
            </w:tcBorders>
            <w:shd w:val="clear" w:color="000000" w:fill="70AD47"/>
            <w:noWrap/>
            <w:hideMark/>
          </w:tcPr>
          <w:p w14:paraId="39C489E2"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Presupuesto 2020</w:t>
            </w:r>
          </w:p>
        </w:tc>
        <w:tc>
          <w:tcPr>
            <w:tcW w:w="992" w:type="dxa"/>
            <w:tcBorders>
              <w:top w:val="single" w:sz="4" w:space="0" w:color="auto"/>
              <w:left w:val="nil"/>
              <w:bottom w:val="single" w:sz="4" w:space="0" w:color="auto"/>
              <w:right w:val="single" w:sz="4" w:space="0" w:color="auto"/>
            </w:tcBorders>
            <w:shd w:val="clear" w:color="000000" w:fill="70AD47"/>
            <w:noWrap/>
            <w:hideMark/>
          </w:tcPr>
          <w:p w14:paraId="43EA75E6"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Cantidad Total</w:t>
            </w:r>
          </w:p>
        </w:tc>
        <w:tc>
          <w:tcPr>
            <w:tcW w:w="1134" w:type="dxa"/>
            <w:tcBorders>
              <w:top w:val="single" w:sz="4" w:space="0" w:color="auto"/>
              <w:left w:val="nil"/>
              <w:bottom w:val="single" w:sz="4" w:space="0" w:color="auto"/>
              <w:right w:val="single" w:sz="4" w:space="0" w:color="auto"/>
            </w:tcBorders>
            <w:shd w:val="clear" w:color="000000" w:fill="70AD47"/>
            <w:noWrap/>
            <w:hideMark/>
          </w:tcPr>
          <w:p w14:paraId="14B9C762"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Contrapartida EII</w:t>
            </w:r>
          </w:p>
        </w:tc>
        <w:tc>
          <w:tcPr>
            <w:tcW w:w="1276" w:type="dxa"/>
            <w:tcBorders>
              <w:top w:val="single" w:sz="4" w:space="0" w:color="auto"/>
              <w:left w:val="nil"/>
              <w:bottom w:val="single" w:sz="4" w:space="0" w:color="auto"/>
              <w:right w:val="single" w:sz="4" w:space="0" w:color="auto"/>
            </w:tcBorders>
            <w:shd w:val="clear" w:color="000000" w:fill="70AD47"/>
            <w:noWrap/>
            <w:hideMark/>
          </w:tcPr>
          <w:p w14:paraId="3622B160"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 xml:space="preserve">Contrapartida NCI </w:t>
            </w:r>
          </w:p>
        </w:tc>
      </w:tr>
      <w:tr w:rsidR="00FD1D4D" w:rsidRPr="00FD1D4D" w14:paraId="4AE21800" w14:textId="77777777" w:rsidTr="00FD1D4D">
        <w:trPr>
          <w:trHeight w:val="633"/>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2A9A31C5"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Producto 1. Estrategia de desarrollo rural bajo en emisiones, sustentada en un análisis de causas de la deforestación y un diagnóstico de la producción regional, validada y adoptada por el Gobierno Regional Amazonas (GR) y actores clave, organizados en red, facilita de manera programática incrementar la producción regional, conservar los bosques, y reducir la deforestación. </w:t>
            </w:r>
          </w:p>
        </w:tc>
        <w:tc>
          <w:tcPr>
            <w:tcW w:w="2693" w:type="dxa"/>
            <w:tcBorders>
              <w:top w:val="nil"/>
              <w:left w:val="nil"/>
              <w:bottom w:val="single" w:sz="4" w:space="0" w:color="auto"/>
              <w:right w:val="single" w:sz="4" w:space="0" w:color="auto"/>
            </w:tcBorders>
            <w:shd w:val="clear" w:color="auto" w:fill="auto"/>
            <w:hideMark/>
          </w:tcPr>
          <w:p w14:paraId="78740AFC"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1.1. Sistematización de información de base y elaboración de primer borrador de Estrategia para el Desarrollo Rural Bajo en Emisiones reduciendo deforestación en la Región Amazonas</w:t>
            </w:r>
          </w:p>
        </w:tc>
        <w:tc>
          <w:tcPr>
            <w:tcW w:w="3546" w:type="dxa"/>
            <w:tcBorders>
              <w:top w:val="nil"/>
              <w:left w:val="nil"/>
              <w:bottom w:val="single" w:sz="4" w:space="0" w:color="auto"/>
              <w:right w:val="nil"/>
            </w:tcBorders>
            <w:shd w:val="clear" w:color="auto" w:fill="auto"/>
            <w:hideMark/>
          </w:tcPr>
          <w:p w14:paraId="16D65D23" w14:textId="12A320A4"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Especialistas técnicos con sede en la Región Amazonas y tiempo parcial de especialistas del programa. Considera viajes y gastos </w:t>
            </w:r>
            <w:r w:rsidR="00F6762D" w:rsidRPr="00FD1D4D">
              <w:rPr>
                <w:rFonts w:ascii="Arial Narrow" w:hAnsi="Arial Narrow"/>
                <w:color w:val="000000"/>
                <w:sz w:val="14"/>
                <w:szCs w:val="14"/>
              </w:rPr>
              <w:t>logísticos</w:t>
            </w:r>
            <w:r w:rsidRPr="00FD1D4D">
              <w:rPr>
                <w:rFonts w:ascii="Arial Narrow" w:hAnsi="Arial Narrow"/>
                <w:color w:val="000000"/>
                <w:sz w:val="14"/>
                <w:szCs w:val="14"/>
              </w:rPr>
              <w:t xml:space="preserve"> para manejo de la oficina además de recursos menores para reuniones internas o con expertos. Incluye costos de </w:t>
            </w:r>
            <w:r w:rsidR="00F6762D" w:rsidRPr="00FD1D4D">
              <w:rPr>
                <w:rFonts w:ascii="Arial Narrow" w:hAnsi="Arial Narrow"/>
                <w:color w:val="000000"/>
                <w:sz w:val="14"/>
                <w:szCs w:val="14"/>
              </w:rPr>
              <w:t>producción</w:t>
            </w:r>
            <w:r w:rsidRPr="00FD1D4D">
              <w:rPr>
                <w:rFonts w:ascii="Arial Narrow" w:hAnsi="Arial Narrow"/>
                <w:color w:val="000000"/>
                <w:sz w:val="14"/>
                <w:szCs w:val="14"/>
              </w:rPr>
              <w:t xml:space="preserve"> de materiales de comunicaciones y difusión</w:t>
            </w:r>
          </w:p>
        </w:tc>
        <w:tc>
          <w:tcPr>
            <w:tcW w:w="1274" w:type="dxa"/>
            <w:tcBorders>
              <w:top w:val="nil"/>
              <w:left w:val="single" w:sz="4" w:space="0" w:color="auto"/>
              <w:bottom w:val="single" w:sz="4" w:space="0" w:color="auto"/>
              <w:right w:val="single" w:sz="4" w:space="0" w:color="auto"/>
            </w:tcBorders>
            <w:shd w:val="clear" w:color="auto" w:fill="auto"/>
            <w:noWrap/>
            <w:hideMark/>
          </w:tcPr>
          <w:p w14:paraId="38BFB74C"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9,593.75</w:t>
            </w:r>
          </w:p>
        </w:tc>
        <w:tc>
          <w:tcPr>
            <w:tcW w:w="1134" w:type="dxa"/>
            <w:tcBorders>
              <w:top w:val="nil"/>
              <w:left w:val="nil"/>
              <w:bottom w:val="single" w:sz="4" w:space="0" w:color="auto"/>
              <w:right w:val="single" w:sz="4" w:space="0" w:color="auto"/>
            </w:tcBorders>
            <w:shd w:val="clear" w:color="auto" w:fill="auto"/>
            <w:noWrap/>
            <w:hideMark/>
          </w:tcPr>
          <w:p w14:paraId="2DE79F33"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38,375.00</w:t>
            </w:r>
          </w:p>
        </w:tc>
        <w:tc>
          <w:tcPr>
            <w:tcW w:w="1134" w:type="dxa"/>
            <w:tcBorders>
              <w:top w:val="nil"/>
              <w:left w:val="nil"/>
              <w:bottom w:val="single" w:sz="4" w:space="0" w:color="auto"/>
              <w:right w:val="single" w:sz="4" w:space="0" w:color="auto"/>
            </w:tcBorders>
            <w:shd w:val="clear" w:color="auto" w:fill="auto"/>
            <w:noWrap/>
            <w:hideMark/>
          </w:tcPr>
          <w:p w14:paraId="29D33109"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9,593.75</w:t>
            </w:r>
          </w:p>
        </w:tc>
        <w:tc>
          <w:tcPr>
            <w:tcW w:w="992" w:type="dxa"/>
            <w:tcBorders>
              <w:top w:val="nil"/>
              <w:left w:val="nil"/>
              <w:bottom w:val="single" w:sz="4" w:space="0" w:color="auto"/>
              <w:right w:val="single" w:sz="4" w:space="0" w:color="auto"/>
            </w:tcBorders>
            <w:shd w:val="clear" w:color="auto" w:fill="auto"/>
            <w:noWrap/>
            <w:hideMark/>
          </w:tcPr>
          <w:p w14:paraId="260CE104"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57,562.50</w:t>
            </w:r>
          </w:p>
        </w:tc>
        <w:tc>
          <w:tcPr>
            <w:tcW w:w="1134" w:type="dxa"/>
            <w:tcBorders>
              <w:top w:val="nil"/>
              <w:left w:val="nil"/>
              <w:bottom w:val="single" w:sz="4" w:space="0" w:color="auto"/>
              <w:right w:val="single" w:sz="4" w:space="0" w:color="auto"/>
            </w:tcBorders>
            <w:shd w:val="clear" w:color="auto" w:fill="auto"/>
            <w:noWrap/>
            <w:hideMark/>
          </w:tcPr>
          <w:p w14:paraId="57211983"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9,370.00</w:t>
            </w:r>
          </w:p>
        </w:tc>
        <w:tc>
          <w:tcPr>
            <w:tcW w:w="1276" w:type="dxa"/>
            <w:tcBorders>
              <w:top w:val="nil"/>
              <w:left w:val="nil"/>
              <w:bottom w:val="single" w:sz="4" w:space="0" w:color="auto"/>
              <w:right w:val="single" w:sz="4" w:space="0" w:color="auto"/>
            </w:tcBorders>
            <w:shd w:val="clear" w:color="auto" w:fill="auto"/>
            <w:noWrap/>
            <w:hideMark/>
          </w:tcPr>
          <w:p w14:paraId="2BDCA63C"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1,169.23</w:t>
            </w:r>
          </w:p>
        </w:tc>
      </w:tr>
      <w:tr w:rsidR="00FD1D4D" w:rsidRPr="00FD1D4D" w14:paraId="328EACE2" w14:textId="77777777" w:rsidTr="00FD1D4D">
        <w:trPr>
          <w:trHeight w:val="661"/>
        </w:trPr>
        <w:tc>
          <w:tcPr>
            <w:tcW w:w="2127" w:type="dxa"/>
            <w:vMerge/>
            <w:tcBorders>
              <w:top w:val="nil"/>
              <w:left w:val="single" w:sz="4" w:space="0" w:color="auto"/>
              <w:bottom w:val="single" w:sz="4" w:space="0" w:color="auto"/>
              <w:right w:val="single" w:sz="4" w:space="0" w:color="auto"/>
            </w:tcBorders>
            <w:vAlign w:val="center"/>
            <w:hideMark/>
          </w:tcPr>
          <w:p w14:paraId="5EBF876C" w14:textId="77777777" w:rsidR="001254DA" w:rsidRPr="00FD1D4D" w:rsidRDefault="001254DA">
            <w:pPr>
              <w:rPr>
                <w:rFonts w:ascii="Arial Narrow" w:hAnsi="Arial Narrow"/>
                <w:color w:val="000000"/>
                <w:sz w:val="14"/>
                <w:szCs w:val="14"/>
              </w:rPr>
            </w:pPr>
          </w:p>
        </w:tc>
        <w:tc>
          <w:tcPr>
            <w:tcW w:w="2693" w:type="dxa"/>
            <w:tcBorders>
              <w:top w:val="nil"/>
              <w:left w:val="nil"/>
              <w:bottom w:val="single" w:sz="4" w:space="0" w:color="auto"/>
              <w:right w:val="single" w:sz="4" w:space="0" w:color="auto"/>
            </w:tcBorders>
            <w:shd w:val="clear" w:color="auto" w:fill="auto"/>
            <w:hideMark/>
          </w:tcPr>
          <w:p w14:paraId="74BB28C0"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1.2. Análisis de causas de la deforestación en la jurisdicción elaborado y validado con aportes de expertos</w:t>
            </w:r>
          </w:p>
        </w:tc>
        <w:tc>
          <w:tcPr>
            <w:tcW w:w="3546" w:type="dxa"/>
            <w:tcBorders>
              <w:top w:val="nil"/>
              <w:left w:val="nil"/>
              <w:bottom w:val="single" w:sz="4" w:space="0" w:color="auto"/>
              <w:right w:val="nil"/>
            </w:tcBorders>
            <w:shd w:val="clear" w:color="auto" w:fill="auto"/>
            <w:hideMark/>
          </w:tcPr>
          <w:p w14:paraId="4B174AE1" w14:textId="0DC13F23"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Considera elaboración de un manual a nivel de programa, un curso nacional para </w:t>
            </w:r>
            <w:r w:rsidR="00F6762D" w:rsidRPr="00FD1D4D">
              <w:rPr>
                <w:rFonts w:ascii="Arial Narrow" w:hAnsi="Arial Narrow"/>
                <w:color w:val="000000"/>
                <w:sz w:val="14"/>
                <w:szCs w:val="14"/>
              </w:rPr>
              <w:t>revisión</w:t>
            </w:r>
            <w:r w:rsidRPr="00FD1D4D">
              <w:rPr>
                <w:rFonts w:ascii="Arial Narrow" w:hAnsi="Arial Narrow"/>
                <w:color w:val="000000"/>
                <w:sz w:val="14"/>
                <w:szCs w:val="14"/>
              </w:rPr>
              <w:t xml:space="preserve"> de la </w:t>
            </w:r>
            <w:r w:rsidR="00F6762D" w:rsidRPr="00FD1D4D">
              <w:rPr>
                <w:rFonts w:ascii="Arial Narrow" w:hAnsi="Arial Narrow"/>
                <w:color w:val="000000"/>
                <w:sz w:val="14"/>
                <w:szCs w:val="14"/>
              </w:rPr>
              <w:t>metodología</w:t>
            </w:r>
            <w:r w:rsidRPr="00FD1D4D">
              <w:rPr>
                <w:rFonts w:ascii="Arial Narrow" w:hAnsi="Arial Narrow"/>
                <w:color w:val="000000"/>
                <w:sz w:val="14"/>
                <w:szCs w:val="14"/>
              </w:rPr>
              <w:t>, costos para asistencia y organización del curso, servicios profesionales para el dictado del curso, costos operativos para talleres con actores en provincias de Amazonas, especialistas SIG y materiales</w:t>
            </w:r>
          </w:p>
        </w:tc>
        <w:tc>
          <w:tcPr>
            <w:tcW w:w="1274" w:type="dxa"/>
            <w:tcBorders>
              <w:top w:val="nil"/>
              <w:left w:val="single" w:sz="4" w:space="0" w:color="auto"/>
              <w:bottom w:val="single" w:sz="4" w:space="0" w:color="auto"/>
              <w:right w:val="single" w:sz="4" w:space="0" w:color="auto"/>
            </w:tcBorders>
            <w:shd w:val="clear" w:color="auto" w:fill="auto"/>
            <w:noWrap/>
            <w:hideMark/>
          </w:tcPr>
          <w:p w14:paraId="57A080C3"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31,231.90</w:t>
            </w:r>
          </w:p>
        </w:tc>
        <w:tc>
          <w:tcPr>
            <w:tcW w:w="1134" w:type="dxa"/>
            <w:tcBorders>
              <w:top w:val="nil"/>
              <w:left w:val="nil"/>
              <w:bottom w:val="single" w:sz="4" w:space="0" w:color="auto"/>
              <w:right w:val="single" w:sz="4" w:space="0" w:color="auto"/>
            </w:tcBorders>
            <w:shd w:val="clear" w:color="auto" w:fill="auto"/>
            <w:noWrap/>
            <w:hideMark/>
          </w:tcPr>
          <w:p w14:paraId="4378AFAD"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13,385.10</w:t>
            </w:r>
          </w:p>
        </w:tc>
        <w:tc>
          <w:tcPr>
            <w:tcW w:w="1134" w:type="dxa"/>
            <w:tcBorders>
              <w:top w:val="nil"/>
              <w:left w:val="nil"/>
              <w:bottom w:val="single" w:sz="4" w:space="0" w:color="auto"/>
              <w:right w:val="single" w:sz="4" w:space="0" w:color="auto"/>
            </w:tcBorders>
            <w:shd w:val="clear" w:color="auto" w:fill="auto"/>
            <w:noWrap/>
            <w:hideMark/>
          </w:tcPr>
          <w:p w14:paraId="07F85CD6"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0.00</w:t>
            </w:r>
          </w:p>
        </w:tc>
        <w:tc>
          <w:tcPr>
            <w:tcW w:w="992" w:type="dxa"/>
            <w:tcBorders>
              <w:top w:val="nil"/>
              <w:left w:val="nil"/>
              <w:bottom w:val="single" w:sz="4" w:space="0" w:color="auto"/>
              <w:right w:val="single" w:sz="4" w:space="0" w:color="auto"/>
            </w:tcBorders>
            <w:shd w:val="clear" w:color="auto" w:fill="auto"/>
            <w:noWrap/>
            <w:hideMark/>
          </w:tcPr>
          <w:p w14:paraId="5E0E412D"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44,617.00</w:t>
            </w:r>
          </w:p>
        </w:tc>
        <w:tc>
          <w:tcPr>
            <w:tcW w:w="1134" w:type="dxa"/>
            <w:tcBorders>
              <w:top w:val="nil"/>
              <w:left w:val="nil"/>
              <w:bottom w:val="single" w:sz="4" w:space="0" w:color="auto"/>
              <w:right w:val="single" w:sz="4" w:space="0" w:color="auto"/>
            </w:tcBorders>
            <w:shd w:val="clear" w:color="auto" w:fill="auto"/>
            <w:noWrap/>
            <w:hideMark/>
          </w:tcPr>
          <w:p w14:paraId="63E74778"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9,370.00</w:t>
            </w:r>
          </w:p>
        </w:tc>
        <w:tc>
          <w:tcPr>
            <w:tcW w:w="1276" w:type="dxa"/>
            <w:tcBorders>
              <w:top w:val="nil"/>
              <w:left w:val="nil"/>
              <w:bottom w:val="single" w:sz="4" w:space="0" w:color="auto"/>
              <w:right w:val="single" w:sz="4" w:space="0" w:color="auto"/>
            </w:tcBorders>
            <w:shd w:val="clear" w:color="auto" w:fill="auto"/>
            <w:noWrap/>
            <w:hideMark/>
          </w:tcPr>
          <w:p w14:paraId="3AADA48E"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1,169.23</w:t>
            </w:r>
          </w:p>
        </w:tc>
      </w:tr>
      <w:tr w:rsidR="00FD1D4D" w:rsidRPr="00FD1D4D" w14:paraId="0D43A320" w14:textId="77777777" w:rsidTr="00FD1D4D">
        <w:trPr>
          <w:trHeight w:val="451"/>
        </w:trPr>
        <w:tc>
          <w:tcPr>
            <w:tcW w:w="2127" w:type="dxa"/>
            <w:vMerge/>
            <w:tcBorders>
              <w:top w:val="nil"/>
              <w:left w:val="single" w:sz="4" w:space="0" w:color="auto"/>
              <w:bottom w:val="single" w:sz="4" w:space="0" w:color="auto"/>
              <w:right w:val="single" w:sz="4" w:space="0" w:color="auto"/>
            </w:tcBorders>
            <w:vAlign w:val="center"/>
            <w:hideMark/>
          </w:tcPr>
          <w:p w14:paraId="268B3704" w14:textId="77777777" w:rsidR="001254DA" w:rsidRPr="00FD1D4D" w:rsidRDefault="001254DA">
            <w:pPr>
              <w:rPr>
                <w:rFonts w:ascii="Arial Narrow" w:hAnsi="Arial Narrow"/>
                <w:color w:val="000000"/>
                <w:sz w:val="14"/>
                <w:szCs w:val="14"/>
              </w:rPr>
            </w:pPr>
          </w:p>
        </w:tc>
        <w:tc>
          <w:tcPr>
            <w:tcW w:w="2693" w:type="dxa"/>
            <w:tcBorders>
              <w:top w:val="nil"/>
              <w:left w:val="nil"/>
              <w:bottom w:val="single" w:sz="4" w:space="0" w:color="auto"/>
              <w:right w:val="single" w:sz="4" w:space="0" w:color="auto"/>
            </w:tcBorders>
            <w:shd w:val="clear" w:color="auto" w:fill="auto"/>
            <w:hideMark/>
          </w:tcPr>
          <w:p w14:paraId="45CA50EC"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1.3. Análisis de cuellos de botella de las cadenas de suministro agropecuarias o forestales, con más incidencia o potencial para revertir la deforestación </w:t>
            </w:r>
          </w:p>
        </w:tc>
        <w:tc>
          <w:tcPr>
            <w:tcW w:w="3546" w:type="dxa"/>
            <w:tcBorders>
              <w:top w:val="nil"/>
              <w:left w:val="nil"/>
              <w:bottom w:val="single" w:sz="4" w:space="0" w:color="auto"/>
              <w:right w:val="nil"/>
            </w:tcBorders>
            <w:shd w:val="clear" w:color="auto" w:fill="auto"/>
            <w:hideMark/>
          </w:tcPr>
          <w:p w14:paraId="7D8F379C" w14:textId="0FB3BCC5"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Considera tiempo de expertos para sistematizar información sobre cuellos de botella de </w:t>
            </w:r>
            <w:r w:rsidR="00F6762D" w:rsidRPr="00FD1D4D">
              <w:rPr>
                <w:rFonts w:ascii="Arial Narrow" w:hAnsi="Arial Narrow"/>
                <w:color w:val="000000"/>
                <w:sz w:val="14"/>
                <w:szCs w:val="14"/>
              </w:rPr>
              <w:t>producción</w:t>
            </w:r>
            <w:r w:rsidRPr="00FD1D4D">
              <w:rPr>
                <w:rFonts w:ascii="Arial Narrow" w:hAnsi="Arial Narrow"/>
                <w:color w:val="000000"/>
                <w:sz w:val="14"/>
                <w:szCs w:val="14"/>
              </w:rPr>
              <w:t>, recursos operativos para viajes y reuniones</w:t>
            </w:r>
          </w:p>
        </w:tc>
        <w:tc>
          <w:tcPr>
            <w:tcW w:w="1274" w:type="dxa"/>
            <w:tcBorders>
              <w:top w:val="nil"/>
              <w:left w:val="single" w:sz="4" w:space="0" w:color="auto"/>
              <w:bottom w:val="single" w:sz="4" w:space="0" w:color="auto"/>
              <w:right w:val="single" w:sz="4" w:space="0" w:color="auto"/>
            </w:tcBorders>
            <w:shd w:val="clear" w:color="auto" w:fill="auto"/>
            <w:noWrap/>
            <w:hideMark/>
          </w:tcPr>
          <w:p w14:paraId="7A555F9E"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8,400.00</w:t>
            </w:r>
          </w:p>
        </w:tc>
        <w:tc>
          <w:tcPr>
            <w:tcW w:w="1134" w:type="dxa"/>
            <w:tcBorders>
              <w:top w:val="nil"/>
              <w:left w:val="nil"/>
              <w:bottom w:val="single" w:sz="4" w:space="0" w:color="auto"/>
              <w:right w:val="single" w:sz="4" w:space="0" w:color="auto"/>
            </w:tcBorders>
            <w:shd w:val="clear" w:color="auto" w:fill="auto"/>
            <w:noWrap/>
            <w:hideMark/>
          </w:tcPr>
          <w:p w14:paraId="38422BA8"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3,600.00</w:t>
            </w:r>
          </w:p>
        </w:tc>
        <w:tc>
          <w:tcPr>
            <w:tcW w:w="1134" w:type="dxa"/>
            <w:tcBorders>
              <w:top w:val="nil"/>
              <w:left w:val="nil"/>
              <w:bottom w:val="single" w:sz="4" w:space="0" w:color="auto"/>
              <w:right w:val="single" w:sz="4" w:space="0" w:color="auto"/>
            </w:tcBorders>
            <w:shd w:val="clear" w:color="auto" w:fill="auto"/>
            <w:noWrap/>
            <w:hideMark/>
          </w:tcPr>
          <w:p w14:paraId="5D919E3A"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0.00</w:t>
            </w:r>
          </w:p>
        </w:tc>
        <w:tc>
          <w:tcPr>
            <w:tcW w:w="992" w:type="dxa"/>
            <w:tcBorders>
              <w:top w:val="nil"/>
              <w:left w:val="nil"/>
              <w:bottom w:val="single" w:sz="4" w:space="0" w:color="auto"/>
              <w:right w:val="single" w:sz="4" w:space="0" w:color="auto"/>
            </w:tcBorders>
            <w:shd w:val="clear" w:color="auto" w:fill="auto"/>
            <w:noWrap/>
            <w:hideMark/>
          </w:tcPr>
          <w:p w14:paraId="366FFAE0"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12,000.00</w:t>
            </w:r>
          </w:p>
        </w:tc>
        <w:tc>
          <w:tcPr>
            <w:tcW w:w="1134" w:type="dxa"/>
            <w:tcBorders>
              <w:top w:val="nil"/>
              <w:left w:val="nil"/>
              <w:bottom w:val="single" w:sz="4" w:space="0" w:color="auto"/>
              <w:right w:val="single" w:sz="4" w:space="0" w:color="auto"/>
            </w:tcBorders>
            <w:shd w:val="clear" w:color="auto" w:fill="auto"/>
            <w:noWrap/>
            <w:hideMark/>
          </w:tcPr>
          <w:p w14:paraId="00F83B1F"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9,370.00</w:t>
            </w:r>
          </w:p>
        </w:tc>
        <w:tc>
          <w:tcPr>
            <w:tcW w:w="1276" w:type="dxa"/>
            <w:tcBorders>
              <w:top w:val="nil"/>
              <w:left w:val="nil"/>
              <w:bottom w:val="single" w:sz="4" w:space="0" w:color="auto"/>
              <w:right w:val="single" w:sz="4" w:space="0" w:color="auto"/>
            </w:tcBorders>
            <w:shd w:val="clear" w:color="auto" w:fill="auto"/>
            <w:noWrap/>
            <w:hideMark/>
          </w:tcPr>
          <w:p w14:paraId="4E00BC46"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1,169.23</w:t>
            </w:r>
          </w:p>
        </w:tc>
      </w:tr>
      <w:tr w:rsidR="00FD1D4D" w:rsidRPr="00FD1D4D" w14:paraId="27990FD4" w14:textId="77777777" w:rsidTr="00FD1D4D">
        <w:trPr>
          <w:trHeight w:val="73"/>
        </w:trPr>
        <w:tc>
          <w:tcPr>
            <w:tcW w:w="8366" w:type="dxa"/>
            <w:gridSpan w:val="3"/>
            <w:tcBorders>
              <w:top w:val="single" w:sz="4" w:space="0" w:color="auto"/>
              <w:left w:val="single" w:sz="4" w:space="0" w:color="auto"/>
              <w:bottom w:val="single" w:sz="4" w:space="0" w:color="auto"/>
              <w:right w:val="single" w:sz="4" w:space="0" w:color="auto"/>
            </w:tcBorders>
            <w:shd w:val="clear" w:color="000000" w:fill="A6A6A6"/>
            <w:hideMark/>
          </w:tcPr>
          <w:p w14:paraId="76D5AB75"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Subtotal del Producto 1</w:t>
            </w:r>
          </w:p>
        </w:tc>
        <w:tc>
          <w:tcPr>
            <w:tcW w:w="1274" w:type="dxa"/>
            <w:tcBorders>
              <w:top w:val="nil"/>
              <w:left w:val="single" w:sz="4" w:space="0" w:color="auto"/>
              <w:bottom w:val="single" w:sz="4" w:space="0" w:color="auto"/>
              <w:right w:val="single" w:sz="4" w:space="0" w:color="auto"/>
            </w:tcBorders>
            <w:shd w:val="clear" w:color="000000" w:fill="A6A6A6"/>
            <w:noWrap/>
            <w:hideMark/>
          </w:tcPr>
          <w:p w14:paraId="7E1FA77A"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49,225.65</w:t>
            </w:r>
          </w:p>
        </w:tc>
        <w:tc>
          <w:tcPr>
            <w:tcW w:w="1134" w:type="dxa"/>
            <w:tcBorders>
              <w:top w:val="nil"/>
              <w:left w:val="nil"/>
              <w:bottom w:val="single" w:sz="4" w:space="0" w:color="auto"/>
              <w:right w:val="single" w:sz="4" w:space="0" w:color="auto"/>
            </w:tcBorders>
            <w:shd w:val="clear" w:color="000000" w:fill="A6A6A6"/>
            <w:noWrap/>
            <w:hideMark/>
          </w:tcPr>
          <w:p w14:paraId="1F68FCD1"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55,360.10</w:t>
            </w:r>
          </w:p>
        </w:tc>
        <w:tc>
          <w:tcPr>
            <w:tcW w:w="1134" w:type="dxa"/>
            <w:tcBorders>
              <w:top w:val="nil"/>
              <w:left w:val="nil"/>
              <w:bottom w:val="single" w:sz="4" w:space="0" w:color="auto"/>
              <w:right w:val="single" w:sz="4" w:space="0" w:color="auto"/>
            </w:tcBorders>
            <w:shd w:val="clear" w:color="000000" w:fill="A6A6A6"/>
            <w:noWrap/>
            <w:hideMark/>
          </w:tcPr>
          <w:p w14:paraId="19B79D65"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9,593.75</w:t>
            </w:r>
          </w:p>
        </w:tc>
        <w:tc>
          <w:tcPr>
            <w:tcW w:w="992" w:type="dxa"/>
            <w:tcBorders>
              <w:top w:val="nil"/>
              <w:left w:val="nil"/>
              <w:bottom w:val="single" w:sz="4" w:space="0" w:color="auto"/>
              <w:right w:val="single" w:sz="4" w:space="0" w:color="auto"/>
            </w:tcBorders>
            <w:shd w:val="clear" w:color="000000" w:fill="A6A6A6"/>
            <w:noWrap/>
            <w:hideMark/>
          </w:tcPr>
          <w:p w14:paraId="341DD966"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114,179.50</w:t>
            </w:r>
          </w:p>
        </w:tc>
        <w:tc>
          <w:tcPr>
            <w:tcW w:w="1134" w:type="dxa"/>
            <w:tcBorders>
              <w:top w:val="nil"/>
              <w:left w:val="nil"/>
              <w:bottom w:val="single" w:sz="4" w:space="0" w:color="auto"/>
              <w:right w:val="single" w:sz="4" w:space="0" w:color="auto"/>
            </w:tcBorders>
            <w:shd w:val="clear" w:color="000000" w:fill="A5A5A5"/>
            <w:noWrap/>
            <w:vAlign w:val="bottom"/>
            <w:hideMark/>
          </w:tcPr>
          <w:p w14:paraId="7829F03F"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28,110.00</w:t>
            </w:r>
          </w:p>
        </w:tc>
        <w:tc>
          <w:tcPr>
            <w:tcW w:w="1276" w:type="dxa"/>
            <w:tcBorders>
              <w:top w:val="nil"/>
              <w:left w:val="nil"/>
              <w:bottom w:val="single" w:sz="4" w:space="0" w:color="auto"/>
              <w:right w:val="single" w:sz="4" w:space="0" w:color="auto"/>
            </w:tcBorders>
            <w:shd w:val="clear" w:color="000000" w:fill="A5A5A5"/>
            <w:noWrap/>
            <w:vAlign w:val="bottom"/>
            <w:hideMark/>
          </w:tcPr>
          <w:p w14:paraId="7BF2AB0D"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3,507.69</w:t>
            </w:r>
          </w:p>
        </w:tc>
      </w:tr>
      <w:tr w:rsidR="00FD1D4D" w:rsidRPr="00FD1D4D" w14:paraId="5065AC59" w14:textId="77777777" w:rsidTr="00FD1D4D">
        <w:trPr>
          <w:trHeight w:val="576"/>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36010677"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Producto 2. Plan financiero , sustentado en un robusto análisis de causas de la deforestación y diagnóstico de cuellos de botella de la producción regional, para implementar la estrategia validado por actores claves y adoptado por el Gobierno Regional</w:t>
            </w:r>
          </w:p>
        </w:tc>
        <w:tc>
          <w:tcPr>
            <w:tcW w:w="2693" w:type="dxa"/>
            <w:tcBorders>
              <w:top w:val="nil"/>
              <w:left w:val="nil"/>
              <w:bottom w:val="single" w:sz="4" w:space="0" w:color="auto"/>
              <w:right w:val="single" w:sz="4" w:space="0" w:color="auto"/>
            </w:tcBorders>
            <w:shd w:val="clear" w:color="auto" w:fill="auto"/>
            <w:hideMark/>
          </w:tcPr>
          <w:p w14:paraId="6061E3E3"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2.1. Elaboración de propuesta preliminar de plan financiero para implementar la estrategia de desarrollo rural bajo en emisiones para la Región Amazonas</w:t>
            </w:r>
          </w:p>
        </w:tc>
        <w:tc>
          <w:tcPr>
            <w:tcW w:w="3546" w:type="dxa"/>
            <w:tcBorders>
              <w:top w:val="nil"/>
              <w:left w:val="nil"/>
              <w:bottom w:val="single" w:sz="4" w:space="0" w:color="auto"/>
              <w:right w:val="nil"/>
            </w:tcBorders>
            <w:shd w:val="clear" w:color="auto" w:fill="auto"/>
            <w:hideMark/>
          </w:tcPr>
          <w:p w14:paraId="26706172" w14:textId="3517D535"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Especialistas técnicos con sede en la Región Amazonas y tiempo parcial de especialistas del programa. Considera viajes y gastos </w:t>
            </w:r>
            <w:r w:rsidR="00F6762D" w:rsidRPr="00FD1D4D">
              <w:rPr>
                <w:rFonts w:ascii="Arial Narrow" w:hAnsi="Arial Narrow"/>
                <w:color w:val="000000"/>
                <w:sz w:val="14"/>
                <w:szCs w:val="14"/>
              </w:rPr>
              <w:t>logísticos</w:t>
            </w:r>
            <w:r w:rsidRPr="00FD1D4D">
              <w:rPr>
                <w:rFonts w:ascii="Arial Narrow" w:hAnsi="Arial Narrow"/>
                <w:color w:val="000000"/>
                <w:sz w:val="14"/>
                <w:szCs w:val="14"/>
              </w:rPr>
              <w:t xml:space="preserve"> para manejo de la oficina además de recursos menores para reuniones internas o con expertos. Incluye costos de </w:t>
            </w:r>
            <w:r w:rsidR="00F6762D" w:rsidRPr="00FD1D4D">
              <w:rPr>
                <w:rFonts w:ascii="Arial Narrow" w:hAnsi="Arial Narrow"/>
                <w:color w:val="000000"/>
                <w:sz w:val="14"/>
                <w:szCs w:val="14"/>
              </w:rPr>
              <w:t>producción</w:t>
            </w:r>
            <w:r w:rsidRPr="00FD1D4D">
              <w:rPr>
                <w:rFonts w:ascii="Arial Narrow" w:hAnsi="Arial Narrow"/>
                <w:color w:val="000000"/>
                <w:sz w:val="14"/>
                <w:szCs w:val="14"/>
              </w:rPr>
              <w:t xml:space="preserve"> de materiales de comunicaciones y difusión </w:t>
            </w:r>
          </w:p>
        </w:tc>
        <w:tc>
          <w:tcPr>
            <w:tcW w:w="1274" w:type="dxa"/>
            <w:tcBorders>
              <w:top w:val="nil"/>
              <w:left w:val="single" w:sz="4" w:space="0" w:color="auto"/>
              <w:bottom w:val="single" w:sz="4" w:space="0" w:color="auto"/>
              <w:right w:val="single" w:sz="4" w:space="0" w:color="auto"/>
            </w:tcBorders>
            <w:shd w:val="clear" w:color="auto" w:fill="auto"/>
            <w:noWrap/>
            <w:hideMark/>
          </w:tcPr>
          <w:p w14:paraId="40570E0F"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8,204.28</w:t>
            </w:r>
          </w:p>
        </w:tc>
        <w:tc>
          <w:tcPr>
            <w:tcW w:w="1134" w:type="dxa"/>
            <w:tcBorders>
              <w:top w:val="nil"/>
              <w:left w:val="nil"/>
              <w:bottom w:val="single" w:sz="4" w:space="0" w:color="auto"/>
              <w:right w:val="single" w:sz="4" w:space="0" w:color="auto"/>
            </w:tcBorders>
            <w:shd w:val="clear" w:color="auto" w:fill="auto"/>
            <w:noWrap/>
            <w:hideMark/>
          </w:tcPr>
          <w:p w14:paraId="66C31F67"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38,375.00</w:t>
            </w:r>
          </w:p>
        </w:tc>
        <w:tc>
          <w:tcPr>
            <w:tcW w:w="1134" w:type="dxa"/>
            <w:tcBorders>
              <w:top w:val="nil"/>
              <w:left w:val="nil"/>
              <w:bottom w:val="single" w:sz="4" w:space="0" w:color="auto"/>
              <w:right w:val="single" w:sz="4" w:space="0" w:color="auto"/>
            </w:tcBorders>
            <w:shd w:val="clear" w:color="auto" w:fill="auto"/>
            <w:noWrap/>
            <w:hideMark/>
          </w:tcPr>
          <w:p w14:paraId="669896F8"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10,983.23</w:t>
            </w:r>
          </w:p>
        </w:tc>
        <w:tc>
          <w:tcPr>
            <w:tcW w:w="992" w:type="dxa"/>
            <w:tcBorders>
              <w:top w:val="nil"/>
              <w:left w:val="nil"/>
              <w:bottom w:val="single" w:sz="4" w:space="0" w:color="auto"/>
              <w:right w:val="single" w:sz="4" w:space="0" w:color="auto"/>
            </w:tcBorders>
            <w:shd w:val="clear" w:color="auto" w:fill="auto"/>
            <w:noWrap/>
            <w:hideMark/>
          </w:tcPr>
          <w:p w14:paraId="06E49F29"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57,562.50</w:t>
            </w:r>
          </w:p>
        </w:tc>
        <w:tc>
          <w:tcPr>
            <w:tcW w:w="1134" w:type="dxa"/>
            <w:tcBorders>
              <w:top w:val="nil"/>
              <w:left w:val="nil"/>
              <w:bottom w:val="single" w:sz="4" w:space="0" w:color="auto"/>
              <w:right w:val="single" w:sz="4" w:space="0" w:color="auto"/>
            </w:tcBorders>
            <w:shd w:val="clear" w:color="auto" w:fill="auto"/>
            <w:noWrap/>
            <w:hideMark/>
          </w:tcPr>
          <w:p w14:paraId="0BBA8D10"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9,370.00</w:t>
            </w:r>
          </w:p>
        </w:tc>
        <w:tc>
          <w:tcPr>
            <w:tcW w:w="1276" w:type="dxa"/>
            <w:tcBorders>
              <w:top w:val="nil"/>
              <w:left w:val="nil"/>
              <w:bottom w:val="single" w:sz="4" w:space="0" w:color="auto"/>
              <w:right w:val="single" w:sz="4" w:space="0" w:color="auto"/>
            </w:tcBorders>
            <w:shd w:val="clear" w:color="auto" w:fill="auto"/>
            <w:noWrap/>
            <w:hideMark/>
          </w:tcPr>
          <w:p w14:paraId="0EC255E3"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1,169.23</w:t>
            </w:r>
          </w:p>
        </w:tc>
      </w:tr>
      <w:tr w:rsidR="00FD1D4D" w:rsidRPr="00FD1D4D" w14:paraId="16535B17" w14:textId="77777777" w:rsidTr="00FD1D4D">
        <w:trPr>
          <w:trHeight w:val="284"/>
        </w:trPr>
        <w:tc>
          <w:tcPr>
            <w:tcW w:w="2127" w:type="dxa"/>
            <w:vMerge/>
            <w:tcBorders>
              <w:top w:val="nil"/>
              <w:left w:val="single" w:sz="4" w:space="0" w:color="auto"/>
              <w:bottom w:val="single" w:sz="4" w:space="0" w:color="auto"/>
              <w:right w:val="single" w:sz="4" w:space="0" w:color="auto"/>
            </w:tcBorders>
            <w:vAlign w:val="center"/>
            <w:hideMark/>
          </w:tcPr>
          <w:p w14:paraId="6791A5BA" w14:textId="77777777" w:rsidR="001254DA" w:rsidRPr="00FD1D4D" w:rsidRDefault="001254DA">
            <w:pPr>
              <w:rPr>
                <w:rFonts w:ascii="Arial Narrow" w:hAnsi="Arial Narrow"/>
                <w:color w:val="000000"/>
                <w:sz w:val="14"/>
                <w:szCs w:val="14"/>
              </w:rPr>
            </w:pPr>
          </w:p>
        </w:tc>
        <w:tc>
          <w:tcPr>
            <w:tcW w:w="2693" w:type="dxa"/>
            <w:tcBorders>
              <w:top w:val="nil"/>
              <w:left w:val="nil"/>
              <w:bottom w:val="single" w:sz="4" w:space="0" w:color="auto"/>
              <w:right w:val="single" w:sz="4" w:space="0" w:color="auto"/>
            </w:tcBorders>
            <w:shd w:val="clear" w:color="auto" w:fill="auto"/>
            <w:hideMark/>
          </w:tcPr>
          <w:p w14:paraId="598FB0C7"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2.2. Análisis de brechas y oportunidades de financiamiento para la implementación del plan de financiero </w:t>
            </w:r>
          </w:p>
        </w:tc>
        <w:tc>
          <w:tcPr>
            <w:tcW w:w="3546" w:type="dxa"/>
            <w:tcBorders>
              <w:top w:val="nil"/>
              <w:left w:val="nil"/>
              <w:bottom w:val="single" w:sz="4" w:space="0" w:color="auto"/>
              <w:right w:val="nil"/>
            </w:tcBorders>
            <w:shd w:val="clear" w:color="auto" w:fill="auto"/>
            <w:hideMark/>
          </w:tcPr>
          <w:p w14:paraId="787DA4D2" w14:textId="39B1D229"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Considera recursos para viajes, tiempo de expertos, recursos operativos para reuniones y materiales. </w:t>
            </w:r>
            <w:r w:rsidR="00F6762D" w:rsidRPr="00FD1D4D">
              <w:rPr>
                <w:rFonts w:ascii="Arial Narrow" w:hAnsi="Arial Narrow"/>
                <w:color w:val="000000"/>
                <w:sz w:val="14"/>
                <w:szCs w:val="14"/>
              </w:rPr>
              <w:t>Diagramación</w:t>
            </w:r>
            <w:r w:rsidRPr="00FD1D4D">
              <w:rPr>
                <w:rFonts w:ascii="Arial Narrow" w:hAnsi="Arial Narrow"/>
                <w:color w:val="000000"/>
                <w:sz w:val="14"/>
                <w:szCs w:val="14"/>
              </w:rPr>
              <w:t xml:space="preserve"> e impresión </w:t>
            </w:r>
          </w:p>
        </w:tc>
        <w:tc>
          <w:tcPr>
            <w:tcW w:w="1274" w:type="dxa"/>
            <w:tcBorders>
              <w:top w:val="nil"/>
              <w:left w:val="single" w:sz="4" w:space="0" w:color="auto"/>
              <w:bottom w:val="single" w:sz="4" w:space="0" w:color="auto"/>
              <w:right w:val="single" w:sz="4" w:space="0" w:color="auto"/>
            </w:tcBorders>
            <w:shd w:val="clear" w:color="auto" w:fill="auto"/>
            <w:noWrap/>
            <w:hideMark/>
          </w:tcPr>
          <w:p w14:paraId="07290707"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7,400.00</w:t>
            </w:r>
          </w:p>
        </w:tc>
        <w:tc>
          <w:tcPr>
            <w:tcW w:w="1134" w:type="dxa"/>
            <w:tcBorders>
              <w:top w:val="nil"/>
              <w:left w:val="nil"/>
              <w:bottom w:val="single" w:sz="4" w:space="0" w:color="auto"/>
              <w:right w:val="single" w:sz="4" w:space="0" w:color="auto"/>
            </w:tcBorders>
            <w:shd w:val="clear" w:color="auto" w:fill="auto"/>
            <w:noWrap/>
            <w:hideMark/>
          </w:tcPr>
          <w:p w14:paraId="4BFF3909"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5,550.00</w:t>
            </w:r>
          </w:p>
        </w:tc>
        <w:tc>
          <w:tcPr>
            <w:tcW w:w="1134" w:type="dxa"/>
            <w:tcBorders>
              <w:top w:val="nil"/>
              <w:left w:val="nil"/>
              <w:bottom w:val="single" w:sz="4" w:space="0" w:color="auto"/>
              <w:right w:val="single" w:sz="4" w:space="0" w:color="auto"/>
            </w:tcBorders>
            <w:shd w:val="clear" w:color="auto" w:fill="auto"/>
            <w:noWrap/>
            <w:hideMark/>
          </w:tcPr>
          <w:p w14:paraId="193BEF87"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5,550.00</w:t>
            </w:r>
          </w:p>
        </w:tc>
        <w:tc>
          <w:tcPr>
            <w:tcW w:w="992" w:type="dxa"/>
            <w:tcBorders>
              <w:top w:val="nil"/>
              <w:left w:val="nil"/>
              <w:bottom w:val="single" w:sz="4" w:space="0" w:color="auto"/>
              <w:right w:val="single" w:sz="4" w:space="0" w:color="auto"/>
            </w:tcBorders>
            <w:shd w:val="clear" w:color="auto" w:fill="auto"/>
            <w:noWrap/>
            <w:hideMark/>
          </w:tcPr>
          <w:p w14:paraId="2B60DF0B"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18,500.00</w:t>
            </w:r>
          </w:p>
        </w:tc>
        <w:tc>
          <w:tcPr>
            <w:tcW w:w="1134" w:type="dxa"/>
            <w:tcBorders>
              <w:top w:val="nil"/>
              <w:left w:val="nil"/>
              <w:bottom w:val="single" w:sz="4" w:space="0" w:color="auto"/>
              <w:right w:val="single" w:sz="4" w:space="0" w:color="auto"/>
            </w:tcBorders>
            <w:shd w:val="clear" w:color="auto" w:fill="auto"/>
            <w:noWrap/>
            <w:hideMark/>
          </w:tcPr>
          <w:p w14:paraId="3E596A09"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9,370.00</w:t>
            </w:r>
          </w:p>
        </w:tc>
        <w:tc>
          <w:tcPr>
            <w:tcW w:w="1276" w:type="dxa"/>
            <w:tcBorders>
              <w:top w:val="nil"/>
              <w:left w:val="nil"/>
              <w:bottom w:val="single" w:sz="4" w:space="0" w:color="auto"/>
              <w:right w:val="single" w:sz="4" w:space="0" w:color="auto"/>
            </w:tcBorders>
            <w:shd w:val="clear" w:color="auto" w:fill="auto"/>
            <w:noWrap/>
            <w:hideMark/>
          </w:tcPr>
          <w:p w14:paraId="0745A83A"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1,169.23</w:t>
            </w:r>
          </w:p>
        </w:tc>
      </w:tr>
      <w:tr w:rsidR="00FD1D4D" w:rsidRPr="00FD1D4D" w14:paraId="1F1437A5" w14:textId="77777777" w:rsidTr="00FD1D4D">
        <w:trPr>
          <w:trHeight w:val="409"/>
        </w:trPr>
        <w:tc>
          <w:tcPr>
            <w:tcW w:w="2127" w:type="dxa"/>
            <w:vMerge/>
            <w:tcBorders>
              <w:top w:val="nil"/>
              <w:left w:val="single" w:sz="4" w:space="0" w:color="auto"/>
              <w:bottom w:val="single" w:sz="4" w:space="0" w:color="auto"/>
              <w:right w:val="single" w:sz="4" w:space="0" w:color="auto"/>
            </w:tcBorders>
            <w:vAlign w:val="center"/>
            <w:hideMark/>
          </w:tcPr>
          <w:p w14:paraId="16DA46AB" w14:textId="77777777" w:rsidR="001254DA" w:rsidRPr="00FD1D4D" w:rsidRDefault="001254DA">
            <w:pPr>
              <w:rPr>
                <w:rFonts w:ascii="Arial Narrow" w:hAnsi="Arial Narrow"/>
                <w:color w:val="000000"/>
                <w:sz w:val="14"/>
                <w:szCs w:val="14"/>
              </w:rPr>
            </w:pPr>
          </w:p>
        </w:tc>
        <w:tc>
          <w:tcPr>
            <w:tcW w:w="2693" w:type="dxa"/>
            <w:tcBorders>
              <w:top w:val="nil"/>
              <w:left w:val="nil"/>
              <w:bottom w:val="single" w:sz="4" w:space="0" w:color="auto"/>
              <w:right w:val="single" w:sz="4" w:space="0" w:color="auto"/>
            </w:tcBorders>
            <w:shd w:val="clear" w:color="auto" w:fill="auto"/>
            <w:hideMark/>
          </w:tcPr>
          <w:p w14:paraId="4ED5C245"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2.1. Proceso participativo para validación de estrategia y plan</w:t>
            </w:r>
          </w:p>
        </w:tc>
        <w:tc>
          <w:tcPr>
            <w:tcW w:w="3546" w:type="dxa"/>
            <w:tcBorders>
              <w:top w:val="nil"/>
              <w:left w:val="nil"/>
              <w:bottom w:val="single" w:sz="4" w:space="0" w:color="auto"/>
              <w:right w:val="nil"/>
            </w:tcBorders>
            <w:shd w:val="clear" w:color="auto" w:fill="auto"/>
            <w:hideMark/>
          </w:tcPr>
          <w:p w14:paraId="798ABB16"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Viajes, alquiler de sala de reuniones, materiales, per diem de asistentes (grupos focalizados), refrigerios, entre otros</w:t>
            </w:r>
          </w:p>
        </w:tc>
        <w:tc>
          <w:tcPr>
            <w:tcW w:w="1274" w:type="dxa"/>
            <w:tcBorders>
              <w:top w:val="nil"/>
              <w:left w:val="single" w:sz="4" w:space="0" w:color="auto"/>
              <w:bottom w:val="single" w:sz="4" w:space="0" w:color="auto"/>
              <w:right w:val="single" w:sz="4" w:space="0" w:color="auto"/>
            </w:tcBorders>
            <w:shd w:val="clear" w:color="auto" w:fill="auto"/>
            <w:noWrap/>
            <w:hideMark/>
          </w:tcPr>
          <w:p w14:paraId="5A383C04"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0.00</w:t>
            </w:r>
          </w:p>
        </w:tc>
        <w:tc>
          <w:tcPr>
            <w:tcW w:w="1134" w:type="dxa"/>
            <w:tcBorders>
              <w:top w:val="nil"/>
              <w:left w:val="nil"/>
              <w:bottom w:val="single" w:sz="4" w:space="0" w:color="auto"/>
              <w:right w:val="single" w:sz="4" w:space="0" w:color="auto"/>
            </w:tcBorders>
            <w:shd w:val="clear" w:color="auto" w:fill="auto"/>
            <w:noWrap/>
            <w:hideMark/>
          </w:tcPr>
          <w:p w14:paraId="3A635D90"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71,570.00</w:t>
            </w:r>
          </w:p>
        </w:tc>
        <w:tc>
          <w:tcPr>
            <w:tcW w:w="1134" w:type="dxa"/>
            <w:tcBorders>
              <w:top w:val="nil"/>
              <w:left w:val="nil"/>
              <w:bottom w:val="single" w:sz="4" w:space="0" w:color="auto"/>
              <w:right w:val="single" w:sz="4" w:space="0" w:color="auto"/>
            </w:tcBorders>
            <w:shd w:val="clear" w:color="auto" w:fill="auto"/>
            <w:noWrap/>
            <w:hideMark/>
          </w:tcPr>
          <w:p w14:paraId="11093DAC"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17,892.50</w:t>
            </w:r>
          </w:p>
        </w:tc>
        <w:tc>
          <w:tcPr>
            <w:tcW w:w="992" w:type="dxa"/>
            <w:tcBorders>
              <w:top w:val="nil"/>
              <w:left w:val="nil"/>
              <w:bottom w:val="single" w:sz="4" w:space="0" w:color="auto"/>
              <w:right w:val="single" w:sz="4" w:space="0" w:color="auto"/>
            </w:tcBorders>
            <w:shd w:val="clear" w:color="auto" w:fill="auto"/>
            <w:noWrap/>
            <w:hideMark/>
          </w:tcPr>
          <w:p w14:paraId="2A8FB997"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89,462.50</w:t>
            </w:r>
          </w:p>
        </w:tc>
        <w:tc>
          <w:tcPr>
            <w:tcW w:w="1134" w:type="dxa"/>
            <w:tcBorders>
              <w:top w:val="nil"/>
              <w:left w:val="nil"/>
              <w:bottom w:val="single" w:sz="4" w:space="0" w:color="auto"/>
              <w:right w:val="single" w:sz="4" w:space="0" w:color="auto"/>
            </w:tcBorders>
            <w:shd w:val="clear" w:color="auto" w:fill="auto"/>
            <w:noWrap/>
            <w:hideMark/>
          </w:tcPr>
          <w:p w14:paraId="66CFA1FB"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9,370.00</w:t>
            </w:r>
          </w:p>
        </w:tc>
        <w:tc>
          <w:tcPr>
            <w:tcW w:w="1276" w:type="dxa"/>
            <w:tcBorders>
              <w:top w:val="nil"/>
              <w:left w:val="nil"/>
              <w:bottom w:val="single" w:sz="4" w:space="0" w:color="auto"/>
              <w:right w:val="single" w:sz="4" w:space="0" w:color="auto"/>
            </w:tcBorders>
            <w:shd w:val="clear" w:color="auto" w:fill="auto"/>
            <w:noWrap/>
            <w:hideMark/>
          </w:tcPr>
          <w:p w14:paraId="46860901"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1,169.23</w:t>
            </w:r>
          </w:p>
        </w:tc>
      </w:tr>
      <w:tr w:rsidR="00FD1D4D" w:rsidRPr="00FD1D4D" w14:paraId="3C2C5120" w14:textId="77777777" w:rsidTr="00FD1D4D">
        <w:trPr>
          <w:trHeight w:val="73"/>
        </w:trPr>
        <w:tc>
          <w:tcPr>
            <w:tcW w:w="8366" w:type="dxa"/>
            <w:gridSpan w:val="3"/>
            <w:tcBorders>
              <w:top w:val="single" w:sz="4" w:space="0" w:color="auto"/>
              <w:left w:val="single" w:sz="4" w:space="0" w:color="auto"/>
              <w:bottom w:val="single" w:sz="4" w:space="0" w:color="auto"/>
              <w:right w:val="single" w:sz="4" w:space="0" w:color="auto"/>
            </w:tcBorders>
            <w:shd w:val="clear" w:color="000000" w:fill="A6A6A6"/>
            <w:hideMark/>
          </w:tcPr>
          <w:p w14:paraId="65A764F8"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 xml:space="preserve">Subtotal del Producto 2 </w:t>
            </w:r>
          </w:p>
        </w:tc>
        <w:tc>
          <w:tcPr>
            <w:tcW w:w="1274" w:type="dxa"/>
            <w:tcBorders>
              <w:top w:val="nil"/>
              <w:left w:val="single" w:sz="4" w:space="0" w:color="auto"/>
              <w:bottom w:val="single" w:sz="4" w:space="0" w:color="auto"/>
              <w:right w:val="single" w:sz="4" w:space="0" w:color="auto"/>
            </w:tcBorders>
            <w:shd w:val="clear" w:color="000000" w:fill="A6A6A6"/>
            <w:noWrap/>
            <w:hideMark/>
          </w:tcPr>
          <w:p w14:paraId="61D9687D"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15,604.28</w:t>
            </w:r>
          </w:p>
        </w:tc>
        <w:tc>
          <w:tcPr>
            <w:tcW w:w="1134" w:type="dxa"/>
            <w:tcBorders>
              <w:top w:val="nil"/>
              <w:left w:val="nil"/>
              <w:bottom w:val="single" w:sz="4" w:space="0" w:color="auto"/>
              <w:right w:val="single" w:sz="4" w:space="0" w:color="auto"/>
            </w:tcBorders>
            <w:shd w:val="clear" w:color="000000" w:fill="A6A6A6"/>
            <w:noWrap/>
            <w:hideMark/>
          </w:tcPr>
          <w:p w14:paraId="6C8A80EA"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115,495.00</w:t>
            </w:r>
          </w:p>
        </w:tc>
        <w:tc>
          <w:tcPr>
            <w:tcW w:w="1134" w:type="dxa"/>
            <w:tcBorders>
              <w:top w:val="nil"/>
              <w:left w:val="nil"/>
              <w:bottom w:val="single" w:sz="4" w:space="0" w:color="auto"/>
              <w:right w:val="single" w:sz="4" w:space="0" w:color="auto"/>
            </w:tcBorders>
            <w:shd w:val="clear" w:color="000000" w:fill="A6A6A6"/>
            <w:noWrap/>
            <w:hideMark/>
          </w:tcPr>
          <w:p w14:paraId="1880745E"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34,425.73</w:t>
            </w:r>
          </w:p>
        </w:tc>
        <w:tc>
          <w:tcPr>
            <w:tcW w:w="992" w:type="dxa"/>
            <w:tcBorders>
              <w:top w:val="nil"/>
              <w:left w:val="nil"/>
              <w:bottom w:val="single" w:sz="4" w:space="0" w:color="auto"/>
              <w:right w:val="single" w:sz="4" w:space="0" w:color="auto"/>
            </w:tcBorders>
            <w:shd w:val="clear" w:color="000000" w:fill="A6A6A6"/>
            <w:noWrap/>
            <w:hideMark/>
          </w:tcPr>
          <w:p w14:paraId="12FCE83B"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165,525.00</w:t>
            </w:r>
          </w:p>
        </w:tc>
        <w:tc>
          <w:tcPr>
            <w:tcW w:w="1134" w:type="dxa"/>
            <w:tcBorders>
              <w:top w:val="nil"/>
              <w:left w:val="nil"/>
              <w:bottom w:val="single" w:sz="4" w:space="0" w:color="auto"/>
              <w:right w:val="single" w:sz="4" w:space="0" w:color="auto"/>
            </w:tcBorders>
            <w:shd w:val="clear" w:color="000000" w:fill="A6A6A6"/>
            <w:noWrap/>
            <w:vAlign w:val="bottom"/>
            <w:hideMark/>
          </w:tcPr>
          <w:p w14:paraId="0B65EE1D"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28,110.00</w:t>
            </w:r>
          </w:p>
        </w:tc>
        <w:tc>
          <w:tcPr>
            <w:tcW w:w="1276" w:type="dxa"/>
            <w:tcBorders>
              <w:top w:val="nil"/>
              <w:left w:val="nil"/>
              <w:bottom w:val="single" w:sz="4" w:space="0" w:color="auto"/>
              <w:right w:val="single" w:sz="4" w:space="0" w:color="auto"/>
            </w:tcBorders>
            <w:shd w:val="clear" w:color="000000" w:fill="A5A5A5"/>
            <w:noWrap/>
            <w:vAlign w:val="bottom"/>
            <w:hideMark/>
          </w:tcPr>
          <w:p w14:paraId="606C775F"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3,507.69</w:t>
            </w:r>
          </w:p>
        </w:tc>
      </w:tr>
      <w:tr w:rsidR="00FD1D4D" w:rsidRPr="00FD1D4D" w14:paraId="44F3CBE3" w14:textId="77777777" w:rsidTr="00FD1D4D">
        <w:trPr>
          <w:trHeight w:val="521"/>
        </w:trPr>
        <w:tc>
          <w:tcPr>
            <w:tcW w:w="2127" w:type="dxa"/>
            <w:vMerge w:val="restart"/>
            <w:tcBorders>
              <w:top w:val="nil"/>
              <w:left w:val="single" w:sz="4" w:space="0" w:color="auto"/>
              <w:bottom w:val="single" w:sz="4" w:space="0" w:color="auto"/>
              <w:right w:val="single" w:sz="4" w:space="0" w:color="auto"/>
            </w:tcBorders>
            <w:shd w:val="clear" w:color="auto" w:fill="auto"/>
            <w:hideMark/>
          </w:tcPr>
          <w:p w14:paraId="0B311BC2"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Producto 3. Gobierno Regional de Amazonas y actores clave han desarrollado destrezas, durante el proceso de elaboración de la estrategia y el plan, para promover el desarrollo rural bajo en emisiones y la gestión de paisajes climáticamente inteligentes </w:t>
            </w:r>
          </w:p>
        </w:tc>
        <w:tc>
          <w:tcPr>
            <w:tcW w:w="2693" w:type="dxa"/>
            <w:tcBorders>
              <w:top w:val="nil"/>
              <w:left w:val="nil"/>
              <w:bottom w:val="single" w:sz="4" w:space="0" w:color="auto"/>
              <w:right w:val="single" w:sz="4" w:space="0" w:color="auto"/>
            </w:tcBorders>
            <w:shd w:val="clear" w:color="auto" w:fill="auto"/>
            <w:hideMark/>
          </w:tcPr>
          <w:p w14:paraId="7602A0DD"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3.1. Desarrollo de programa de capacitación (incluye acompañamiento) sobre  marco conceptual y estratégico sobre desarrollo rural bajo en emisiones y gestión de paisajes climáticamente inteligentes. </w:t>
            </w:r>
          </w:p>
        </w:tc>
        <w:tc>
          <w:tcPr>
            <w:tcW w:w="3546" w:type="dxa"/>
            <w:tcBorders>
              <w:top w:val="nil"/>
              <w:left w:val="nil"/>
              <w:bottom w:val="single" w:sz="4" w:space="0" w:color="auto"/>
              <w:right w:val="nil"/>
            </w:tcBorders>
            <w:shd w:val="clear" w:color="auto" w:fill="auto"/>
            <w:hideMark/>
          </w:tcPr>
          <w:p w14:paraId="5DE231C0" w14:textId="0412357E"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 xml:space="preserve">Servicios profesionales para diseño de modulo de capacitación y programa de acompañamiento,  materiales, viajes y </w:t>
            </w:r>
            <w:r w:rsidR="00F6762D" w:rsidRPr="00FD1D4D">
              <w:rPr>
                <w:rFonts w:ascii="Arial Narrow" w:hAnsi="Arial Narrow"/>
                <w:color w:val="000000"/>
                <w:sz w:val="14"/>
                <w:szCs w:val="14"/>
              </w:rPr>
              <w:t>sistematización</w:t>
            </w:r>
            <w:r w:rsidRPr="00FD1D4D">
              <w:rPr>
                <w:rFonts w:ascii="Arial Narrow" w:hAnsi="Arial Narrow"/>
                <w:color w:val="000000"/>
                <w:sz w:val="14"/>
                <w:szCs w:val="14"/>
              </w:rPr>
              <w:t xml:space="preserve"> de modulo,</w:t>
            </w:r>
          </w:p>
        </w:tc>
        <w:tc>
          <w:tcPr>
            <w:tcW w:w="1274" w:type="dxa"/>
            <w:tcBorders>
              <w:top w:val="nil"/>
              <w:left w:val="single" w:sz="4" w:space="0" w:color="auto"/>
              <w:bottom w:val="single" w:sz="4" w:space="0" w:color="auto"/>
              <w:right w:val="single" w:sz="4" w:space="0" w:color="auto"/>
            </w:tcBorders>
            <w:shd w:val="clear" w:color="auto" w:fill="auto"/>
            <w:noWrap/>
            <w:hideMark/>
          </w:tcPr>
          <w:p w14:paraId="499B6924"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2,243.00</w:t>
            </w:r>
          </w:p>
        </w:tc>
        <w:tc>
          <w:tcPr>
            <w:tcW w:w="1134" w:type="dxa"/>
            <w:tcBorders>
              <w:top w:val="nil"/>
              <w:left w:val="nil"/>
              <w:bottom w:val="single" w:sz="4" w:space="0" w:color="auto"/>
              <w:right w:val="single" w:sz="4" w:space="0" w:color="auto"/>
            </w:tcBorders>
            <w:shd w:val="clear" w:color="auto" w:fill="auto"/>
            <w:noWrap/>
            <w:hideMark/>
          </w:tcPr>
          <w:p w14:paraId="6A1D7479"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6,729.00</w:t>
            </w:r>
          </w:p>
        </w:tc>
        <w:tc>
          <w:tcPr>
            <w:tcW w:w="1134" w:type="dxa"/>
            <w:tcBorders>
              <w:top w:val="nil"/>
              <w:left w:val="nil"/>
              <w:bottom w:val="single" w:sz="4" w:space="0" w:color="auto"/>
              <w:right w:val="single" w:sz="4" w:space="0" w:color="auto"/>
            </w:tcBorders>
            <w:shd w:val="clear" w:color="auto" w:fill="auto"/>
            <w:noWrap/>
            <w:hideMark/>
          </w:tcPr>
          <w:p w14:paraId="070A4377"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2,243.00</w:t>
            </w:r>
          </w:p>
        </w:tc>
        <w:tc>
          <w:tcPr>
            <w:tcW w:w="992" w:type="dxa"/>
            <w:tcBorders>
              <w:top w:val="nil"/>
              <w:left w:val="nil"/>
              <w:bottom w:val="single" w:sz="4" w:space="0" w:color="auto"/>
              <w:right w:val="single" w:sz="4" w:space="0" w:color="auto"/>
            </w:tcBorders>
            <w:shd w:val="clear" w:color="auto" w:fill="auto"/>
            <w:noWrap/>
            <w:hideMark/>
          </w:tcPr>
          <w:p w14:paraId="2FCAE939"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11,215.00</w:t>
            </w:r>
          </w:p>
        </w:tc>
        <w:tc>
          <w:tcPr>
            <w:tcW w:w="1134" w:type="dxa"/>
            <w:tcBorders>
              <w:top w:val="nil"/>
              <w:left w:val="nil"/>
              <w:bottom w:val="single" w:sz="4" w:space="0" w:color="auto"/>
              <w:right w:val="single" w:sz="4" w:space="0" w:color="auto"/>
            </w:tcBorders>
            <w:shd w:val="clear" w:color="auto" w:fill="auto"/>
            <w:noWrap/>
            <w:vAlign w:val="bottom"/>
            <w:hideMark/>
          </w:tcPr>
          <w:p w14:paraId="16620401"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9,370.00</w:t>
            </w:r>
          </w:p>
        </w:tc>
        <w:tc>
          <w:tcPr>
            <w:tcW w:w="1276" w:type="dxa"/>
            <w:tcBorders>
              <w:top w:val="nil"/>
              <w:left w:val="nil"/>
              <w:bottom w:val="single" w:sz="4" w:space="0" w:color="auto"/>
              <w:right w:val="single" w:sz="4" w:space="0" w:color="auto"/>
            </w:tcBorders>
            <w:shd w:val="clear" w:color="auto" w:fill="auto"/>
            <w:noWrap/>
            <w:vAlign w:val="bottom"/>
            <w:hideMark/>
          </w:tcPr>
          <w:p w14:paraId="49405B1A"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1,169.23</w:t>
            </w:r>
          </w:p>
        </w:tc>
      </w:tr>
      <w:tr w:rsidR="00FD1D4D" w:rsidRPr="00FD1D4D" w14:paraId="54337A69" w14:textId="77777777" w:rsidTr="00FD1D4D">
        <w:trPr>
          <w:trHeight w:val="116"/>
        </w:trPr>
        <w:tc>
          <w:tcPr>
            <w:tcW w:w="2127" w:type="dxa"/>
            <w:vMerge/>
            <w:tcBorders>
              <w:top w:val="nil"/>
              <w:left w:val="single" w:sz="4" w:space="0" w:color="auto"/>
              <w:bottom w:val="single" w:sz="4" w:space="0" w:color="auto"/>
              <w:right w:val="single" w:sz="4" w:space="0" w:color="auto"/>
            </w:tcBorders>
            <w:vAlign w:val="center"/>
            <w:hideMark/>
          </w:tcPr>
          <w:p w14:paraId="57E19C54" w14:textId="77777777" w:rsidR="001254DA" w:rsidRPr="00FD1D4D" w:rsidRDefault="001254DA">
            <w:pPr>
              <w:rPr>
                <w:rFonts w:ascii="Arial Narrow" w:hAnsi="Arial Narrow"/>
                <w:color w:val="000000"/>
                <w:sz w:val="14"/>
                <w:szCs w:val="14"/>
              </w:rPr>
            </w:pPr>
          </w:p>
        </w:tc>
        <w:tc>
          <w:tcPr>
            <w:tcW w:w="2693" w:type="dxa"/>
            <w:tcBorders>
              <w:top w:val="nil"/>
              <w:left w:val="nil"/>
              <w:bottom w:val="single" w:sz="4" w:space="0" w:color="auto"/>
              <w:right w:val="single" w:sz="4" w:space="0" w:color="auto"/>
            </w:tcBorders>
            <w:shd w:val="clear" w:color="auto" w:fill="auto"/>
            <w:hideMark/>
          </w:tcPr>
          <w:p w14:paraId="05372CB1"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3.2. Acompañamiento y monitoreo de capacitación</w:t>
            </w:r>
          </w:p>
        </w:tc>
        <w:tc>
          <w:tcPr>
            <w:tcW w:w="3546" w:type="dxa"/>
            <w:tcBorders>
              <w:top w:val="nil"/>
              <w:left w:val="nil"/>
              <w:bottom w:val="single" w:sz="4" w:space="0" w:color="auto"/>
              <w:right w:val="nil"/>
            </w:tcBorders>
            <w:shd w:val="clear" w:color="auto" w:fill="auto"/>
            <w:noWrap/>
            <w:hideMark/>
          </w:tcPr>
          <w:p w14:paraId="30BA448A" w14:textId="77777777" w:rsidR="001254DA" w:rsidRPr="00FD1D4D" w:rsidRDefault="001254DA">
            <w:pPr>
              <w:rPr>
                <w:rFonts w:ascii="Arial Narrow" w:hAnsi="Arial Narrow"/>
                <w:color w:val="000000"/>
                <w:sz w:val="14"/>
                <w:szCs w:val="14"/>
              </w:rPr>
            </w:pPr>
            <w:r w:rsidRPr="00FD1D4D">
              <w:rPr>
                <w:rFonts w:ascii="Arial Narrow" w:hAnsi="Arial Narrow"/>
                <w:color w:val="000000"/>
                <w:sz w:val="14"/>
                <w:szCs w:val="14"/>
              </w:rPr>
              <w:t>Monitoreo de las competencias adquiridas</w:t>
            </w:r>
          </w:p>
        </w:tc>
        <w:tc>
          <w:tcPr>
            <w:tcW w:w="1274" w:type="dxa"/>
            <w:tcBorders>
              <w:top w:val="nil"/>
              <w:left w:val="single" w:sz="4" w:space="0" w:color="auto"/>
              <w:bottom w:val="single" w:sz="4" w:space="0" w:color="auto"/>
              <w:right w:val="single" w:sz="4" w:space="0" w:color="auto"/>
            </w:tcBorders>
            <w:shd w:val="clear" w:color="auto" w:fill="auto"/>
            <w:noWrap/>
            <w:hideMark/>
          </w:tcPr>
          <w:p w14:paraId="74E42B7C"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9,593.75</w:t>
            </w:r>
          </w:p>
        </w:tc>
        <w:tc>
          <w:tcPr>
            <w:tcW w:w="1134" w:type="dxa"/>
            <w:tcBorders>
              <w:top w:val="nil"/>
              <w:left w:val="nil"/>
              <w:bottom w:val="single" w:sz="4" w:space="0" w:color="auto"/>
              <w:right w:val="single" w:sz="4" w:space="0" w:color="auto"/>
            </w:tcBorders>
            <w:shd w:val="clear" w:color="auto" w:fill="auto"/>
            <w:noWrap/>
            <w:hideMark/>
          </w:tcPr>
          <w:p w14:paraId="70652D94"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38,375.00</w:t>
            </w:r>
          </w:p>
        </w:tc>
        <w:tc>
          <w:tcPr>
            <w:tcW w:w="1134" w:type="dxa"/>
            <w:tcBorders>
              <w:top w:val="nil"/>
              <w:left w:val="nil"/>
              <w:bottom w:val="single" w:sz="4" w:space="0" w:color="auto"/>
              <w:right w:val="single" w:sz="4" w:space="0" w:color="auto"/>
            </w:tcBorders>
            <w:shd w:val="clear" w:color="auto" w:fill="auto"/>
            <w:noWrap/>
            <w:hideMark/>
          </w:tcPr>
          <w:p w14:paraId="74927894"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9,593.75</w:t>
            </w:r>
          </w:p>
        </w:tc>
        <w:tc>
          <w:tcPr>
            <w:tcW w:w="992" w:type="dxa"/>
            <w:tcBorders>
              <w:top w:val="nil"/>
              <w:left w:val="nil"/>
              <w:bottom w:val="single" w:sz="4" w:space="0" w:color="auto"/>
              <w:right w:val="single" w:sz="4" w:space="0" w:color="auto"/>
            </w:tcBorders>
            <w:shd w:val="clear" w:color="auto" w:fill="auto"/>
            <w:noWrap/>
            <w:hideMark/>
          </w:tcPr>
          <w:p w14:paraId="3228C2AC"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57,562.50</w:t>
            </w:r>
          </w:p>
        </w:tc>
        <w:tc>
          <w:tcPr>
            <w:tcW w:w="1134" w:type="dxa"/>
            <w:tcBorders>
              <w:top w:val="nil"/>
              <w:left w:val="nil"/>
              <w:bottom w:val="single" w:sz="4" w:space="0" w:color="auto"/>
              <w:right w:val="single" w:sz="4" w:space="0" w:color="auto"/>
            </w:tcBorders>
            <w:shd w:val="clear" w:color="auto" w:fill="auto"/>
            <w:noWrap/>
            <w:vAlign w:val="bottom"/>
            <w:hideMark/>
          </w:tcPr>
          <w:p w14:paraId="60C11287"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9,370.00</w:t>
            </w:r>
          </w:p>
        </w:tc>
        <w:tc>
          <w:tcPr>
            <w:tcW w:w="1276" w:type="dxa"/>
            <w:tcBorders>
              <w:top w:val="nil"/>
              <w:left w:val="nil"/>
              <w:bottom w:val="single" w:sz="4" w:space="0" w:color="auto"/>
              <w:right w:val="single" w:sz="4" w:space="0" w:color="auto"/>
            </w:tcBorders>
            <w:shd w:val="clear" w:color="auto" w:fill="auto"/>
            <w:noWrap/>
            <w:vAlign w:val="bottom"/>
            <w:hideMark/>
          </w:tcPr>
          <w:p w14:paraId="69F0C146"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1,169.23</w:t>
            </w:r>
          </w:p>
        </w:tc>
      </w:tr>
      <w:tr w:rsidR="00FD1D4D" w:rsidRPr="00FD1D4D" w14:paraId="613FB73D" w14:textId="77777777" w:rsidTr="00FD1D4D">
        <w:trPr>
          <w:trHeight w:val="73"/>
        </w:trPr>
        <w:tc>
          <w:tcPr>
            <w:tcW w:w="8366" w:type="dxa"/>
            <w:gridSpan w:val="3"/>
            <w:tcBorders>
              <w:top w:val="single" w:sz="4" w:space="0" w:color="auto"/>
              <w:left w:val="single" w:sz="4" w:space="0" w:color="auto"/>
              <w:bottom w:val="single" w:sz="4" w:space="0" w:color="auto"/>
              <w:right w:val="nil"/>
            </w:tcBorders>
            <w:shd w:val="clear" w:color="000000" w:fill="A6A6A6"/>
            <w:noWrap/>
            <w:hideMark/>
          </w:tcPr>
          <w:p w14:paraId="55EC0222" w14:textId="77777777" w:rsidR="001254DA" w:rsidRPr="00FD1D4D" w:rsidRDefault="001254DA">
            <w:pPr>
              <w:jc w:val="center"/>
              <w:rPr>
                <w:rFonts w:ascii="Arial Narrow" w:hAnsi="Arial Narrow"/>
                <w:color w:val="000000"/>
                <w:sz w:val="14"/>
                <w:szCs w:val="14"/>
              </w:rPr>
            </w:pPr>
            <w:r w:rsidRPr="00FD1D4D">
              <w:rPr>
                <w:rFonts w:ascii="Arial Narrow" w:hAnsi="Arial Narrow"/>
                <w:color w:val="000000"/>
                <w:sz w:val="14"/>
                <w:szCs w:val="14"/>
              </w:rPr>
              <w:t>Subtotal del Producto 3</w:t>
            </w:r>
          </w:p>
        </w:tc>
        <w:tc>
          <w:tcPr>
            <w:tcW w:w="1274" w:type="dxa"/>
            <w:tcBorders>
              <w:top w:val="nil"/>
              <w:left w:val="single" w:sz="4" w:space="0" w:color="auto"/>
              <w:bottom w:val="single" w:sz="4" w:space="0" w:color="auto"/>
              <w:right w:val="single" w:sz="4" w:space="0" w:color="auto"/>
            </w:tcBorders>
            <w:shd w:val="clear" w:color="000000" w:fill="A6A6A6"/>
            <w:noWrap/>
            <w:hideMark/>
          </w:tcPr>
          <w:p w14:paraId="5A1AB315"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11,836.75</w:t>
            </w:r>
          </w:p>
        </w:tc>
        <w:tc>
          <w:tcPr>
            <w:tcW w:w="1134" w:type="dxa"/>
            <w:tcBorders>
              <w:top w:val="nil"/>
              <w:left w:val="nil"/>
              <w:bottom w:val="single" w:sz="4" w:space="0" w:color="auto"/>
              <w:right w:val="single" w:sz="4" w:space="0" w:color="auto"/>
            </w:tcBorders>
            <w:shd w:val="clear" w:color="000000" w:fill="A6A6A6"/>
            <w:noWrap/>
            <w:hideMark/>
          </w:tcPr>
          <w:p w14:paraId="4D551993"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45,104.00</w:t>
            </w:r>
          </w:p>
        </w:tc>
        <w:tc>
          <w:tcPr>
            <w:tcW w:w="1134" w:type="dxa"/>
            <w:tcBorders>
              <w:top w:val="nil"/>
              <w:left w:val="nil"/>
              <w:bottom w:val="single" w:sz="4" w:space="0" w:color="auto"/>
              <w:right w:val="single" w:sz="4" w:space="0" w:color="auto"/>
            </w:tcBorders>
            <w:shd w:val="clear" w:color="000000" w:fill="A6A6A6"/>
            <w:noWrap/>
            <w:hideMark/>
          </w:tcPr>
          <w:p w14:paraId="54C2FA49"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11,836.75</w:t>
            </w:r>
          </w:p>
        </w:tc>
        <w:tc>
          <w:tcPr>
            <w:tcW w:w="992" w:type="dxa"/>
            <w:tcBorders>
              <w:top w:val="nil"/>
              <w:left w:val="nil"/>
              <w:bottom w:val="single" w:sz="4" w:space="0" w:color="auto"/>
              <w:right w:val="single" w:sz="4" w:space="0" w:color="auto"/>
            </w:tcBorders>
            <w:shd w:val="clear" w:color="000000" w:fill="A6A6A6"/>
            <w:noWrap/>
            <w:hideMark/>
          </w:tcPr>
          <w:p w14:paraId="5708B336"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68,777.50</w:t>
            </w:r>
          </w:p>
        </w:tc>
        <w:tc>
          <w:tcPr>
            <w:tcW w:w="1134" w:type="dxa"/>
            <w:tcBorders>
              <w:top w:val="nil"/>
              <w:left w:val="nil"/>
              <w:bottom w:val="single" w:sz="4" w:space="0" w:color="auto"/>
              <w:right w:val="single" w:sz="4" w:space="0" w:color="auto"/>
            </w:tcBorders>
            <w:shd w:val="clear" w:color="000000" w:fill="A6A6A6"/>
            <w:noWrap/>
            <w:vAlign w:val="bottom"/>
            <w:hideMark/>
          </w:tcPr>
          <w:p w14:paraId="03CFFFA7"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18,740.00</w:t>
            </w:r>
          </w:p>
        </w:tc>
        <w:tc>
          <w:tcPr>
            <w:tcW w:w="1276" w:type="dxa"/>
            <w:tcBorders>
              <w:top w:val="nil"/>
              <w:left w:val="nil"/>
              <w:bottom w:val="single" w:sz="4" w:space="0" w:color="auto"/>
              <w:right w:val="single" w:sz="4" w:space="0" w:color="auto"/>
            </w:tcBorders>
            <w:shd w:val="clear" w:color="000000" w:fill="A5A5A5"/>
            <w:noWrap/>
            <w:vAlign w:val="bottom"/>
            <w:hideMark/>
          </w:tcPr>
          <w:p w14:paraId="5D8F65C2"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2,338.46</w:t>
            </w:r>
          </w:p>
        </w:tc>
      </w:tr>
      <w:tr w:rsidR="00FD1D4D" w:rsidRPr="00FD1D4D" w14:paraId="3183825C" w14:textId="77777777" w:rsidTr="00FD1D4D">
        <w:trPr>
          <w:trHeight w:val="73"/>
        </w:trPr>
        <w:tc>
          <w:tcPr>
            <w:tcW w:w="8366" w:type="dxa"/>
            <w:gridSpan w:val="3"/>
            <w:tcBorders>
              <w:top w:val="single" w:sz="4" w:space="0" w:color="auto"/>
              <w:left w:val="single" w:sz="4" w:space="0" w:color="auto"/>
              <w:bottom w:val="single" w:sz="4" w:space="0" w:color="auto"/>
              <w:right w:val="nil"/>
            </w:tcBorders>
            <w:shd w:val="clear" w:color="auto" w:fill="auto"/>
            <w:noWrap/>
            <w:hideMark/>
          </w:tcPr>
          <w:p w14:paraId="64659159" w14:textId="77777777" w:rsidR="001254DA" w:rsidRPr="00FD1D4D" w:rsidRDefault="001254DA">
            <w:pPr>
              <w:jc w:val="center"/>
              <w:rPr>
                <w:rFonts w:ascii="Arial Narrow" w:hAnsi="Arial Narrow"/>
                <w:color w:val="000000"/>
                <w:sz w:val="14"/>
                <w:szCs w:val="14"/>
              </w:rPr>
            </w:pPr>
            <w:r w:rsidRPr="00FD1D4D">
              <w:rPr>
                <w:rFonts w:ascii="Arial Narrow" w:hAnsi="Arial Narrow"/>
                <w:color w:val="000000"/>
                <w:sz w:val="14"/>
                <w:szCs w:val="14"/>
              </w:rPr>
              <w:t xml:space="preserve">Subtotal de los tres productos </w:t>
            </w:r>
          </w:p>
        </w:tc>
        <w:tc>
          <w:tcPr>
            <w:tcW w:w="1274" w:type="dxa"/>
            <w:tcBorders>
              <w:top w:val="nil"/>
              <w:left w:val="single" w:sz="4" w:space="0" w:color="auto"/>
              <w:bottom w:val="single" w:sz="4" w:space="0" w:color="auto"/>
              <w:right w:val="single" w:sz="4" w:space="0" w:color="auto"/>
            </w:tcBorders>
            <w:shd w:val="clear" w:color="auto" w:fill="auto"/>
            <w:noWrap/>
            <w:hideMark/>
          </w:tcPr>
          <w:p w14:paraId="2785FCA5"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76,666.68</w:t>
            </w:r>
          </w:p>
        </w:tc>
        <w:tc>
          <w:tcPr>
            <w:tcW w:w="1134" w:type="dxa"/>
            <w:tcBorders>
              <w:top w:val="nil"/>
              <w:left w:val="nil"/>
              <w:bottom w:val="single" w:sz="4" w:space="0" w:color="auto"/>
              <w:right w:val="single" w:sz="4" w:space="0" w:color="auto"/>
            </w:tcBorders>
            <w:shd w:val="clear" w:color="auto" w:fill="auto"/>
            <w:noWrap/>
            <w:hideMark/>
          </w:tcPr>
          <w:p w14:paraId="5A39FC57"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215,959.10</w:t>
            </w:r>
          </w:p>
        </w:tc>
        <w:tc>
          <w:tcPr>
            <w:tcW w:w="1134" w:type="dxa"/>
            <w:tcBorders>
              <w:top w:val="nil"/>
              <w:left w:val="nil"/>
              <w:bottom w:val="single" w:sz="4" w:space="0" w:color="auto"/>
              <w:right w:val="single" w:sz="4" w:space="0" w:color="auto"/>
            </w:tcBorders>
            <w:shd w:val="clear" w:color="auto" w:fill="auto"/>
            <w:noWrap/>
            <w:hideMark/>
          </w:tcPr>
          <w:p w14:paraId="7D926A7F"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55,856.23</w:t>
            </w:r>
          </w:p>
        </w:tc>
        <w:tc>
          <w:tcPr>
            <w:tcW w:w="992" w:type="dxa"/>
            <w:tcBorders>
              <w:top w:val="nil"/>
              <w:left w:val="nil"/>
              <w:bottom w:val="single" w:sz="4" w:space="0" w:color="auto"/>
              <w:right w:val="single" w:sz="4" w:space="0" w:color="auto"/>
            </w:tcBorders>
            <w:shd w:val="clear" w:color="auto" w:fill="auto"/>
            <w:noWrap/>
            <w:hideMark/>
          </w:tcPr>
          <w:p w14:paraId="750C829E"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348,482.00</w:t>
            </w:r>
          </w:p>
        </w:tc>
        <w:tc>
          <w:tcPr>
            <w:tcW w:w="1134" w:type="dxa"/>
            <w:vMerge w:val="restart"/>
            <w:tcBorders>
              <w:top w:val="nil"/>
              <w:left w:val="single" w:sz="4" w:space="0" w:color="auto"/>
              <w:bottom w:val="single" w:sz="4" w:space="0" w:color="auto"/>
              <w:right w:val="single" w:sz="4" w:space="0" w:color="auto"/>
            </w:tcBorders>
            <w:shd w:val="clear" w:color="000000" w:fill="A6A6A6"/>
            <w:noWrap/>
            <w:vAlign w:val="center"/>
            <w:hideMark/>
          </w:tcPr>
          <w:p w14:paraId="7BFBEA98"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USD 74,960.00</w:t>
            </w:r>
          </w:p>
        </w:tc>
        <w:tc>
          <w:tcPr>
            <w:tcW w:w="1276" w:type="dxa"/>
            <w:vMerge w:val="restart"/>
            <w:tcBorders>
              <w:top w:val="nil"/>
              <w:left w:val="single" w:sz="4" w:space="0" w:color="auto"/>
              <w:bottom w:val="single" w:sz="4" w:space="0" w:color="auto"/>
              <w:right w:val="single" w:sz="4" w:space="0" w:color="auto"/>
            </w:tcBorders>
            <w:shd w:val="clear" w:color="000000" w:fill="A5A5A5"/>
            <w:noWrap/>
            <w:vAlign w:val="center"/>
            <w:hideMark/>
          </w:tcPr>
          <w:p w14:paraId="0A63CB86"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USD 9,353.85</w:t>
            </w:r>
          </w:p>
        </w:tc>
      </w:tr>
      <w:tr w:rsidR="00FD1D4D" w:rsidRPr="00FD1D4D" w14:paraId="7A222CC3" w14:textId="77777777" w:rsidTr="00FD1D4D">
        <w:trPr>
          <w:trHeight w:val="73"/>
        </w:trPr>
        <w:tc>
          <w:tcPr>
            <w:tcW w:w="8366" w:type="dxa"/>
            <w:gridSpan w:val="3"/>
            <w:tcBorders>
              <w:top w:val="single" w:sz="4" w:space="0" w:color="auto"/>
              <w:left w:val="single" w:sz="4" w:space="0" w:color="auto"/>
              <w:bottom w:val="single" w:sz="4" w:space="0" w:color="auto"/>
              <w:right w:val="nil"/>
            </w:tcBorders>
            <w:shd w:val="clear" w:color="auto" w:fill="auto"/>
            <w:noWrap/>
            <w:hideMark/>
          </w:tcPr>
          <w:p w14:paraId="1D2CE37B" w14:textId="77777777" w:rsidR="001254DA" w:rsidRPr="00FD1D4D" w:rsidRDefault="001254DA">
            <w:pPr>
              <w:jc w:val="center"/>
              <w:rPr>
                <w:rFonts w:ascii="Arial Narrow" w:hAnsi="Arial Narrow"/>
                <w:color w:val="000000"/>
                <w:sz w:val="14"/>
                <w:szCs w:val="14"/>
              </w:rPr>
            </w:pPr>
            <w:r w:rsidRPr="00FD1D4D">
              <w:rPr>
                <w:rFonts w:ascii="Arial Narrow" w:hAnsi="Arial Narrow"/>
                <w:color w:val="000000"/>
                <w:sz w:val="14"/>
                <w:szCs w:val="14"/>
              </w:rPr>
              <w:t xml:space="preserve">Monitoreo del proyecto </w:t>
            </w:r>
          </w:p>
        </w:tc>
        <w:tc>
          <w:tcPr>
            <w:tcW w:w="1274" w:type="dxa"/>
            <w:tcBorders>
              <w:top w:val="nil"/>
              <w:left w:val="single" w:sz="4" w:space="0" w:color="auto"/>
              <w:bottom w:val="single" w:sz="4" w:space="0" w:color="auto"/>
              <w:right w:val="single" w:sz="4" w:space="0" w:color="auto"/>
            </w:tcBorders>
            <w:shd w:val="clear" w:color="auto" w:fill="auto"/>
            <w:noWrap/>
            <w:hideMark/>
          </w:tcPr>
          <w:p w14:paraId="5E1FBA47"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1,666.67</w:t>
            </w:r>
          </w:p>
        </w:tc>
        <w:tc>
          <w:tcPr>
            <w:tcW w:w="1134" w:type="dxa"/>
            <w:tcBorders>
              <w:top w:val="nil"/>
              <w:left w:val="nil"/>
              <w:bottom w:val="single" w:sz="4" w:space="0" w:color="auto"/>
              <w:right w:val="single" w:sz="4" w:space="0" w:color="auto"/>
            </w:tcBorders>
            <w:shd w:val="clear" w:color="auto" w:fill="auto"/>
            <w:noWrap/>
            <w:hideMark/>
          </w:tcPr>
          <w:p w14:paraId="023A1269"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6,666.67</w:t>
            </w:r>
          </w:p>
        </w:tc>
        <w:tc>
          <w:tcPr>
            <w:tcW w:w="1134" w:type="dxa"/>
            <w:tcBorders>
              <w:top w:val="nil"/>
              <w:left w:val="nil"/>
              <w:bottom w:val="single" w:sz="4" w:space="0" w:color="auto"/>
              <w:right w:val="single" w:sz="4" w:space="0" w:color="auto"/>
            </w:tcBorders>
            <w:shd w:val="clear" w:color="auto" w:fill="auto"/>
            <w:noWrap/>
            <w:hideMark/>
          </w:tcPr>
          <w:p w14:paraId="08E0E6BE"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1,666.67</w:t>
            </w:r>
          </w:p>
        </w:tc>
        <w:tc>
          <w:tcPr>
            <w:tcW w:w="992" w:type="dxa"/>
            <w:tcBorders>
              <w:top w:val="nil"/>
              <w:left w:val="nil"/>
              <w:bottom w:val="single" w:sz="4" w:space="0" w:color="auto"/>
              <w:right w:val="single" w:sz="4" w:space="0" w:color="auto"/>
            </w:tcBorders>
            <w:shd w:val="clear" w:color="auto" w:fill="auto"/>
            <w:noWrap/>
            <w:hideMark/>
          </w:tcPr>
          <w:p w14:paraId="3700BB07"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10,000.00</w:t>
            </w:r>
          </w:p>
        </w:tc>
        <w:tc>
          <w:tcPr>
            <w:tcW w:w="1134" w:type="dxa"/>
            <w:vMerge/>
            <w:tcBorders>
              <w:top w:val="nil"/>
              <w:left w:val="single" w:sz="4" w:space="0" w:color="auto"/>
              <w:bottom w:val="single" w:sz="4" w:space="0" w:color="auto"/>
              <w:right w:val="single" w:sz="4" w:space="0" w:color="auto"/>
            </w:tcBorders>
            <w:vAlign w:val="center"/>
            <w:hideMark/>
          </w:tcPr>
          <w:p w14:paraId="3213C843" w14:textId="77777777" w:rsidR="001254DA" w:rsidRPr="00FD1D4D" w:rsidRDefault="001254DA">
            <w:pPr>
              <w:rPr>
                <w:rFonts w:ascii="Arial Narrow" w:hAnsi="Arial Narrow"/>
                <w:b/>
                <w:bCs/>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3BF67CE5" w14:textId="77777777" w:rsidR="001254DA" w:rsidRPr="00FD1D4D" w:rsidRDefault="001254DA">
            <w:pPr>
              <w:rPr>
                <w:rFonts w:ascii="Arial Narrow" w:hAnsi="Arial Narrow"/>
                <w:b/>
                <w:bCs/>
                <w:color w:val="000000"/>
                <w:sz w:val="14"/>
                <w:szCs w:val="14"/>
              </w:rPr>
            </w:pPr>
          </w:p>
        </w:tc>
      </w:tr>
      <w:tr w:rsidR="00FD1D4D" w:rsidRPr="00FD1D4D" w14:paraId="2A703683" w14:textId="77777777" w:rsidTr="00FD1D4D">
        <w:trPr>
          <w:trHeight w:val="73"/>
        </w:trPr>
        <w:tc>
          <w:tcPr>
            <w:tcW w:w="8366" w:type="dxa"/>
            <w:gridSpan w:val="3"/>
            <w:tcBorders>
              <w:top w:val="single" w:sz="4" w:space="0" w:color="auto"/>
              <w:left w:val="single" w:sz="4" w:space="0" w:color="auto"/>
              <w:bottom w:val="single" w:sz="4" w:space="0" w:color="auto"/>
              <w:right w:val="nil"/>
            </w:tcBorders>
            <w:shd w:val="clear" w:color="auto" w:fill="auto"/>
            <w:noWrap/>
            <w:hideMark/>
          </w:tcPr>
          <w:p w14:paraId="0C1C314D" w14:textId="77777777" w:rsidR="001254DA" w:rsidRPr="00FD1D4D" w:rsidRDefault="001254DA">
            <w:pPr>
              <w:jc w:val="center"/>
              <w:rPr>
                <w:rFonts w:ascii="Arial Narrow" w:hAnsi="Arial Narrow"/>
                <w:color w:val="000000"/>
                <w:sz w:val="14"/>
                <w:szCs w:val="14"/>
              </w:rPr>
            </w:pPr>
            <w:r w:rsidRPr="00FD1D4D">
              <w:rPr>
                <w:rFonts w:ascii="Arial Narrow" w:hAnsi="Arial Narrow"/>
                <w:color w:val="000000"/>
                <w:sz w:val="14"/>
                <w:szCs w:val="14"/>
              </w:rPr>
              <w:t xml:space="preserve">Evaluación </w:t>
            </w:r>
          </w:p>
        </w:tc>
        <w:tc>
          <w:tcPr>
            <w:tcW w:w="1274" w:type="dxa"/>
            <w:tcBorders>
              <w:top w:val="nil"/>
              <w:left w:val="single" w:sz="4" w:space="0" w:color="auto"/>
              <w:bottom w:val="single" w:sz="4" w:space="0" w:color="auto"/>
              <w:right w:val="single" w:sz="4" w:space="0" w:color="auto"/>
            </w:tcBorders>
            <w:shd w:val="clear" w:color="auto" w:fill="auto"/>
            <w:noWrap/>
            <w:hideMark/>
          </w:tcPr>
          <w:p w14:paraId="309BFF36"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0.00</w:t>
            </w:r>
          </w:p>
        </w:tc>
        <w:tc>
          <w:tcPr>
            <w:tcW w:w="1134" w:type="dxa"/>
            <w:tcBorders>
              <w:top w:val="nil"/>
              <w:left w:val="nil"/>
              <w:bottom w:val="single" w:sz="4" w:space="0" w:color="auto"/>
              <w:right w:val="single" w:sz="4" w:space="0" w:color="auto"/>
            </w:tcBorders>
            <w:shd w:val="clear" w:color="auto" w:fill="auto"/>
            <w:noWrap/>
            <w:hideMark/>
          </w:tcPr>
          <w:p w14:paraId="6B9A82D9"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0.00</w:t>
            </w:r>
          </w:p>
        </w:tc>
        <w:tc>
          <w:tcPr>
            <w:tcW w:w="1134" w:type="dxa"/>
            <w:tcBorders>
              <w:top w:val="nil"/>
              <w:left w:val="nil"/>
              <w:bottom w:val="single" w:sz="4" w:space="0" w:color="auto"/>
              <w:right w:val="single" w:sz="4" w:space="0" w:color="auto"/>
            </w:tcBorders>
            <w:shd w:val="clear" w:color="auto" w:fill="auto"/>
            <w:noWrap/>
            <w:hideMark/>
          </w:tcPr>
          <w:p w14:paraId="219A9C92"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3,500.00</w:t>
            </w:r>
          </w:p>
        </w:tc>
        <w:tc>
          <w:tcPr>
            <w:tcW w:w="992" w:type="dxa"/>
            <w:tcBorders>
              <w:top w:val="nil"/>
              <w:left w:val="nil"/>
              <w:bottom w:val="single" w:sz="4" w:space="0" w:color="auto"/>
              <w:right w:val="single" w:sz="4" w:space="0" w:color="auto"/>
            </w:tcBorders>
            <w:shd w:val="clear" w:color="auto" w:fill="auto"/>
            <w:noWrap/>
            <w:hideMark/>
          </w:tcPr>
          <w:p w14:paraId="43754982"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USD 3,500.00</w:t>
            </w:r>
          </w:p>
        </w:tc>
        <w:tc>
          <w:tcPr>
            <w:tcW w:w="1134" w:type="dxa"/>
            <w:vMerge/>
            <w:tcBorders>
              <w:top w:val="nil"/>
              <w:left w:val="single" w:sz="4" w:space="0" w:color="auto"/>
              <w:bottom w:val="single" w:sz="4" w:space="0" w:color="auto"/>
              <w:right w:val="single" w:sz="4" w:space="0" w:color="auto"/>
            </w:tcBorders>
            <w:vAlign w:val="center"/>
            <w:hideMark/>
          </w:tcPr>
          <w:p w14:paraId="0591CA1C" w14:textId="77777777" w:rsidR="001254DA" w:rsidRPr="00FD1D4D" w:rsidRDefault="001254DA">
            <w:pPr>
              <w:rPr>
                <w:rFonts w:ascii="Arial Narrow" w:hAnsi="Arial Narrow"/>
                <w:b/>
                <w:bCs/>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5034B65" w14:textId="77777777" w:rsidR="001254DA" w:rsidRPr="00FD1D4D" w:rsidRDefault="001254DA">
            <w:pPr>
              <w:rPr>
                <w:rFonts w:ascii="Arial Narrow" w:hAnsi="Arial Narrow"/>
                <w:b/>
                <w:bCs/>
                <w:color w:val="000000"/>
                <w:sz w:val="14"/>
                <w:szCs w:val="14"/>
              </w:rPr>
            </w:pPr>
          </w:p>
        </w:tc>
      </w:tr>
      <w:tr w:rsidR="00FD1D4D" w:rsidRPr="00FD1D4D" w14:paraId="1AD2D081" w14:textId="77777777" w:rsidTr="00FD1D4D">
        <w:trPr>
          <w:trHeight w:val="73"/>
        </w:trPr>
        <w:tc>
          <w:tcPr>
            <w:tcW w:w="8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80ABF" w14:textId="77777777" w:rsidR="001254DA" w:rsidRPr="00FD1D4D" w:rsidRDefault="001254DA">
            <w:pPr>
              <w:jc w:val="center"/>
              <w:rPr>
                <w:rFonts w:ascii="Arial Narrow" w:hAnsi="Arial Narrow"/>
                <w:color w:val="000000"/>
                <w:sz w:val="14"/>
                <w:szCs w:val="14"/>
              </w:rPr>
            </w:pPr>
            <w:r w:rsidRPr="00FD1D4D">
              <w:rPr>
                <w:rFonts w:ascii="Arial Narrow" w:hAnsi="Arial Narrow"/>
                <w:color w:val="000000"/>
                <w:sz w:val="14"/>
                <w:szCs w:val="14"/>
              </w:rPr>
              <w:t xml:space="preserve">Consultoría género (indicadores y propuesta para monitoreo </w:t>
            </w:r>
          </w:p>
        </w:tc>
        <w:tc>
          <w:tcPr>
            <w:tcW w:w="1274" w:type="dxa"/>
            <w:tcBorders>
              <w:top w:val="nil"/>
              <w:left w:val="nil"/>
              <w:bottom w:val="single" w:sz="4" w:space="0" w:color="auto"/>
              <w:right w:val="single" w:sz="4" w:space="0" w:color="auto"/>
            </w:tcBorders>
            <w:shd w:val="clear" w:color="auto" w:fill="auto"/>
            <w:noWrap/>
            <w:vAlign w:val="bottom"/>
            <w:hideMark/>
          </w:tcPr>
          <w:p w14:paraId="39F0FBFB"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2500</w:t>
            </w:r>
          </w:p>
        </w:tc>
        <w:tc>
          <w:tcPr>
            <w:tcW w:w="1134" w:type="dxa"/>
            <w:tcBorders>
              <w:top w:val="nil"/>
              <w:left w:val="nil"/>
              <w:bottom w:val="single" w:sz="4" w:space="0" w:color="auto"/>
              <w:right w:val="single" w:sz="4" w:space="0" w:color="auto"/>
            </w:tcBorders>
            <w:shd w:val="clear" w:color="auto" w:fill="auto"/>
            <w:noWrap/>
            <w:vAlign w:val="bottom"/>
            <w:hideMark/>
          </w:tcPr>
          <w:p w14:paraId="6CFFA7AB"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bottom"/>
            <w:hideMark/>
          </w:tcPr>
          <w:p w14:paraId="26D04302"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0</w:t>
            </w:r>
          </w:p>
        </w:tc>
        <w:tc>
          <w:tcPr>
            <w:tcW w:w="992" w:type="dxa"/>
            <w:tcBorders>
              <w:top w:val="nil"/>
              <w:left w:val="nil"/>
              <w:bottom w:val="single" w:sz="4" w:space="0" w:color="auto"/>
              <w:right w:val="single" w:sz="4" w:space="0" w:color="auto"/>
            </w:tcBorders>
            <w:shd w:val="clear" w:color="auto" w:fill="auto"/>
            <w:noWrap/>
            <w:vAlign w:val="bottom"/>
            <w:hideMark/>
          </w:tcPr>
          <w:p w14:paraId="1EA76F2F" w14:textId="77777777" w:rsidR="001254DA" w:rsidRPr="00FD1D4D" w:rsidRDefault="001254DA">
            <w:pPr>
              <w:jc w:val="right"/>
              <w:rPr>
                <w:rFonts w:ascii="Arial Narrow" w:hAnsi="Arial Narrow"/>
                <w:color w:val="000000"/>
                <w:sz w:val="14"/>
                <w:szCs w:val="14"/>
              </w:rPr>
            </w:pPr>
            <w:r w:rsidRPr="00FD1D4D">
              <w:rPr>
                <w:rFonts w:ascii="Arial Narrow" w:hAnsi="Arial Narrow"/>
                <w:color w:val="000000"/>
                <w:sz w:val="14"/>
                <w:szCs w:val="14"/>
              </w:rPr>
              <w:t>2500</w:t>
            </w:r>
          </w:p>
        </w:tc>
        <w:tc>
          <w:tcPr>
            <w:tcW w:w="1134" w:type="dxa"/>
            <w:vMerge/>
            <w:tcBorders>
              <w:top w:val="nil"/>
              <w:left w:val="single" w:sz="4" w:space="0" w:color="auto"/>
              <w:bottom w:val="single" w:sz="4" w:space="0" w:color="auto"/>
              <w:right w:val="single" w:sz="4" w:space="0" w:color="auto"/>
            </w:tcBorders>
            <w:vAlign w:val="center"/>
            <w:hideMark/>
          </w:tcPr>
          <w:p w14:paraId="18610E2E" w14:textId="77777777" w:rsidR="001254DA" w:rsidRPr="00FD1D4D" w:rsidRDefault="001254DA">
            <w:pPr>
              <w:rPr>
                <w:rFonts w:ascii="Arial Narrow" w:hAnsi="Arial Narrow"/>
                <w:b/>
                <w:bCs/>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E69C5B6" w14:textId="77777777" w:rsidR="001254DA" w:rsidRPr="00FD1D4D" w:rsidRDefault="001254DA">
            <w:pPr>
              <w:rPr>
                <w:rFonts w:ascii="Arial Narrow" w:hAnsi="Arial Narrow"/>
                <w:b/>
                <w:bCs/>
                <w:color w:val="000000"/>
                <w:sz w:val="14"/>
                <w:szCs w:val="14"/>
              </w:rPr>
            </w:pPr>
          </w:p>
        </w:tc>
      </w:tr>
      <w:tr w:rsidR="00FD1D4D" w:rsidRPr="00FD1D4D" w14:paraId="52D36F22" w14:textId="77777777" w:rsidTr="00FD1D4D">
        <w:trPr>
          <w:trHeight w:val="73"/>
        </w:trPr>
        <w:tc>
          <w:tcPr>
            <w:tcW w:w="8366" w:type="dxa"/>
            <w:gridSpan w:val="3"/>
            <w:tcBorders>
              <w:top w:val="single" w:sz="4" w:space="0" w:color="auto"/>
              <w:left w:val="single" w:sz="4" w:space="0" w:color="auto"/>
              <w:bottom w:val="single" w:sz="4" w:space="0" w:color="auto"/>
              <w:right w:val="nil"/>
            </w:tcBorders>
            <w:shd w:val="clear" w:color="000000" w:fill="A6A6A6"/>
            <w:noWrap/>
            <w:hideMark/>
          </w:tcPr>
          <w:p w14:paraId="2495A23B"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 xml:space="preserve">Subtotal de evaluaciones y monitoreo </w:t>
            </w:r>
          </w:p>
        </w:tc>
        <w:tc>
          <w:tcPr>
            <w:tcW w:w="1274" w:type="dxa"/>
            <w:tcBorders>
              <w:top w:val="nil"/>
              <w:left w:val="single" w:sz="4" w:space="0" w:color="auto"/>
              <w:bottom w:val="single" w:sz="4" w:space="0" w:color="auto"/>
              <w:right w:val="single" w:sz="4" w:space="0" w:color="auto"/>
            </w:tcBorders>
            <w:shd w:val="clear" w:color="000000" w:fill="A6A6A6"/>
            <w:noWrap/>
            <w:hideMark/>
          </w:tcPr>
          <w:p w14:paraId="1B7D8235"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4,166.67</w:t>
            </w:r>
          </w:p>
        </w:tc>
        <w:tc>
          <w:tcPr>
            <w:tcW w:w="1134" w:type="dxa"/>
            <w:tcBorders>
              <w:top w:val="nil"/>
              <w:left w:val="nil"/>
              <w:bottom w:val="single" w:sz="4" w:space="0" w:color="auto"/>
              <w:right w:val="single" w:sz="4" w:space="0" w:color="auto"/>
            </w:tcBorders>
            <w:shd w:val="clear" w:color="000000" w:fill="A6A6A6"/>
            <w:noWrap/>
            <w:hideMark/>
          </w:tcPr>
          <w:p w14:paraId="38F8FDC0"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6,666.67</w:t>
            </w:r>
          </w:p>
        </w:tc>
        <w:tc>
          <w:tcPr>
            <w:tcW w:w="1134" w:type="dxa"/>
            <w:tcBorders>
              <w:top w:val="nil"/>
              <w:left w:val="nil"/>
              <w:bottom w:val="single" w:sz="4" w:space="0" w:color="auto"/>
              <w:right w:val="single" w:sz="4" w:space="0" w:color="auto"/>
            </w:tcBorders>
            <w:shd w:val="clear" w:color="000000" w:fill="A6A6A6"/>
            <w:noWrap/>
            <w:hideMark/>
          </w:tcPr>
          <w:p w14:paraId="432B8811"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5,166.67</w:t>
            </w:r>
          </w:p>
        </w:tc>
        <w:tc>
          <w:tcPr>
            <w:tcW w:w="992" w:type="dxa"/>
            <w:tcBorders>
              <w:top w:val="nil"/>
              <w:left w:val="nil"/>
              <w:bottom w:val="single" w:sz="4" w:space="0" w:color="auto"/>
              <w:right w:val="single" w:sz="4" w:space="0" w:color="auto"/>
            </w:tcBorders>
            <w:shd w:val="clear" w:color="000000" w:fill="A6A6A6"/>
            <w:noWrap/>
            <w:hideMark/>
          </w:tcPr>
          <w:p w14:paraId="780FBB6E"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16,000.00</w:t>
            </w:r>
          </w:p>
        </w:tc>
        <w:tc>
          <w:tcPr>
            <w:tcW w:w="1134" w:type="dxa"/>
            <w:vMerge/>
            <w:tcBorders>
              <w:top w:val="nil"/>
              <w:left w:val="single" w:sz="4" w:space="0" w:color="auto"/>
              <w:bottom w:val="single" w:sz="4" w:space="0" w:color="auto"/>
              <w:right w:val="single" w:sz="4" w:space="0" w:color="auto"/>
            </w:tcBorders>
            <w:vAlign w:val="center"/>
            <w:hideMark/>
          </w:tcPr>
          <w:p w14:paraId="0E966133" w14:textId="77777777" w:rsidR="001254DA" w:rsidRPr="00FD1D4D" w:rsidRDefault="001254DA">
            <w:pPr>
              <w:rPr>
                <w:rFonts w:ascii="Arial Narrow" w:hAnsi="Arial Narrow"/>
                <w:b/>
                <w:bCs/>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3A1BAD48" w14:textId="77777777" w:rsidR="001254DA" w:rsidRPr="00FD1D4D" w:rsidRDefault="001254DA">
            <w:pPr>
              <w:rPr>
                <w:rFonts w:ascii="Arial Narrow" w:hAnsi="Arial Narrow"/>
                <w:b/>
                <w:bCs/>
                <w:color w:val="000000"/>
                <w:sz w:val="14"/>
                <w:szCs w:val="14"/>
              </w:rPr>
            </w:pPr>
          </w:p>
        </w:tc>
      </w:tr>
      <w:tr w:rsidR="00FD1D4D" w:rsidRPr="00FD1D4D" w14:paraId="31087833" w14:textId="77777777" w:rsidTr="00FD1D4D">
        <w:trPr>
          <w:trHeight w:val="213"/>
        </w:trPr>
        <w:tc>
          <w:tcPr>
            <w:tcW w:w="8366" w:type="dxa"/>
            <w:gridSpan w:val="3"/>
            <w:tcBorders>
              <w:top w:val="single" w:sz="4" w:space="0" w:color="auto"/>
              <w:left w:val="single" w:sz="4" w:space="0" w:color="auto"/>
              <w:bottom w:val="single" w:sz="4" w:space="0" w:color="auto"/>
              <w:right w:val="nil"/>
            </w:tcBorders>
            <w:shd w:val="clear" w:color="000000" w:fill="A6A6A6"/>
            <w:noWrap/>
            <w:hideMark/>
          </w:tcPr>
          <w:p w14:paraId="145B4C3D"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SUBTOTAL COSTOS DIRECTOS</w:t>
            </w:r>
          </w:p>
        </w:tc>
        <w:tc>
          <w:tcPr>
            <w:tcW w:w="1274" w:type="dxa"/>
            <w:tcBorders>
              <w:top w:val="nil"/>
              <w:left w:val="single" w:sz="4" w:space="0" w:color="auto"/>
              <w:bottom w:val="single" w:sz="4" w:space="0" w:color="auto"/>
              <w:right w:val="single" w:sz="4" w:space="0" w:color="auto"/>
            </w:tcBorders>
            <w:shd w:val="clear" w:color="000000" w:fill="A6A6A6"/>
            <w:noWrap/>
            <w:hideMark/>
          </w:tcPr>
          <w:p w14:paraId="0D886E52"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80,833.34</w:t>
            </w:r>
          </w:p>
        </w:tc>
        <w:tc>
          <w:tcPr>
            <w:tcW w:w="1134" w:type="dxa"/>
            <w:tcBorders>
              <w:top w:val="nil"/>
              <w:left w:val="nil"/>
              <w:bottom w:val="single" w:sz="4" w:space="0" w:color="auto"/>
              <w:right w:val="single" w:sz="4" w:space="0" w:color="auto"/>
            </w:tcBorders>
            <w:shd w:val="clear" w:color="000000" w:fill="A6A6A6"/>
            <w:noWrap/>
            <w:hideMark/>
          </w:tcPr>
          <w:p w14:paraId="45FCEF12"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222,625.77</w:t>
            </w:r>
          </w:p>
        </w:tc>
        <w:tc>
          <w:tcPr>
            <w:tcW w:w="1134" w:type="dxa"/>
            <w:tcBorders>
              <w:top w:val="nil"/>
              <w:left w:val="nil"/>
              <w:bottom w:val="single" w:sz="4" w:space="0" w:color="auto"/>
              <w:right w:val="single" w:sz="4" w:space="0" w:color="auto"/>
            </w:tcBorders>
            <w:shd w:val="clear" w:color="000000" w:fill="A6A6A6"/>
            <w:noWrap/>
            <w:hideMark/>
          </w:tcPr>
          <w:p w14:paraId="136C509F"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61,022.89</w:t>
            </w:r>
          </w:p>
        </w:tc>
        <w:tc>
          <w:tcPr>
            <w:tcW w:w="992" w:type="dxa"/>
            <w:tcBorders>
              <w:top w:val="nil"/>
              <w:left w:val="nil"/>
              <w:bottom w:val="single" w:sz="4" w:space="0" w:color="auto"/>
              <w:right w:val="single" w:sz="4" w:space="0" w:color="auto"/>
            </w:tcBorders>
            <w:shd w:val="clear" w:color="000000" w:fill="A6A6A6"/>
            <w:noWrap/>
            <w:hideMark/>
          </w:tcPr>
          <w:p w14:paraId="3D5D9763"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364,482.00</w:t>
            </w:r>
          </w:p>
        </w:tc>
        <w:tc>
          <w:tcPr>
            <w:tcW w:w="1134" w:type="dxa"/>
            <w:vMerge/>
            <w:tcBorders>
              <w:top w:val="nil"/>
              <w:left w:val="single" w:sz="4" w:space="0" w:color="auto"/>
              <w:bottom w:val="single" w:sz="4" w:space="0" w:color="auto"/>
              <w:right w:val="single" w:sz="4" w:space="0" w:color="auto"/>
            </w:tcBorders>
            <w:vAlign w:val="center"/>
            <w:hideMark/>
          </w:tcPr>
          <w:p w14:paraId="4A859093" w14:textId="77777777" w:rsidR="001254DA" w:rsidRPr="00FD1D4D" w:rsidRDefault="001254DA">
            <w:pPr>
              <w:rPr>
                <w:rFonts w:ascii="Arial Narrow" w:hAnsi="Arial Narrow"/>
                <w:b/>
                <w:bCs/>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108288E" w14:textId="77777777" w:rsidR="001254DA" w:rsidRPr="00FD1D4D" w:rsidRDefault="001254DA">
            <w:pPr>
              <w:rPr>
                <w:rFonts w:ascii="Arial Narrow" w:hAnsi="Arial Narrow"/>
                <w:b/>
                <w:bCs/>
                <w:color w:val="000000"/>
                <w:sz w:val="14"/>
                <w:szCs w:val="14"/>
              </w:rPr>
            </w:pPr>
          </w:p>
        </w:tc>
      </w:tr>
      <w:tr w:rsidR="00FD1D4D" w:rsidRPr="00FD1D4D" w14:paraId="772E2C31" w14:textId="77777777" w:rsidTr="00FD1D4D">
        <w:trPr>
          <w:trHeight w:val="73"/>
        </w:trPr>
        <w:tc>
          <w:tcPr>
            <w:tcW w:w="8366" w:type="dxa"/>
            <w:gridSpan w:val="3"/>
            <w:tcBorders>
              <w:top w:val="single" w:sz="4" w:space="0" w:color="auto"/>
              <w:left w:val="single" w:sz="4" w:space="0" w:color="auto"/>
              <w:bottom w:val="single" w:sz="4" w:space="0" w:color="auto"/>
              <w:right w:val="single" w:sz="4" w:space="0" w:color="000000"/>
            </w:tcBorders>
            <w:shd w:val="clear" w:color="000000" w:fill="A6A6A6"/>
            <w:vAlign w:val="bottom"/>
            <w:hideMark/>
          </w:tcPr>
          <w:p w14:paraId="2CF8013D"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 xml:space="preserve">Total costos de administración </w:t>
            </w:r>
          </w:p>
        </w:tc>
        <w:tc>
          <w:tcPr>
            <w:tcW w:w="1274" w:type="dxa"/>
            <w:tcBorders>
              <w:top w:val="nil"/>
              <w:left w:val="nil"/>
              <w:bottom w:val="single" w:sz="4" w:space="0" w:color="auto"/>
              <w:right w:val="single" w:sz="4" w:space="0" w:color="auto"/>
            </w:tcBorders>
            <w:shd w:val="clear" w:color="000000" w:fill="A6A6A6"/>
            <w:vAlign w:val="bottom"/>
            <w:hideMark/>
          </w:tcPr>
          <w:p w14:paraId="415455CB"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5,658.33</w:t>
            </w:r>
          </w:p>
        </w:tc>
        <w:tc>
          <w:tcPr>
            <w:tcW w:w="1134" w:type="dxa"/>
            <w:tcBorders>
              <w:top w:val="nil"/>
              <w:left w:val="nil"/>
              <w:bottom w:val="single" w:sz="4" w:space="0" w:color="auto"/>
              <w:right w:val="single" w:sz="4" w:space="0" w:color="auto"/>
            </w:tcBorders>
            <w:shd w:val="clear" w:color="000000" w:fill="A6A6A6"/>
            <w:vAlign w:val="bottom"/>
            <w:hideMark/>
          </w:tcPr>
          <w:p w14:paraId="5B6C19A9"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15,583.80</w:t>
            </w:r>
          </w:p>
        </w:tc>
        <w:tc>
          <w:tcPr>
            <w:tcW w:w="1134" w:type="dxa"/>
            <w:tcBorders>
              <w:top w:val="nil"/>
              <w:left w:val="nil"/>
              <w:bottom w:val="single" w:sz="4" w:space="0" w:color="auto"/>
              <w:right w:val="single" w:sz="4" w:space="0" w:color="auto"/>
            </w:tcBorders>
            <w:shd w:val="clear" w:color="000000" w:fill="A6A6A6"/>
            <w:vAlign w:val="bottom"/>
            <w:hideMark/>
          </w:tcPr>
          <w:p w14:paraId="5D214082"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4,271.60</w:t>
            </w:r>
          </w:p>
        </w:tc>
        <w:tc>
          <w:tcPr>
            <w:tcW w:w="992" w:type="dxa"/>
            <w:tcBorders>
              <w:top w:val="nil"/>
              <w:left w:val="nil"/>
              <w:bottom w:val="single" w:sz="4" w:space="0" w:color="auto"/>
              <w:right w:val="single" w:sz="4" w:space="0" w:color="auto"/>
            </w:tcBorders>
            <w:shd w:val="clear" w:color="000000" w:fill="A6A6A6"/>
            <w:vAlign w:val="bottom"/>
            <w:hideMark/>
          </w:tcPr>
          <w:p w14:paraId="5FB4AC71"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25,513.74</w:t>
            </w:r>
          </w:p>
        </w:tc>
        <w:tc>
          <w:tcPr>
            <w:tcW w:w="1134" w:type="dxa"/>
            <w:vMerge/>
            <w:tcBorders>
              <w:top w:val="nil"/>
              <w:left w:val="single" w:sz="4" w:space="0" w:color="auto"/>
              <w:bottom w:val="single" w:sz="4" w:space="0" w:color="auto"/>
              <w:right w:val="single" w:sz="4" w:space="0" w:color="auto"/>
            </w:tcBorders>
            <w:vAlign w:val="center"/>
            <w:hideMark/>
          </w:tcPr>
          <w:p w14:paraId="31485680" w14:textId="77777777" w:rsidR="001254DA" w:rsidRPr="00FD1D4D" w:rsidRDefault="001254DA">
            <w:pPr>
              <w:rPr>
                <w:rFonts w:ascii="Arial Narrow" w:hAnsi="Arial Narrow"/>
                <w:b/>
                <w:bCs/>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3F2B321C" w14:textId="77777777" w:rsidR="001254DA" w:rsidRPr="00FD1D4D" w:rsidRDefault="001254DA">
            <w:pPr>
              <w:rPr>
                <w:rFonts w:ascii="Arial Narrow" w:hAnsi="Arial Narrow"/>
                <w:b/>
                <w:bCs/>
                <w:color w:val="000000"/>
                <w:sz w:val="14"/>
                <w:szCs w:val="14"/>
              </w:rPr>
            </w:pPr>
          </w:p>
        </w:tc>
      </w:tr>
      <w:tr w:rsidR="00FD1D4D" w:rsidRPr="00FD1D4D" w14:paraId="14851BB1" w14:textId="77777777" w:rsidTr="00FD1D4D">
        <w:trPr>
          <w:trHeight w:val="73"/>
        </w:trPr>
        <w:tc>
          <w:tcPr>
            <w:tcW w:w="8366" w:type="dxa"/>
            <w:gridSpan w:val="3"/>
            <w:tcBorders>
              <w:top w:val="single" w:sz="4" w:space="0" w:color="auto"/>
              <w:left w:val="single" w:sz="4" w:space="0" w:color="auto"/>
              <w:bottom w:val="single" w:sz="4" w:space="0" w:color="auto"/>
              <w:right w:val="single" w:sz="4" w:space="0" w:color="000000"/>
            </w:tcBorders>
            <w:shd w:val="clear" w:color="000000" w:fill="A6A6A6"/>
            <w:vAlign w:val="bottom"/>
            <w:hideMark/>
          </w:tcPr>
          <w:p w14:paraId="416253B4" w14:textId="77777777" w:rsidR="001254DA" w:rsidRPr="00FD1D4D" w:rsidRDefault="001254DA">
            <w:pPr>
              <w:jc w:val="center"/>
              <w:rPr>
                <w:rFonts w:ascii="Arial Narrow" w:hAnsi="Arial Narrow"/>
                <w:b/>
                <w:bCs/>
                <w:color w:val="000000"/>
                <w:sz w:val="14"/>
                <w:szCs w:val="14"/>
              </w:rPr>
            </w:pPr>
            <w:r w:rsidRPr="00FD1D4D">
              <w:rPr>
                <w:rFonts w:ascii="Arial Narrow" w:hAnsi="Arial Narrow"/>
                <w:b/>
                <w:bCs/>
                <w:color w:val="000000"/>
                <w:sz w:val="14"/>
                <w:szCs w:val="14"/>
              </w:rPr>
              <w:t>Total del proyecto (costos directos e indirectos)</w:t>
            </w:r>
          </w:p>
        </w:tc>
        <w:tc>
          <w:tcPr>
            <w:tcW w:w="1274" w:type="dxa"/>
            <w:tcBorders>
              <w:top w:val="nil"/>
              <w:left w:val="nil"/>
              <w:bottom w:val="single" w:sz="4" w:space="0" w:color="auto"/>
              <w:right w:val="single" w:sz="4" w:space="0" w:color="auto"/>
            </w:tcBorders>
            <w:shd w:val="clear" w:color="000000" w:fill="A6A6A6"/>
            <w:vAlign w:val="bottom"/>
            <w:hideMark/>
          </w:tcPr>
          <w:p w14:paraId="7431FCA0"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86,491.68</w:t>
            </w:r>
          </w:p>
        </w:tc>
        <w:tc>
          <w:tcPr>
            <w:tcW w:w="1134" w:type="dxa"/>
            <w:tcBorders>
              <w:top w:val="nil"/>
              <w:left w:val="nil"/>
              <w:bottom w:val="single" w:sz="4" w:space="0" w:color="auto"/>
              <w:right w:val="single" w:sz="4" w:space="0" w:color="auto"/>
            </w:tcBorders>
            <w:shd w:val="clear" w:color="000000" w:fill="A6A6A6"/>
            <w:vAlign w:val="bottom"/>
            <w:hideMark/>
          </w:tcPr>
          <w:p w14:paraId="3CB576F8"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238,209.57</w:t>
            </w:r>
          </w:p>
        </w:tc>
        <w:tc>
          <w:tcPr>
            <w:tcW w:w="1134" w:type="dxa"/>
            <w:tcBorders>
              <w:top w:val="nil"/>
              <w:left w:val="nil"/>
              <w:bottom w:val="single" w:sz="4" w:space="0" w:color="auto"/>
              <w:right w:val="single" w:sz="4" w:space="0" w:color="auto"/>
            </w:tcBorders>
            <w:shd w:val="clear" w:color="000000" w:fill="A6A6A6"/>
            <w:vAlign w:val="bottom"/>
            <w:hideMark/>
          </w:tcPr>
          <w:p w14:paraId="18A1D0DA"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65,294.49</w:t>
            </w:r>
          </w:p>
        </w:tc>
        <w:tc>
          <w:tcPr>
            <w:tcW w:w="992" w:type="dxa"/>
            <w:tcBorders>
              <w:top w:val="nil"/>
              <w:left w:val="nil"/>
              <w:bottom w:val="single" w:sz="4" w:space="0" w:color="auto"/>
              <w:right w:val="single" w:sz="4" w:space="0" w:color="auto"/>
            </w:tcBorders>
            <w:shd w:val="clear" w:color="000000" w:fill="A6A6A6"/>
            <w:vAlign w:val="bottom"/>
            <w:hideMark/>
          </w:tcPr>
          <w:p w14:paraId="12D5FCFC" w14:textId="77777777" w:rsidR="001254DA" w:rsidRPr="00FD1D4D" w:rsidRDefault="001254DA">
            <w:pPr>
              <w:jc w:val="right"/>
              <w:rPr>
                <w:rFonts w:ascii="Arial Narrow" w:hAnsi="Arial Narrow"/>
                <w:b/>
                <w:bCs/>
                <w:color w:val="000000"/>
                <w:sz w:val="14"/>
                <w:szCs w:val="14"/>
              </w:rPr>
            </w:pPr>
            <w:r w:rsidRPr="00FD1D4D">
              <w:rPr>
                <w:rFonts w:ascii="Arial Narrow" w:hAnsi="Arial Narrow"/>
                <w:b/>
                <w:bCs/>
                <w:color w:val="000000"/>
                <w:sz w:val="14"/>
                <w:szCs w:val="14"/>
              </w:rPr>
              <w:t>USD 389,995.74</w:t>
            </w:r>
          </w:p>
        </w:tc>
        <w:tc>
          <w:tcPr>
            <w:tcW w:w="1134" w:type="dxa"/>
            <w:vMerge/>
            <w:tcBorders>
              <w:top w:val="nil"/>
              <w:left w:val="single" w:sz="4" w:space="0" w:color="auto"/>
              <w:bottom w:val="single" w:sz="4" w:space="0" w:color="auto"/>
              <w:right w:val="single" w:sz="4" w:space="0" w:color="auto"/>
            </w:tcBorders>
            <w:vAlign w:val="center"/>
            <w:hideMark/>
          </w:tcPr>
          <w:p w14:paraId="36571575" w14:textId="77777777" w:rsidR="001254DA" w:rsidRPr="00FD1D4D" w:rsidRDefault="001254DA">
            <w:pPr>
              <w:rPr>
                <w:rFonts w:ascii="Arial Narrow" w:hAnsi="Arial Narrow"/>
                <w:b/>
                <w:bCs/>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5DEEF0A" w14:textId="77777777" w:rsidR="001254DA" w:rsidRPr="00FD1D4D" w:rsidRDefault="001254DA">
            <w:pPr>
              <w:rPr>
                <w:rFonts w:ascii="Arial Narrow" w:hAnsi="Arial Narrow"/>
                <w:b/>
                <w:bCs/>
                <w:color w:val="000000"/>
                <w:sz w:val="14"/>
                <w:szCs w:val="14"/>
              </w:rPr>
            </w:pPr>
          </w:p>
        </w:tc>
      </w:tr>
    </w:tbl>
    <w:p w14:paraId="79C6F14E" w14:textId="77777777" w:rsidR="00941EA8" w:rsidRDefault="00941EA8" w:rsidP="00941EA8">
      <w:pPr>
        <w:widowControl w:val="0"/>
        <w:autoSpaceDE w:val="0"/>
        <w:autoSpaceDN w:val="0"/>
        <w:adjustRightInd w:val="0"/>
        <w:jc w:val="center"/>
        <w:rPr>
          <w:rFonts w:ascii="Arial Narrow" w:hAnsi="Arial Narrow" w:cs="Arial"/>
          <w:b/>
          <w:bCs/>
          <w:sz w:val="20"/>
          <w:szCs w:val="20"/>
        </w:rPr>
      </w:pPr>
    </w:p>
    <w:p w14:paraId="08BC1458" w14:textId="77777777" w:rsidR="00FD1D4D" w:rsidRDefault="00FD1D4D" w:rsidP="00941EA8">
      <w:pPr>
        <w:widowControl w:val="0"/>
        <w:autoSpaceDE w:val="0"/>
        <w:autoSpaceDN w:val="0"/>
        <w:adjustRightInd w:val="0"/>
        <w:jc w:val="center"/>
        <w:rPr>
          <w:rFonts w:ascii="Arial Narrow" w:hAnsi="Arial Narrow" w:cs="Arial"/>
          <w:b/>
          <w:bCs/>
          <w:sz w:val="20"/>
          <w:szCs w:val="20"/>
        </w:rPr>
        <w:sectPr w:rsidR="00FD1D4D" w:rsidSect="001D6B75">
          <w:type w:val="continuous"/>
          <w:pgSz w:w="16817" w:h="11901" w:orient="landscape"/>
          <w:pgMar w:top="1440" w:right="1440" w:bottom="1440" w:left="1440" w:header="720" w:footer="720" w:gutter="0"/>
          <w:cols w:space="720"/>
          <w:docGrid w:linePitch="326"/>
        </w:sectPr>
      </w:pPr>
    </w:p>
    <w:p w14:paraId="6EE063FD" w14:textId="77777777" w:rsidR="00FD1D4D" w:rsidRDefault="00FD1D4D" w:rsidP="00FD1D4D">
      <w:pPr>
        <w:ind w:left="-284"/>
        <w:jc w:val="center"/>
        <w:rPr>
          <w:rFonts w:ascii="Arial Narrow" w:hAnsi="Arial Narrow"/>
          <w:b/>
          <w:sz w:val="20"/>
          <w:szCs w:val="20"/>
          <w:lang w:eastAsia="en-GB"/>
        </w:rPr>
      </w:pPr>
      <w:r>
        <w:rPr>
          <w:rFonts w:ascii="Arial Narrow" w:hAnsi="Arial Narrow"/>
          <w:b/>
          <w:sz w:val="20"/>
          <w:szCs w:val="20"/>
          <w:lang w:eastAsia="en-GB"/>
        </w:rPr>
        <w:lastRenderedPageBreak/>
        <w:t>Cuadro No 5 Presupuesto por institución ejecutora</w:t>
      </w:r>
    </w:p>
    <w:tbl>
      <w:tblPr>
        <w:tblW w:w="8359" w:type="dxa"/>
        <w:tblLayout w:type="fixed"/>
        <w:tblCellMar>
          <w:left w:w="70" w:type="dxa"/>
          <w:right w:w="70" w:type="dxa"/>
        </w:tblCellMar>
        <w:tblLook w:val="04A0" w:firstRow="1" w:lastRow="0" w:firstColumn="1" w:lastColumn="0" w:noHBand="0" w:noVBand="1"/>
      </w:tblPr>
      <w:tblGrid>
        <w:gridCol w:w="1560"/>
        <w:gridCol w:w="1626"/>
        <w:gridCol w:w="2268"/>
        <w:gridCol w:w="2905"/>
      </w:tblGrid>
      <w:tr w:rsidR="00752FE0" w:rsidRPr="00752FE0" w14:paraId="1771F533" w14:textId="77777777" w:rsidTr="00752FE0">
        <w:trPr>
          <w:trHeight w:val="172"/>
        </w:trPr>
        <w:tc>
          <w:tcPr>
            <w:tcW w:w="1560" w:type="dxa"/>
            <w:tcBorders>
              <w:top w:val="single" w:sz="4" w:space="0" w:color="auto"/>
              <w:left w:val="single" w:sz="4" w:space="0" w:color="auto"/>
              <w:bottom w:val="single" w:sz="4" w:space="0" w:color="auto"/>
              <w:right w:val="single" w:sz="4" w:space="0" w:color="auto"/>
            </w:tcBorders>
            <w:shd w:val="clear" w:color="000000" w:fill="70AD47"/>
            <w:noWrap/>
            <w:hideMark/>
          </w:tcPr>
          <w:p w14:paraId="715B539B" w14:textId="231AFFE1" w:rsidR="00752FE0" w:rsidRPr="00752FE0" w:rsidRDefault="00752FE0" w:rsidP="00752FE0">
            <w:pPr>
              <w:jc w:val="center"/>
              <w:rPr>
                <w:rFonts w:ascii="Arial Narrow" w:hAnsi="Arial Narrow"/>
                <w:color w:val="000000"/>
                <w:sz w:val="13"/>
                <w:szCs w:val="13"/>
                <w:lang w:val="es-ES_tradnl" w:eastAsia="es-ES_tradnl"/>
              </w:rPr>
            </w:pPr>
          </w:p>
        </w:tc>
        <w:tc>
          <w:tcPr>
            <w:tcW w:w="1626" w:type="dxa"/>
            <w:tcBorders>
              <w:top w:val="single" w:sz="4" w:space="0" w:color="auto"/>
              <w:left w:val="nil"/>
              <w:bottom w:val="single" w:sz="4" w:space="0" w:color="auto"/>
              <w:right w:val="single" w:sz="4" w:space="0" w:color="auto"/>
            </w:tcBorders>
            <w:shd w:val="clear" w:color="000000" w:fill="70AD47"/>
            <w:noWrap/>
            <w:hideMark/>
          </w:tcPr>
          <w:p w14:paraId="57A34FD4" w14:textId="77777777" w:rsidR="00752FE0" w:rsidRPr="00752FE0" w:rsidRDefault="00752FE0" w:rsidP="00752FE0">
            <w:pPr>
              <w:jc w:val="center"/>
              <w:rPr>
                <w:rFonts w:ascii="Arial Narrow" w:hAnsi="Arial Narrow"/>
                <w:b/>
                <w:bCs/>
                <w:color w:val="000000"/>
                <w:sz w:val="13"/>
                <w:szCs w:val="13"/>
              </w:rPr>
            </w:pPr>
            <w:r w:rsidRPr="00752FE0">
              <w:rPr>
                <w:rFonts w:ascii="Arial Narrow" w:hAnsi="Arial Narrow"/>
                <w:b/>
                <w:bCs/>
                <w:color w:val="000000"/>
                <w:sz w:val="13"/>
                <w:szCs w:val="13"/>
              </w:rPr>
              <w:t>Costos directos</w:t>
            </w:r>
          </w:p>
        </w:tc>
        <w:tc>
          <w:tcPr>
            <w:tcW w:w="2268" w:type="dxa"/>
            <w:tcBorders>
              <w:top w:val="single" w:sz="4" w:space="0" w:color="auto"/>
              <w:left w:val="nil"/>
              <w:bottom w:val="single" w:sz="4" w:space="0" w:color="auto"/>
              <w:right w:val="single" w:sz="4" w:space="0" w:color="auto"/>
            </w:tcBorders>
            <w:shd w:val="clear" w:color="000000" w:fill="70AD47"/>
            <w:noWrap/>
            <w:hideMark/>
          </w:tcPr>
          <w:p w14:paraId="2F3A4EDC" w14:textId="77777777" w:rsidR="00752FE0" w:rsidRPr="00752FE0" w:rsidRDefault="00752FE0" w:rsidP="00752FE0">
            <w:pPr>
              <w:jc w:val="center"/>
              <w:rPr>
                <w:rFonts w:ascii="Arial Narrow" w:hAnsi="Arial Narrow"/>
                <w:b/>
                <w:bCs/>
                <w:color w:val="000000"/>
                <w:sz w:val="13"/>
                <w:szCs w:val="13"/>
              </w:rPr>
            </w:pPr>
            <w:r w:rsidRPr="00752FE0">
              <w:rPr>
                <w:rFonts w:ascii="Arial Narrow" w:hAnsi="Arial Narrow"/>
                <w:b/>
                <w:bCs/>
                <w:color w:val="000000"/>
                <w:sz w:val="13"/>
                <w:szCs w:val="13"/>
              </w:rPr>
              <w:t>Costos administración (7%)</w:t>
            </w:r>
          </w:p>
        </w:tc>
        <w:tc>
          <w:tcPr>
            <w:tcW w:w="2905" w:type="dxa"/>
            <w:tcBorders>
              <w:top w:val="single" w:sz="4" w:space="0" w:color="auto"/>
              <w:left w:val="nil"/>
              <w:bottom w:val="single" w:sz="4" w:space="0" w:color="auto"/>
              <w:right w:val="single" w:sz="4" w:space="0" w:color="auto"/>
            </w:tcBorders>
            <w:shd w:val="clear" w:color="000000" w:fill="70AD47"/>
            <w:noWrap/>
            <w:hideMark/>
          </w:tcPr>
          <w:p w14:paraId="6AF01567" w14:textId="5DD716C1" w:rsidR="00752FE0" w:rsidRPr="00752FE0" w:rsidRDefault="00752FE0" w:rsidP="00752FE0">
            <w:pPr>
              <w:jc w:val="center"/>
              <w:rPr>
                <w:rFonts w:ascii="Arial Narrow" w:hAnsi="Arial Narrow"/>
                <w:b/>
                <w:bCs/>
                <w:color w:val="000000"/>
                <w:sz w:val="13"/>
                <w:szCs w:val="13"/>
              </w:rPr>
            </w:pPr>
            <w:r w:rsidRPr="00752FE0">
              <w:rPr>
                <w:rFonts w:ascii="Arial Narrow" w:hAnsi="Arial Narrow"/>
                <w:b/>
                <w:bCs/>
                <w:color w:val="000000"/>
                <w:sz w:val="13"/>
                <w:szCs w:val="13"/>
              </w:rPr>
              <w:t>Costos por institución</w:t>
            </w:r>
          </w:p>
        </w:tc>
      </w:tr>
      <w:tr w:rsidR="00752FE0" w:rsidRPr="00752FE0" w14:paraId="05A94BD2" w14:textId="77777777" w:rsidTr="00752FE0">
        <w:trPr>
          <w:trHeight w:val="73"/>
        </w:trPr>
        <w:tc>
          <w:tcPr>
            <w:tcW w:w="1560" w:type="dxa"/>
            <w:tcBorders>
              <w:top w:val="nil"/>
              <w:left w:val="single" w:sz="4" w:space="0" w:color="auto"/>
              <w:bottom w:val="single" w:sz="4" w:space="0" w:color="auto"/>
              <w:right w:val="single" w:sz="4" w:space="0" w:color="auto"/>
            </w:tcBorders>
            <w:shd w:val="clear" w:color="auto" w:fill="auto"/>
            <w:noWrap/>
            <w:hideMark/>
          </w:tcPr>
          <w:p w14:paraId="09D864D8" w14:textId="77777777" w:rsidR="00752FE0" w:rsidRPr="00752FE0" w:rsidRDefault="00752FE0">
            <w:pPr>
              <w:rPr>
                <w:rFonts w:ascii="Arial Narrow" w:hAnsi="Arial Narrow"/>
                <w:color w:val="000000"/>
                <w:sz w:val="13"/>
                <w:szCs w:val="13"/>
              </w:rPr>
            </w:pPr>
            <w:r w:rsidRPr="00752FE0">
              <w:rPr>
                <w:rFonts w:ascii="Arial Narrow" w:hAnsi="Arial Narrow"/>
                <w:color w:val="000000"/>
                <w:sz w:val="13"/>
                <w:szCs w:val="13"/>
              </w:rPr>
              <w:t>EII</w:t>
            </w:r>
          </w:p>
        </w:tc>
        <w:tc>
          <w:tcPr>
            <w:tcW w:w="1626" w:type="dxa"/>
            <w:tcBorders>
              <w:top w:val="nil"/>
              <w:left w:val="nil"/>
              <w:bottom w:val="single" w:sz="4" w:space="0" w:color="auto"/>
              <w:right w:val="single" w:sz="4" w:space="0" w:color="auto"/>
            </w:tcBorders>
            <w:shd w:val="clear" w:color="auto" w:fill="auto"/>
            <w:noWrap/>
            <w:hideMark/>
          </w:tcPr>
          <w:p w14:paraId="4DA1789A"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165,000.00</w:t>
            </w:r>
          </w:p>
        </w:tc>
        <w:tc>
          <w:tcPr>
            <w:tcW w:w="2268" w:type="dxa"/>
            <w:tcBorders>
              <w:top w:val="nil"/>
              <w:left w:val="nil"/>
              <w:bottom w:val="single" w:sz="4" w:space="0" w:color="auto"/>
              <w:right w:val="single" w:sz="4" w:space="0" w:color="auto"/>
            </w:tcBorders>
            <w:shd w:val="clear" w:color="auto" w:fill="auto"/>
            <w:noWrap/>
            <w:hideMark/>
          </w:tcPr>
          <w:p w14:paraId="469C8662"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11,550.00</w:t>
            </w:r>
          </w:p>
        </w:tc>
        <w:tc>
          <w:tcPr>
            <w:tcW w:w="2905" w:type="dxa"/>
            <w:tcBorders>
              <w:top w:val="nil"/>
              <w:left w:val="nil"/>
              <w:bottom w:val="single" w:sz="4" w:space="0" w:color="auto"/>
              <w:right w:val="single" w:sz="4" w:space="0" w:color="auto"/>
            </w:tcBorders>
            <w:shd w:val="clear" w:color="auto" w:fill="auto"/>
            <w:noWrap/>
            <w:hideMark/>
          </w:tcPr>
          <w:p w14:paraId="7DDC40A7"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176,550.00</w:t>
            </w:r>
          </w:p>
        </w:tc>
      </w:tr>
      <w:tr w:rsidR="00752FE0" w:rsidRPr="00752FE0" w14:paraId="66AE6CA5" w14:textId="77777777" w:rsidTr="00752FE0">
        <w:trPr>
          <w:trHeight w:val="73"/>
        </w:trPr>
        <w:tc>
          <w:tcPr>
            <w:tcW w:w="1560" w:type="dxa"/>
            <w:tcBorders>
              <w:top w:val="nil"/>
              <w:left w:val="single" w:sz="4" w:space="0" w:color="auto"/>
              <w:bottom w:val="single" w:sz="4" w:space="0" w:color="auto"/>
              <w:right w:val="single" w:sz="4" w:space="0" w:color="auto"/>
            </w:tcBorders>
            <w:shd w:val="clear" w:color="auto" w:fill="auto"/>
            <w:noWrap/>
            <w:hideMark/>
          </w:tcPr>
          <w:p w14:paraId="4ACE6239" w14:textId="77777777" w:rsidR="00752FE0" w:rsidRPr="00752FE0" w:rsidRDefault="00752FE0">
            <w:pPr>
              <w:rPr>
                <w:rFonts w:ascii="Arial Narrow" w:hAnsi="Arial Narrow"/>
                <w:color w:val="000000"/>
                <w:sz w:val="13"/>
                <w:szCs w:val="13"/>
              </w:rPr>
            </w:pPr>
            <w:r w:rsidRPr="00752FE0">
              <w:rPr>
                <w:rFonts w:ascii="Arial Narrow" w:hAnsi="Arial Narrow"/>
                <w:color w:val="000000"/>
                <w:sz w:val="13"/>
                <w:szCs w:val="13"/>
              </w:rPr>
              <w:t>APECO</w:t>
            </w:r>
          </w:p>
        </w:tc>
        <w:tc>
          <w:tcPr>
            <w:tcW w:w="1626" w:type="dxa"/>
            <w:tcBorders>
              <w:top w:val="nil"/>
              <w:left w:val="nil"/>
              <w:bottom w:val="single" w:sz="4" w:space="0" w:color="auto"/>
              <w:right w:val="single" w:sz="4" w:space="0" w:color="auto"/>
            </w:tcBorders>
            <w:shd w:val="clear" w:color="auto" w:fill="auto"/>
            <w:noWrap/>
            <w:hideMark/>
          </w:tcPr>
          <w:p w14:paraId="6A9B019E"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113,250.00</w:t>
            </w:r>
          </w:p>
        </w:tc>
        <w:tc>
          <w:tcPr>
            <w:tcW w:w="2268" w:type="dxa"/>
            <w:tcBorders>
              <w:top w:val="nil"/>
              <w:left w:val="nil"/>
              <w:bottom w:val="single" w:sz="4" w:space="0" w:color="auto"/>
              <w:right w:val="single" w:sz="4" w:space="0" w:color="auto"/>
            </w:tcBorders>
            <w:shd w:val="clear" w:color="auto" w:fill="auto"/>
            <w:noWrap/>
            <w:hideMark/>
          </w:tcPr>
          <w:p w14:paraId="5799ED3A"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7,927.50</w:t>
            </w:r>
          </w:p>
        </w:tc>
        <w:tc>
          <w:tcPr>
            <w:tcW w:w="2905" w:type="dxa"/>
            <w:tcBorders>
              <w:top w:val="nil"/>
              <w:left w:val="nil"/>
              <w:bottom w:val="single" w:sz="4" w:space="0" w:color="auto"/>
              <w:right w:val="single" w:sz="4" w:space="0" w:color="auto"/>
            </w:tcBorders>
            <w:shd w:val="clear" w:color="auto" w:fill="auto"/>
            <w:noWrap/>
            <w:hideMark/>
          </w:tcPr>
          <w:p w14:paraId="472EBA50"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121,177.50</w:t>
            </w:r>
          </w:p>
        </w:tc>
      </w:tr>
      <w:tr w:rsidR="00752FE0" w:rsidRPr="00752FE0" w14:paraId="19D7C82F" w14:textId="77777777" w:rsidTr="00752FE0">
        <w:trPr>
          <w:trHeight w:val="73"/>
        </w:trPr>
        <w:tc>
          <w:tcPr>
            <w:tcW w:w="1560" w:type="dxa"/>
            <w:tcBorders>
              <w:top w:val="nil"/>
              <w:left w:val="single" w:sz="4" w:space="0" w:color="auto"/>
              <w:bottom w:val="single" w:sz="4" w:space="0" w:color="auto"/>
              <w:right w:val="single" w:sz="4" w:space="0" w:color="auto"/>
            </w:tcBorders>
            <w:shd w:val="clear" w:color="auto" w:fill="auto"/>
            <w:noWrap/>
            <w:hideMark/>
          </w:tcPr>
          <w:p w14:paraId="4C8AF120" w14:textId="77777777" w:rsidR="00752FE0" w:rsidRPr="00752FE0" w:rsidRDefault="00752FE0">
            <w:pPr>
              <w:rPr>
                <w:rFonts w:ascii="Arial Narrow" w:hAnsi="Arial Narrow"/>
                <w:color w:val="000000"/>
                <w:sz w:val="13"/>
                <w:szCs w:val="13"/>
              </w:rPr>
            </w:pPr>
            <w:r w:rsidRPr="00752FE0">
              <w:rPr>
                <w:rFonts w:ascii="Arial Narrow" w:hAnsi="Arial Narrow"/>
                <w:color w:val="000000"/>
                <w:sz w:val="13"/>
                <w:szCs w:val="13"/>
              </w:rPr>
              <w:t>NCI</w:t>
            </w:r>
          </w:p>
        </w:tc>
        <w:tc>
          <w:tcPr>
            <w:tcW w:w="1626" w:type="dxa"/>
            <w:tcBorders>
              <w:top w:val="nil"/>
              <w:left w:val="nil"/>
              <w:bottom w:val="single" w:sz="4" w:space="0" w:color="auto"/>
              <w:right w:val="single" w:sz="4" w:space="0" w:color="auto"/>
            </w:tcBorders>
            <w:shd w:val="clear" w:color="auto" w:fill="auto"/>
            <w:noWrap/>
            <w:hideMark/>
          </w:tcPr>
          <w:p w14:paraId="095123C8"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62,400.00</w:t>
            </w:r>
          </w:p>
        </w:tc>
        <w:tc>
          <w:tcPr>
            <w:tcW w:w="2268" w:type="dxa"/>
            <w:tcBorders>
              <w:top w:val="nil"/>
              <w:left w:val="nil"/>
              <w:bottom w:val="single" w:sz="4" w:space="0" w:color="auto"/>
              <w:right w:val="single" w:sz="4" w:space="0" w:color="auto"/>
            </w:tcBorders>
            <w:shd w:val="clear" w:color="auto" w:fill="auto"/>
            <w:noWrap/>
            <w:hideMark/>
          </w:tcPr>
          <w:p w14:paraId="08D66A41"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4,368.00</w:t>
            </w:r>
          </w:p>
        </w:tc>
        <w:tc>
          <w:tcPr>
            <w:tcW w:w="2905" w:type="dxa"/>
            <w:tcBorders>
              <w:top w:val="nil"/>
              <w:left w:val="nil"/>
              <w:bottom w:val="single" w:sz="4" w:space="0" w:color="auto"/>
              <w:right w:val="single" w:sz="4" w:space="0" w:color="auto"/>
            </w:tcBorders>
            <w:shd w:val="clear" w:color="auto" w:fill="auto"/>
            <w:noWrap/>
            <w:hideMark/>
          </w:tcPr>
          <w:p w14:paraId="24B6F4BD"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66,768.00</w:t>
            </w:r>
          </w:p>
        </w:tc>
      </w:tr>
      <w:tr w:rsidR="00752FE0" w:rsidRPr="00752FE0" w14:paraId="19EEF8E4" w14:textId="77777777" w:rsidTr="00752FE0">
        <w:trPr>
          <w:trHeight w:val="73"/>
        </w:trPr>
        <w:tc>
          <w:tcPr>
            <w:tcW w:w="1560" w:type="dxa"/>
            <w:tcBorders>
              <w:top w:val="nil"/>
              <w:left w:val="single" w:sz="4" w:space="0" w:color="auto"/>
              <w:bottom w:val="single" w:sz="4" w:space="0" w:color="auto"/>
              <w:right w:val="single" w:sz="4" w:space="0" w:color="auto"/>
            </w:tcBorders>
            <w:shd w:val="clear" w:color="auto" w:fill="auto"/>
            <w:noWrap/>
            <w:hideMark/>
          </w:tcPr>
          <w:p w14:paraId="06277E88" w14:textId="77777777" w:rsidR="00752FE0" w:rsidRPr="00752FE0" w:rsidRDefault="00752FE0">
            <w:pPr>
              <w:rPr>
                <w:rFonts w:ascii="Arial Narrow" w:hAnsi="Arial Narrow"/>
                <w:color w:val="000000"/>
                <w:sz w:val="13"/>
                <w:szCs w:val="13"/>
              </w:rPr>
            </w:pPr>
            <w:r w:rsidRPr="00752FE0">
              <w:rPr>
                <w:rFonts w:ascii="Arial Narrow" w:hAnsi="Arial Narrow"/>
                <w:color w:val="000000"/>
                <w:sz w:val="13"/>
                <w:szCs w:val="13"/>
              </w:rPr>
              <w:t>ICRAF</w:t>
            </w:r>
          </w:p>
        </w:tc>
        <w:tc>
          <w:tcPr>
            <w:tcW w:w="1626" w:type="dxa"/>
            <w:tcBorders>
              <w:top w:val="nil"/>
              <w:left w:val="nil"/>
              <w:bottom w:val="single" w:sz="4" w:space="0" w:color="auto"/>
              <w:right w:val="single" w:sz="4" w:space="0" w:color="auto"/>
            </w:tcBorders>
            <w:shd w:val="clear" w:color="auto" w:fill="auto"/>
            <w:noWrap/>
            <w:hideMark/>
          </w:tcPr>
          <w:p w14:paraId="342DD783"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12,617.00</w:t>
            </w:r>
          </w:p>
        </w:tc>
        <w:tc>
          <w:tcPr>
            <w:tcW w:w="2268" w:type="dxa"/>
            <w:tcBorders>
              <w:top w:val="nil"/>
              <w:left w:val="nil"/>
              <w:bottom w:val="single" w:sz="4" w:space="0" w:color="auto"/>
              <w:right w:val="single" w:sz="4" w:space="0" w:color="auto"/>
            </w:tcBorders>
            <w:shd w:val="clear" w:color="auto" w:fill="auto"/>
            <w:noWrap/>
            <w:hideMark/>
          </w:tcPr>
          <w:p w14:paraId="5DB18797"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883.19</w:t>
            </w:r>
          </w:p>
        </w:tc>
        <w:tc>
          <w:tcPr>
            <w:tcW w:w="2905" w:type="dxa"/>
            <w:tcBorders>
              <w:top w:val="nil"/>
              <w:left w:val="nil"/>
              <w:bottom w:val="single" w:sz="4" w:space="0" w:color="auto"/>
              <w:right w:val="single" w:sz="4" w:space="0" w:color="auto"/>
            </w:tcBorders>
            <w:shd w:val="clear" w:color="auto" w:fill="auto"/>
            <w:noWrap/>
            <w:hideMark/>
          </w:tcPr>
          <w:p w14:paraId="7EABA53C"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13,500.19</w:t>
            </w:r>
          </w:p>
        </w:tc>
      </w:tr>
      <w:tr w:rsidR="00752FE0" w:rsidRPr="00752FE0" w14:paraId="00FB62CF" w14:textId="77777777" w:rsidTr="00752FE0">
        <w:trPr>
          <w:trHeight w:val="73"/>
        </w:trPr>
        <w:tc>
          <w:tcPr>
            <w:tcW w:w="1560" w:type="dxa"/>
            <w:tcBorders>
              <w:top w:val="nil"/>
              <w:left w:val="single" w:sz="4" w:space="0" w:color="auto"/>
              <w:bottom w:val="single" w:sz="4" w:space="0" w:color="auto"/>
              <w:right w:val="single" w:sz="4" w:space="0" w:color="auto"/>
            </w:tcBorders>
            <w:shd w:val="clear" w:color="auto" w:fill="auto"/>
            <w:noWrap/>
            <w:hideMark/>
          </w:tcPr>
          <w:p w14:paraId="7FCF13AC" w14:textId="77777777" w:rsidR="00752FE0" w:rsidRPr="00752FE0" w:rsidRDefault="00752FE0">
            <w:pPr>
              <w:rPr>
                <w:rFonts w:ascii="Arial Narrow" w:hAnsi="Arial Narrow"/>
                <w:color w:val="000000"/>
                <w:sz w:val="13"/>
                <w:szCs w:val="13"/>
              </w:rPr>
            </w:pPr>
            <w:r w:rsidRPr="00752FE0">
              <w:rPr>
                <w:rFonts w:ascii="Arial Narrow" w:hAnsi="Arial Narrow"/>
                <w:color w:val="000000"/>
                <w:sz w:val="13"/>
                <w:szCs w:val="13"/>
              </w:rPr>
              <w:t>Ausejo Consulting</w:t>
            </w:r>
          </w:p>
        </w:tc>
        <w:tc>
          <w:tcPr>
            <w:tcW w:w="1626" w:type="dxa"/>
            <w:tcBorders>
              <w:top w:val="nil"/>
              <w:left w:val="nil"/>
              <w:bottom w:val="single" w:sz="4" w:space="0" w:color="auto"/>
              <w:right w:val="single" w:sz="4" w:space="0" w:color="auto"/>
            </w:tcBorders>
            <w:shd w:val="clear" w:color="auto" w:fill="auto"/>
            <w:noWrap/>
            <w:hideMark/>
          </w:tcPr>
          <w:p w14:paraId="4632AD50"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11,215.00</w:t>
            </w:r>
          </w:p>
        </w:tc>
        <w:tc>
          <w:tcPr>
            <w:tcW w:w="2268" w:type="dxa"/>
            <w:tcBorders>
              <w:top w:val="nil"/>
              <w:left w:val="nil"/>
              <w:bottom w:val="single" w:sz="4" w:space="0" w:color="auto"/>
              <w:right w:val="single" w:sz="4" w:space="0" w:color="auto"/>
            </w:tcBorders>
            <w:shd w:val="clear" w:color="auto" w:fill="auto"/>
            <w:noWrap/>
            <w:hideMark/>
          </w:tcPr>
          <w:p w14:paraId="212FAB68"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785.05</w:t>
            </w:r>
          </w:p>
        </w:tc>
        <w:tc>
          <w:tcPr>
            <w:tcW w:w="2905" w:type="dxa"/>
            <w:tcBorders>
              <w:top w:val="nil"/>
              <w:left w:val="nil"/>
              <w:bottom w:val="single" w:sz="4" w:space="0" w:color="auto"/>
              <w:right w:val="single" w:sz="4" w:space="0" w:color="auto"/>
            </w:tcBorders>
            <w:shd w:val="clear" w:color="auto" w:fill="auto"/>
            <w:noWrap/>
            <w:hideMark/>
          </w:tcPr>
          <w:p w14:paraId="3CCF8A5A" w14:textId="77777777" w:rsidR="00752FE0" w:rsidRPr="00752FE0" w:rsidRDefault="00752FE0">
            <w:pPr>
              <w:jc w:val="right"/>
              <w:rPr>
                <w:rFonts w:ascii="Arial Narrow" w:hAnsi="Arial Narrow"/>
                <w:color w:val="000000"/>
                <w:sz w:val="13"/>
                <w:szCs w:val="13"/>
              </w:rPr>
            </w:pPr>
            <w:r w:rsidRPr="00752FE0">
              <w:rPr>
                <w:rFonts w:ascii="Arial Narrow" w:hAnsi="Arial Narrow"/>
                <w:color w:val="000000"/>
                <w:sz w:val="13"/>
                <w:szCs w:val="13"/>
              </w:rPr>
              <w:t>USD 12,000.05</w:t>
            </w:r>
          </w:p>
        </w:tc>
      </w:tr>
      <w:tr w:rsidR="00752FE0" w:rsidRPr="00752FE0" w14:paraId="0D0D861D" w14:textId="77777777" w:rsidTr="00752FE0">
        <w:trPr>
          <w:trHeight w:val="73"/>
        </w:trPr>
        <w:tc>
          <w:tcPr>
            <w:tcW w:w="1560" w:type="dxa"/>
            <w:tcBorders>
              <w:top w:val="nil"/>
              <w:left w:val="single" w:sz="4" w:space="0" w:color="auto"/>
              <w:bottom w:val="single" w:sz="4" w:space="0" w:color="auto"/>
              <w:right w:val="single" w:sz="4" w:space="0" w:color="auto"/>
            </w:tcBorders>
            <w:shd w:val="clear" w:color="000000" w:fill="C6E0B4"/>
            <w:noWrap/>
            <w:hideMark/>
          </w:tcPr>
          <w:p w14:paraId="470A56F2" w14:textId="77777777" w:rsidR="00752FE0" w:rsidRPr="00752FE0" w:rsidRDefault="00752FE0">
            <w:pPr>
              <w:jc w:val="center"/>
              <w:rPr>
                <w:rFonts w:ascii="Arial Narrow" w:hAnsi="Arial Narrow"/>
                <w:b/>
                <w:bCs/>
                <w:color w:val="000000"/>
                <w:sz w:val="13"/>
                <w:szCs w:val="13"/>
              </w:rPr>
            </w:pPr>
            <w:r w:rsidRPr="00752FE0">
              <w:rPr>
                <w:rFonts w:ascii="Arial Narrow" w:hAnsi="Arial Narrow"/>
                <w:b/>
                <w:bCs/>
                <w:color w:val="000000"/>
                <w:sz w:val="13"/>
                <w:szCs w:val="13"/>
              </w:rPr>
              <w:t>Total</w:t>
            </w:r>
          </w:p>
        </w:tc>
        <w:tc>
          <w:tcPr>
            <w:tcW w:w="1626" w:type="dxa"/>
            <w:tcBorders>
              <w:top w:val="nil"/>
              <w:left w:val="nil"/>
              <w:bottom w:val="single" w:sz="4" w:space="0" w:color="auto"/>
              <w:right w:val="single" w:sz="4" w:space="0" w:color="auto"/>
            </w:tcBorders>
            <w:shd w:val="clear" w:color="000000" w:fill="C6E0B4"/>
            <w:noWrap/>
            <w:hideMark/>
          </w:tcPr>
          <w:p w14:paraId="72B66125" w14:textId="77777777" w:rsidR="00752FE0" w:rsidRPr="00752FE0" w:rsidRDefault="00752FE0">
            <w:pPr>
              <w:jc w:val="right"/>
              <w:rPr>
                <w:rFonts w:ascii="Arial Narrow" w:hAnsi="Arial Narrow"/>
                <w:b/>
                <w:bCs/>
                <w:color w:val="000000"/>
                <w:sz w:val="13"/>
                <w:szCs w:val="13"/>
              </w:rPr>
            </w:pPr>
            <w:r w:rsidRPr="00752FE0">
              <w:rPr>
                <w:rFonts w:ascii="Arial Narrow" w:hAnsi="Arial Narrow"/>
                <w:b/>
                <w:bCs/>
                <w:color w:val="000000"/>
                <w:sz w:val="13"/>
                <w:szCs w:val="13"/>
              </w:rPr>
              <w:t>USD 364,482.00</w:t>
            </w:r>
          </w:p>
        </w:tc>
        <w:tc>
          <w:tcPr>
            <w:tcW w:w="2268" w:type="dxa"/>
            <w:tcBorders>
              <w:top w:val="nil"/>
              <w:left w:val="nil"/>
              <w:bottom w:val="single" w:sz="4" w:space="0" w:color="auto"/>
              <w:right w:val="single" w:sz="4" w:space="0" w:color="auto"/>
            </w:tcBorders>
            <w:shd w:val="clear" w:color="000000" w:fill="C6E0B4"/>
            <w:noWrap/>
            <w:hideMark/>
          </w:tcPr>
          <w:p w14:paraId="59B9CEF0" w14:textId="77777777" w:rsidR="00752FE0" w:rsidRPr="00752FE0" w:rsidRDefault="00752FE0">
            <w:pPr>
              <w:jc w:val="right"/>
              <w:rPr>
                <w:rFonts w:ascii="Arial Narrow" w:hAnsi="Arial Narrow"/>
                <w:b/>
                <w:bCs/>
                <w:color w:val="000000"/>
                <w:sz w:val="13"/>
                <w:szCs w:val="13"/>
              </w:rPr>
            </w:pPr>
            <w:r w:rsidRPr="00752FE0">
              <w:rPr>
                <w:rFonts w:ascii="Arial Narrow" w:hAnsi="Arial Narrow"/>
                <w:b/>
                <w:bCs/>
                <w:color w:val="000000"/>
                <w:sz w:val="13"/>
                <w:szCs w:val="13"/>
              </w:rPr>
              <w:t>USD 25,513.74</w:t>
            </w:r>
          </w:p>
        </w:tc>
        <w:tc>
          <w:tcPr>
            <w:tcW w:w="2905" w:type="dxa"/>
            <w:tcBorders>
              <w:top w:val="nil"/>
              <w:left w:val="nil"/>
              <w:bottom w:val="single" w:sz="4" w:space="0" w:color="auto"/>
              <w:right w:val="single" w:sz="4" w:space="0" w:color="auto"/>
            </w:tcBorders>
            <w:shd w:val="clear" w:color="000000" w:fill="C6E0B4"/>
            <w:noWrap/>
            <w:hideMark/>
          </w:tcPr>
          <w:p w14:paraId="4844A8D3" w14:textId="77777777" w:rsidR="00752FE0" w:rsidRPr="00752FE0" w:rsidRDefault="00752FE0">
            <w:pPr>
              <w:jc w:val="right"/>
              <w:rPr>
                <w:rFonts w:ascii="Arial Narrow" w:hAnsi="Arial Narrow"/>
                <w:b/>
                <w:bCs/>
                <w:color w:val="000000"/>
                <w:sz w:val="13"/>
                <w:szCs w:val="13"/>
              </w:rPr>
            </w:pPr>
            <w:r w:rsidRPr="00752FE0">
              <w:rPr>
                <w:rFonts w:ascii="Arial Narrow" w:hAnsi="Arial Narrow"/>
                <w:b/>
                <w:bCs/>
                <w:color w:val="000000"/>
                <w:sz w:val="13"/>
                <w:szCs w:val="13"/>
              </w:rPr>
              <w:t>USD 389,995.74</w:t>
            </w:r>
          </w:p>
        </w:tc>
      </w:tr>
    </w:tbl>
    <w:p w14:paraId="6190B472" w14:textId="77777777" w:rsidR="00752FE0" w:rsidRDefault="00752FE0" w:rsidP="00FD1D4D">
      <w:pPr>
        <w:ind w:left="-284"/>
        <w:jc w:val="center"/>
        <w:rPr>
          <w:rFonts w:ascii="Arial Narrow" w:hAnsi="Arial Narrow"/>
          <w:b/>
          <w:sz w:val="20"/>
          <w:szCs w:val="20"/>
          <w:lang w:eastAsia="en-GB"/>
        </w:rPr>
      </w:pPr>
    </w:p>
    <w:p w14:paraId="6024481A" w14:textId="12917899" w:rsidR="00941EA8" w:rsidRDefault="00752FE0" w:rsidP="00941EA8">
      <w:pPr>
        <w:widowControl w:val="0"/>
        <w:autoSpaceDE w:val="0"/>
        <w:autoSpaceDN w:val="0"/>
        <w:adjustRightInd w:val="0"/>
        <w:jc w:val="center"/>
        <w:rPr>
          <w:rFonts w:ascii="Arial Narrow" w:hAnsi="Arial Narrow" w:cs="Arial"/>
          <w:b/>
          <w:bCs/>
          <w:sz w:val="20"/>
          <w:szCs w:val="20"/>
        </w:rPr>
      </w:pPr>
      <w:r>
        <w:rPr>
          <w:rFonts w:ascii="Arial Narrow" w:hAnsi="Arial Narrow"/>
          <w:b/>
          <w:sz w:val="20"/>
          <w:szCs w:val="20"/>
          <w:lang w:eastAsia="en-GB"/>
        </w:rPr>
        <w:t>Cuadro No 6 Presupuesto detallado por tipo de gasto</w:t>
      </w:r>
    </w:p>
    <w:tbl>
      <w:tblPr>
        <w:tblW w:w="10916" w:type="dxa"/>
        <w:tblInd w:w="-998" w:type="dxa"/>
        <w:tblLayout w:type="fixed"/>
        <w:tblCellMar>
          <w:left w:w="70" w:type="dxa"/>
          <w:right w:w="70" w:type="dxa"/>
        </w:tblCellMar>
        <w:tblLook w:val="04A0" w:firstRow="1" w:lastRow="0" w:firstColumn="1" w:lastColumn="0" w:noHBand="0" w:noVBand="1"/>
      </w:tblPr>
      <w:tblGrid>
        <w:gridCol w:w="566"/>
        <w:gridCol w:w="1704"/>
        <w:gridCol w:w="990"/>
        <w:gridCol w:w="851"/>
        <w:gridCol w:w="852"/>
        <w:gridCol w:w="778"/>
        <w:gridCol w:w="355"/>
        <w:gridCol w:w="2182"/>
        <w:gridCol w:w="2638"/>
      </w:tblGrid>
      <w:tr w:rsidR="005E132F" w:rsidRPr="005E132F" w14:paraId="35232DB9" w14:textId="77777777" w:rsidTr="005E132F">
        <w:trPr>
          <w:trHeight w:val="73"/>
        </w:trPr>
        <w:tc>
          <w:tcPr>
            <w:tcW w:w="10916" w:type="dxa"/>
            <w:gridSpan w:val="9"/>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7F7E8E39" w14:textId="77777777" w:rsidR="00A81C19" w:rsidRPr="005E132F" w:rsidRDefault="00A81C19">
            <w:pPr>
              <w:rPr>
                <w:rFonts w:ascii="Arial Narrow" w:hAnsi="Arial Narrow"/>
                <w:b/>
                <w:bCs/>
                <w:color w:val="000000"/>
                <w:sz w:val="12"/>
                <w:szCs w:val="12"/>
                <w:lang w:val="es-ES_tradnl" w:eastAsia="es-ES_tradnl"/>
              </w:rPr>
            </w:pPr>
            <w:r w:rsidRPr="005E132F">
              <w:rPr>
                <w:rFonts w:ascii="Arial Narrow" w:hAnsi="Arial Narrow"/>
                <w:b/>
                <w:bCs/>
                <w:color w:val="000000"/>
                <w:sz w:val="12"/>
                <w:szCs w:val="12"/>
              </w:rPr>
              <w:t>I. Staff</w:t>
            </w:r>
          </w:p>
        </w:tc>
      </w:tr>
      <w:tr w:rsidR="005E132F" w:rsidRPr="005E132F" w14:paraId="6C1BE0AE" w14:textId="77777777" w:rsidTr="005E132F">
        <w:trPr>
          <w:trHeight w:val="73"/>
        </w:trPr>
        <w:tc>
          <w:tcPr>
            <w:tcW w:w="2270" w:type="dxa"/>
            <w:gridSpan w:val="2"/>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219DE65B" w14:textId="79EBD854" w:rsidR="005E132F" w:rsidRPr="005E132F" w:rsidRDefault="005E132F" w:rsidP="005E132F">
            <w:pPr>
              <w:jc w:val="center"/>
              <w:rPr>
                <w:rFonts w:ascii="Arial Narrow" w:hAnsi="Arial Narrow"/>
                <w:color w:val="000000"/>
                <w:sz w:val="12"/>
                <w:szCs w:val="12"/>
              </w:rPr>
            </w:pPr>
            <w:r w:rsidRPr="005E132F">
              <w:rPr>
                <w:rFonts w:ascii="Arial Narrow" w:hAnsi="Arial Narrow"/>
                <w:color w:val="000000"/>
                <w:sz w:val="12"/>
                <w:szCs w:val="12"/>
              </w:rPr>
              <w:t>Tipo de costo</w:t>
            </w:r>
          </w:p>
        </w:tc>
        <w:tc>
          <w:tcPr>
            <w:tcW w:w="990" w:type="dxa"/>
            <w:tcBorders>
              <w:top w:val="nil"/>
              <w:left w:val="nil"/>
              <w:bottom w:val="single" w:sz="4" w:space="0" w:color="auto"/>
              <w:right w:val="single" w:sz="4" w:space="0" w:color="auto"/>
            </w:tcBorders>
            <w:shd w:val="clear" w:color="000000" w:fill="C6E0B4"/>
            <w:noWrap/>
            <w:vAlign w:val="bottom"/>
            <w:hideMark/>
          </w:tcPr>
          <w:p w14:paraId="419AE3DC" w14:textId="3360B241" w:rsidR="005E132F" w:rsidRPr="005E132F" w:rsidRDefault="005E132F" w:rsidP="005E132F">
            <w:pPr>
              <w:jc w:val="center"/>
              <w:rPr>
                <w:rFonts w:ascii="Arial Narrow" w:hAnsi="Arial Narrow"/>
                <w:color w:val="000000"/>
                <w:sz w:val="12"/>
                <w:szCs w:val="12"/>
              </w:rPr>
            </w:pPr>
            <w:r>
              <w:rPr>
                <w:rFonts w:ascii="Arial Narrow" w:hAnsi="Arial Narrow"/>
                <w:color w:val="000000"/>
                <w:sz w:val="12"/>
                <w:szCs w:val="12"/>
              </w:rPr>
              <w:t>Costo</w:t>
            </w:r>
            <w:r w:rsidRPr="005E132F">
              <w:rPr>
                <w:rFonts w:ascii="Arial Narrow" w:hAnsi="Arial Narrow"/>
                <w:color w:val="000000"/>
                <w:sz w:val="12"/>
                <w:szCs w:val="12"/>
              </w:rPr>
              <w:t xml:space="preserve"> (USD)</w:t>
            </w:r>
          </w:p>
        </w:tc>
        <w:tc>
          <w:tcPr>
            <w:tcW w:w="851" w:type="dxa"/>
            <w:tcBorders>
              <w:top w:val="nil"/>
              <w:left w:val="nil"/>
              <w:bottom w:val="single" w:sz="4" w:space="0" w:color="auto"/>
              <w:right w:val="single" w:sz="4" w:space="0" w:color="auto"/>
            </w:tcBorders>
            <w:shd w:val="clear" w:color="000000" w:fill="C6E0B4"/>
            <w:noWrap/>
            <w:vAlign w:val="bottom"/>
            <w:hideMark/>
          </w:tcPr>
          <w:p w14:paraId="6E244E9A" w14:textId="67D6F83D" w:rsidR="005E132F" w:rsidRPr="005E132F" w:rsidRDefault="005E132F" w:rsidP="005E132F">
            <w:pPr>
              <w:jc w:val="center"/>
              <w:rPr>
                <w:rFonts w:ascii="Arial Narrow" w:hAnsi="Arial Narrow"/>
                <w:color w:val="000000"/>
                <w:sz w:val="12"/>
                <w:szCs w:val="12"/>
              </w:rPr>
            </w:pPr>
            <w:r w:rsidRPr="005E132F">
              <w:rPr>
                <w:rFonts w:ascii="Arial Narrow" w:hAnsi="Arial Narrow"/>
                <w:color w:val="000000"/>
                <w:sz w:val="12"/>
                <w:szCs w:val="12"/>
              </w:rPr>
              <w:t>Cantidad</w:t>
            </w:r>
          </w:p>
        </w:tc>
        <w:tc>
          <w:tcPr>
            <w:tcW w:w="6805" w:type="dxa"/>
            <w:gridSpan w:val="5"/>
            <w:tcBorders>
              <w:top w:val="nil"/>
              <w:left w:val="nil"/>
              <w:bottom w:val="single" w:sz="4" w:space="0" w:color="auto"/>
              <w:right w:val="single" w:sz="4" w:space="0" w:color="auto"/>
            </w:tcBorders>
            <w:shd w:val="clear" w:color="000000" w:fill="C6E0B4"/>
            <w:noWrap/>
            <w:vAlign w:val="bottom"/>
            <w:hideMark/>
          </w:tcPr>
          <w:p w14:paraId="73B46F39" w14:textId="77777777" w:rsidR="005E132F" w:rsidRPr="005E132F" w:rsidRDefault="005E132F" w:rsidP="005E132F">
            <w:pPr>
              <w:jc w:val="center"/>
              <w:rPr>
                <w:rFonts w:ascii="Arial Narrow" w:hAnsi="Arial Narrow"/>
                <w:color w:val="000000"/>
                <w:sz w:val="12"/>
                <w:szCs w:val="12"/>
              </w:rPr>
            </w:pPr>
            <w:r w:rsidRPr="005E132F">
              <w:rPr>
                <w:rFonts w:ascii="Arial Narrow" w:hAnsi="Arial Narrow"/>
                <w:color w:val="000000"/>
                <w:sz w:val="12"/>
                <w:szCs w:val="12"/>
              </w:rPr>
              <w:t>Comentarios o detalles sobre el calculo del costo</w:t>
            </w:r>
          </w:p>
        </w:tc>
      </w:tr>
      <w:tr w:rsidR="005E132F" w:rsidRPr="005E132F" w14:paraId="61917D73" w14:textId="77777777" w:rsidTr="005E132F">
        <w:trPr>
          <w:trHeight w:val="1094"/>
        </w:trPr>
        <w:tc>
          <w:tcPr>
            <w:tcW w:w="566" w:type="dxa"/>
            <w:tcBorders>
              <w:top w:val="nil"/>
              <w:left w:val="single" w:sz="4" w:space="0" w:color="auto"/>
              <w:bottom w:val="single" w:sz="4" w:space="0" w:color="auto"/>
              <w:right w:val="single" w:sz="4" w:space="0" w:color="auto"/>
            </w:tcBorders>
            <w:shd w:val="clear" w:color="auto" w:fill="auto"/>
            <w:noWrap/>
            <w:hideMark/>
          </w:tcPr>
          <w:p w14:paraId="04876089"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w:t>
            </w:r>
          </w:p>
        </w:tc>
        <w:tc>
          <w:tcPr>
            <w:tcW w:w="1704" w:type="dxa"/>
            <w:tcBorders>
              <w:top w:val="nil"/>
              <w:left w:val="nil"/>
              <w:bottom w:val="single" w:sz="4" w:space="0" w:color="auto"/>
              <w:right w:val="single" w:sz="4" w:space="0" w:color="auto"/>
            </w:tcBorders>
            <w:shd w:val="clear" w:color="auto" w:fill="auto"/>
            <w:hideMark/>
          </w:tcPr>
          <w:p w14:paraId="588F1BD8"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Staff  proyecto </w:t>
            </w:r>
          </w:p>
        </w:tc>
        <w:tc>
          <w:tcPr>
            <w:tcW w:w="1841" w:type="dxa"/>
            <w:gridSpan w:val="2"/>
            <w:tcBorders>
              <w:top w:val="single" w:sz="4" w:space="0" w:color="auto"/>
              <w:left w:val="nil"/>
              <w:bottom w:val="single" w:sz="4" w:space="0" w:color="auto"/>
              <w:right w:val="single" w:sz="4" w:space="0" w:color="auto"/>
            </w:tcBorders>
            <w:shd w:val="clear" w:color="auto" w:fill="auto"/>
            <w:noWrap/>
            <w:hideMark/>
          </w:tcPr>
          <w:p w14:paraId="052C1087"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201,500.00</w:t>
            </w:r>
          </w:p>
        </w:tc>
        <w:tc>
          <w:tcPr>
            <w:tcW w:w="6805" w:type="dxa"/>
            <w:gridSpan w:val="5"/>
            <w:tcBorders>
              <w:top w:val="nil"/>
              <w:left w:val="nil"/>
              <w:bottom w:val="single" w:sz="4" w:space="0" w:color="auto"/>
              <w:right w:val="single" w:sz="4" w:space="0" w:color="auto"/>
            </w:tcBorders>
            <w:shd w:val="clear" w:color="auto" w:fill="auto"/>
            <w:hideMark/>
          </w:tcPr>
          <w:p w14:paraId="0682C378" w14:textId="7414F944"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Incluye equipo técnico de 4 personas a tiempo completo con sede en la Región Amazonas (Chachapoyas en el Gobierno Regional) a tiempo completo conformado por: un coordinador de APECO para el gobierno regional para el proceso de construcción de la estrategia y el plan de inversión  (USD2,500 por mes durante 16 meses), un asistente </w:t>
            </w:r>
            <w:r w:rsidR="00F6762D" w:rsidRPr="005E132F">
              <w:rPr>
                <w:rFonts w:ascii="Arial Narrow" w:hAnsi="Arial Narrow"/>
                <w:color w:val="000000"/>
                <w:sz w:val="12"/>
                <w:szCs w:val="12"/>
              </w:rPr>
              <w:t>logístico</w:t>
            </w:r>
            <w:r w:rsidRPr="005E132F">
              <w:rPr>
                <w:rFonts w:ascii="Arial Narrow" w:hAnsi="Arial Narrow"/>
                <w:color w:val="000000"/>
                <w:sz w:val="12"/>
                <w:szCs w:val="12"/>
              </w:rPr>
              <w:t xml:space="preserve"> de APECO (USD 1,500 por mes durante 16 meses), dos especialistas técnicos  (USD2,250 por mes, 1 de NCI durante 16 meses y 1 de EII durante 16 meses ),  y el acompañamiento de 4 especialistas de EII a tiempo parcial: la coordinación del proyecto (1/14 de su tiempo = $750 por mes durante 18 meses), la atención a solicitudes </w:t>
            </w:r>
            <w:r w:rsidR="00F6762D" w:rsidRPr="005E132F">
              <w:rPr>
                <w:rFonts w:ascii="Arial Narrow" w:hAnsi="Arial Narrow"/>
                <w:color w:val="000000"/>
                <w:sz w:val="12"/>
                <w:szCs w:val="12"/>
              </w:rPr>
              <w:t>logísticas</w:t>
            </w:r>
            <w:r w:rsidRPr="005E132F">
              <w:rPr>
                <w:rFonts w:ascii="Arial Narrow" w:hAnsi="Arial Narrow"/>
                <w:color w:val="000000"/>
                <w:sz w:val="12"/>
                <w:szCs w:val="12"/>
              </w:rPr>
              <w:t xml:space="preserve"> para las actividades del proyecto (1/7 de su tiempo = $400 por mes durante 17 meses), un especialista en salvaguardas y género (1/7 de su tiempo = $400 por mes durante 18 meses), y un especialista en desarrollo de capacidades (1/14 de su tiempo = $400 por meses durante 15 meses). Incluye </w:t>
            </w:r>
            <w:r w:rsidR="00F6762D" w:rsidRPr="005E132F">
              <w:rPr>
                <w:rFonts w:ascii="Arial Narrow" w:hAnsi="Arial Narrow"/>
                <w:color w:val="000000"/>
                <w:sz w:val="12"/>
                <w:szCs w:val="12"/>
              </w:rPr>
              <w:t>además</w:t>
            </w:r>
            <w:r w:rsidRPr="005E132F">
              <w:rPr>
                <w:rFonts w:ascii="Arial Narrow" w:hAnsi="Arial Narrow"/>
                <w:color w:val="000000"/>
                <w:sz w:val="12"/>
                <w:szCs w:val="12"/>
              </w:rPr>
              <w:t xml:space="preserve"> </w:t>
            </w:r>
            <w:r w:rsidR="00F6762D" w:rsidRPr="005E132F">
              <w:rPr>
                <w:rFonts w:ascii="Arial Narrow" w:hAnsi="Arial Narrow"/>
                <w:color w:val="000000"/>
                <w:sz w:val="12"/>
                <w:szCs w:val="12"/>
              </w:rPr>
              <w:t>días</w:t>
            </w:r>
            <w:r w:rsidRPr="005E132F">
              <w:rPr>
                <w:rFonts w:ascii="Arial Narrow" w:hAnsi="Arial Narrow"/>
                <w:color w:val="000000"/>
                <w:sz w:val="12"/>
                <w:szCs w:val="12"/>
              </w:rPr>
              <w:t xml:space="preserve"> de soporte técnico de expertos internacionales sobre cadenas de suministro libres de deforestación, estrategias jurisdiccionales y finanzas climáticas</w:t>
            </w:r>
          </w:p>
        </w:tc>
      </w:tr>
      <w:tr w:rsidR="005E132F" w:rsidRPr="005E132F" w14:paraId="4C50E2A2" w14:textId="77777777" w:rsidTr="005E132F">
        <w:trPr>
          <w:trHeight w:val="73"/>
        </w:trPr>
        <w:tc>
          <w:tcPr>
            <w:tcW w:w="6096" w:type="dxa"/>
            <w:gridSpan w:val="7"/>
            <w:tcBorders>
              <w:top w:val="nil"/>
              <w:left w:val="single" w:sz="4" w:space="0" w:color="auto"/>
              <w:bottom w:val="single" w:sz="4" w:space="0" w:color="auto"/>
              <w:right w:val="single" w:sz="4" w:space="0" w:color="000000"/>
            </w:tcBorders>
            <w:shd w:val="clear" w:color="000000" w:fill="A5A5A5"/>
            <w:noWrap/>
            <w:vAlign w:val="bottom"/>
            <w:hideMark/>
          </w:tcPr>
          <w:p w14:paraId="0AD53B19" w14:textId="47F2BE2D"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Subtotal Staff</w:t>
            </w:r>
          </w:p>
        </w:tc>
        <w:tc>
          <w:tcPr>
            <w:tcW w:w="4820" w:type="dxa"/>
            <w:gridSpan w:val="2"/>
            <w:tcBorders>
              <w:top w:val="single" w:sz="4" w:space="0" w:color="auto"/>
              <w:left w:val="nil"/>
              <w:bottom w:val="single" w:sz="4" w:space="0" w:color="auto"/>
              <w:right w:val="single" w:sz="4" w:space="0" w:color="000000"/>
            </w:tcBorders>
            <w:shd w:val="clear" w:color="000000" w:fill="A5A5A5"/>
            <w:vAlign w:val="bottom"/>
          </w:tcPr>
          <w:p w14:paraId="38DE8995" w14:textId="091FB12C"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USD 201,500.00</w:t>
            </w:r>
          </w:p>
        </w:tc>
      </w:tr>
      <w:tr w:rsidR="005E132F" w:rsidRPr="005E132F" w14:paraId="3BD63D6E" w14:textId="77777777" w:rsidTr="005E132F">
        <w:trPr>
          <w:trHeight w:val="73"/>
        </w:trPr>
        <w:tc>
          <w:tcPr>
            <w:tcW w:w="10916" w:type="dxa"/>
            <w:gridSpan w:val="9"/>
            <w:tcBorders>
              <w:top w:val="single" w:sz="4" w:space="0" w:color="auto"/>
              <w:left w:val="single" w:sz="4" w:space="0" w:color="auto"/>
              <w:bottom w:val="single" w:sz="4" w:space="0" w:color="auto"/>
              <w:right w:val="single" w:sz="4" w:space="0" w:color="000000"/>
            </w:tcBorders>
            <w:shd w:val="clear" w:color="000000" w:fill="70AD47"/>
            <w:noWrap/>
            <w:vAlign w:val="bottom"/>
            <w:hideMark/>
          </w:tcPr>
          <w:p w14:paraId="561341F5" w14:textId="77777777" w:rsidR="00A81C19" w:rsidRPr="005E132F" w:rsidRDefault="00A81C19">
            <w:pPr>
              <w:rPr>
                <w:rFonts w:ascii="Arial Narrow" w:hAnsi="Arial Narrow"/>
                <w:b/>
                <w:bCs/>
                <w:color w:val="000000"/>
                <w:sz w:val="12"/>
                <w:szCs w:val="12"/>
              </w:rPr>
            </w:pPr>
            <w:r w:rsidRPr="005E132F">
              <w:rPr>
                <w:rFonts w:ascii="Arial Narrow" w:hAnsi="Arial Narrow"/>
                <w:b/>
                <w:bCs/>
                <w:color w:val="000000"/>
                <w:sz w:val="12"/>
                <w:szCs w:val="12"/>
              </w:rPr>
              <w:t>II. Servicios de terceros</w:t>
            </w:r>
          </w:p>
        </w:tc>
      </w:tr>
      <w:tr w:rsidR="005E132F" w:rsidRPr="005E132F" w14:paraId="49AD61E4" w14:textId="77777777" w:rsidTr="005E132F">
        <w:trPr>
          <w:trHeight w:val="73"/>
        </w:trPr>
        <w:tc>
          <w:tcPr>
            <w:tcW w:w="2270"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24FF6E3E"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 xml:space="preserve">Tipo de costo </w:t>
            </w:r>
          </w:p>
        </w:tc>
        <w:tc>
          <w:tcPr>
            <w:tcW w:w="990" w:type="dxa"/>
            <w:tcBorders>
              <w:top w:val="nil"/>
              <w:left w:val="nil"/>
              <w:bottom w:val="single" w:sz="4" w:space="0" w:color="auto"/>
              <w:right w:val="single" w:sz="4" w:space="0" w:color="auto"/>
            </w:tcBorders>
            <w:shd w:val="clear" w:color="000000" w:fill="C6E0B4"/>
            <w:noWrap/>
            <w:vAlign w:val="bottom"/>
            <w:hideMark/>
          </w:tcPr>
          <w:p w14:paraId="76350CB9" w14:textId="1FA3487F" w:rsidR="00A81C19" w:rsidRPr="005E132F" w:rsidRDefault="00A81C19" w:rsidP="005E132F">
            <w:pPr>
              <w:jc w:val="center"/>
              <w:rPr>
                <w:rFonts w:ascii="Arial Narrow" w:hAnsi="Arial Narrow"/>
                <w:color w:val="000000"/>
                <w:sz w:val="12"/>
                <w:szCs w:val="12"/>
              </w:rPr>
            </w:pPr>
            <w:r w:rsidRPr="005E132F">
              <w:rPr>
                <w:rFonts w:ascii="Arial Narrow" w:hAnsi="Arial Narrow"/>
                <w:color w:val="000000"/>
                <w:sz w:val="12"/>
                <w:szCs w:val="12"/>
              </w:rPr>
              <w:t xml:space="preserve">Costo unitario </w:t>
            </w:r>
          </w:p>
        </w:tc>
        <w:tc>
          <w:tcPr>
            <w:tcW w:w="851" w:type="dxa"/>
            <w:tcBorders>
              <w:top w:val="nil"/>
              <w:left w:val="nil"/>
              <w:bottom w:val="single" w:sz="4" w:space="0" w:color="auto"/>
              <w:right w:val="single" w:sz="4" w:space="0" w:color="auto"/>
            </w:tcBorders>
            <w:shd w:val="clear" w:color="000000" w:fill="C6E0B4"/>
            <w:noWrap/>
            <w:vAlign w:val="bottom"/>
            <w:hideMark/>
          </w:tcPr>
          <w:p w14:paraId="6C360AFE"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 xml:space="preserve">Cantidad </w:t>
            </w:r>
          </w:p>
        </w:tc>
        <w:tc>
          <w:tcPr>
            <w:tcW w:w="852" w:type="dxa"/>
            <w:tcBorders>
              <w:top w:val="nil"/>
              <w:left w:val="nil"/>
              <w:bottom w:val="single" w:sz="4" w:space="0" w:color="auto"/>
              <w:right w:val="single" w:sz="4" w:space="0" w:color="auto"/>
            </w:tcBorders>
            <w:shd w:val="clear" w:color="000000" w:fill="C6E0B4"/>
            <w:noWrap/>
            <w:vAlign w:val="bottom"/>
            <w:hideMark/>
          </w:tcPr>
          <w:p w14:paraId="7050A0CA"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Unidad</w:t>
            </w:r>
          </w:p>
        </w:tc>
        <w:tc>
          <w:tcPr>
            <w:tcW w:w="1133" w:type="dxa"/>
            <w:gridSpan w:val="2"/>
            <w:tcBorders>
              <w:top w:val="nil"/>
              <w:left w:val="nil"/>
              <w:bottom w:val="single" w:sz="4" w:space="0" w:color="auto"/>
              <w:right w:val="single" w:sz="4" w:space="0" w:color="auto"/>
            </w:tcBorders>
            <w:shd w:val="clear" w:color="000000" w:fill="C6E0B4"/>
            <w:noWrap/>
            <w:vAlign w:val="bottom"/>
            <w:hideMark/>
          </w:tcPr>
          <w:p w14:paraId="60356296"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Total (USD)</w:t>
            </w:r>
          </w:p>
        </w:tc>
        <w:tc>
          <w:tcPr>
            <w:tcW w:w="4820" w:type="dxa"/>
            <w:gridSpan w:val="2"/>
            <w:tcBorders>
              <w:top w:val="nil"/>
              <w:left w:val="nil"/>
              <w:bottom w:val="single" w:sz="4" w:space="0" w:color="auto"/>
              <w:right w:val="single" w:sz="4" w:space="0" w:color="auto"/>
            </w:tcBorders>
            <w:shd w:val="clear" w:color="000000" w:fill="C6E0B4"/>
            <w:noWrap/>
            <w:vAlign w:val="bottom"/>
            <w:hideMark/>
          </w:tcPr>
          <w:p w14:paraId="7B140269"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Comentarios o detalles</w:t>
            </w:r>
          </w:p>
        </w:tc>
      </w:tr>
      <w:tr w:rsidR="005E132F" w:rsidRPr="005E132F" w14:paraId="26FC9570" w14:textId="77777777" w:rsidTr="005E132F">
        <w:trPr>
          <w:trHeight w:val="772"/>
        </w:trPr>
        <w:tc>
          <w:tcPr>
            <w:tcW w:w="566" w:type="dxa"/>
            <w:tcBorders>
              <w:top w:val="nil"/>
              <w:left w:val="single" w:sz="4" w:space="0" w:color="auto"/>
              <w:bottom w:val="single" w:sz="4" w:space="0" w:color="auto"/>
              <w:right w:val="single" w:sz="4" w:space="0" w:color="auto"/>
            </w:tcBorders>
            <w:shd w:val="clear" w:color="auto" w:fill="auto"/>
            <w:noWrap/>
            <w:hideMark/>
          </w:tcPr>
          <w:p w14:paraId="1B914976"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2</w:t>
            </w:r>
          </w:p>
        </w:tc>
        <w:tc>
          <w:tcPr>
            <w:tcW w:w="1704" w:type="dxa"/>
            <w:tcBorders>
              <w:top w:val="nil"/>
              <w:left w:val="nil"/>
              <w:bottom w:val="single" w:sz="4" w:space="0" w:color="auto"/>
              <w:right w:val="single" w:sz="4" w:space="0" w:color="auto"/>
            </w:tcBorders>
            <w:shd w:val="clear" w:color="auto" w:fill="auto"/>
            <w:hideMark/>
          </w:tcPr>
          <w:p w14:paraId="2FBC0158" w14:textId="28D893CD"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Desarrollo de un curso nacional de capacitación sobre metodologías para elaborar </w:t>
            </w:r>
            <w:r w:rsidR="00F6762D" w:rsidRPr="005E132F">
              <w:rPr>
                <w:rFonts w:ascii="Arial Narrow" w:hAnsi="Arial Narrow"/>
                <w:color w:val="000000"/>
                <w:sz w:val="12"/>
                <w:szCs w:val="12"/>
              </w:rPr>
              <w:t>análisis</w:t>
            </w:r>
            <w:r w:rsidRPr="005E132F">
              <w:rPr>
                <w:rFonts w:ascii="Arial Narrow" w:hAnsi="Arial Narrow"/>
                <w:color w:val="000000"/>
                <w:sz w:val="12"/>
                <w:szCs w:val="12"/>
              </w:rPr>
              <w:t xml:space="preserve"> de causas de la deforestación,  elaboración de manual de capacitación y  asesoría técnica de expertos a equipos regionales </w:t>
            </w:r>
          </w:p>
        </w:tc>
        <w:tc>
          <w:tcPr>
            <w:tcW w:w="990" w:type="dxa"/>
            <w:tcBorders>
              <w:top w:val="nil"/>
              <w:left w:val="nil"/>
              <w:bottom w:val="single" w:sz="4" w:space="0" w:color="auto"/>
              <w:right w:val="single" w:sz="4" w:space="0" w:color="auto"/>
            </w:tcBorders>
            <w:shd w:val="clear" w:color="auto" w:fill="auto"/>
            <w:noWrap/>
            <w:hideMark/>
          </w:tcPr>
          <w:p w14:paraId="5A8C5FC3"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12,617.00</w:t>
            </w:r>
          </w:p>
        </w:tc>
        <w:tc>
          <w:tcPr>
            <w:tcW w:w="851" w:type="dxa"/>
            <w:tcBorders>
              <w:top w:val="nil"/>
              <w:left w:val="nil"/>
              <w:bottom w:val="single" w:sz="4" w:space="0" w:color="auto"/>
              <w:right w:val="single" w:sz="4" w:space="0" w:color="auto"/>
            </w:tcBorders>
            <w:shd w:val="clear" w:color="auto" w:fill="auto"/>
            <w:noWrap/>
            <w:hideMark/>
          </w:tcPr>
          <w:p w14:paraId="5642B107"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578E36AD"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05D48296"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12,617.00</w:t>
            </w:r>
          </w:p>
        </w:tc>
        <w:tc>
          <w:tcPr>
            <w:tcW w:w="4820" w:type="dxa"/>
            <w:gridSpan w:val="2"/>
            <w:tcBorders>
              <w:top w:val="nil"/>
              <w:left w:val="nil"/>
              <w:bottom w:val="single" w:sz="4" w:space="0" w:color="auto"/>
              <w:right w:val="single" w:sz="4" w:space="0" w:color="auto"/>
            </w:tcBorders>
            <w:shd w:val="clear" w:color="auto" w:fill="auto"/>
            <w:hideMark/>
          </w:tcPr>
          <w:p w14:paraId="44A27202" w14:textId="4836E708"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Incluye servicio de dictado de curso nacional de tres </w:t>
            </w:r>
            <w:r w:rsidR="00F6762D" w:rsidRPr="005E132F">
              <w:rPr>
                <w:rFonts w:ascii="Arial Narrow" w:hAnsi="Arial Narrow"/>
                <w:color w:val="000000"/>
                <w:sz w:val="12"/>
                <w:szCs w:val="12"/>
              </w:rPr>
              <w:t>días</w:t>
            </w:r>
            <w:r w:rsidRPr="005E132F">
              <w:rPr>
                <w:rFonts w:ascii="Arial Narrow" w:hAnsi="Arial Narrow"/>
                <w:color w:val="000000"/>
                <w:sz w:val="12"/>
                <w:szCs w:val="12"/>
              </w:rPr>
              <w:t xml:space="preserve"> para inducción a metodología, tiempo de expertos para la participación en dos talleres regionales (inicio y cierre del proceso) en Chachapoyas y asesoría técnica de expertos para el equipo regional que realice </w:t>
            </w:r>
            <w:r w:rsidR="00F6762D" w:rsidRPr="005E132F">
              <w:rPr>
                <w:rFonts w:ascii="Arial Narrow" w:hAnsi="Arial Narrow"/>
                <w:color w:val="000000"/>
                <w:sz w:val="12"/>
                <w:szCs w:val="12"/>
              </w:rPr>
              <w:t>análisis</w:t>
            </w:r>
            <w:r w:rsidRPr="005E132F">
              <w:rPr>
                <w:rFonts w:ascii="Arial Narrow" w:hAnsi="Arial Narrow"/>
                <w:color w:val="000000"/>
                <w:sz w:val="12"/>
                <w:szCs w:val="12"/>
              </w:rPr>
              <w:t xml:space="preserve"> de causas de la deforestación durante un periodo de  10 meses. No incluye costos </w:t>
            </w:r>
            <w:r w:rsidR="00F6762D" w:rsidRPr="005E132F">
              <w:rPr>
                <w:rFonts w:ascii="Arial Narrow" w:hAnsi="Arial Narrow"/>
                <w:color w:val="000000"/>
                <w:sz w:val="12"/>
                <w:szCs w:val="12"/>
              </w:rPr>
              <w:t>logísticos</w:t>
            </w:r>
            <w:r w:rsidRPr="005E132F">
              <w:rPr>
                <w:rFonts w:ascii="Arial Narrow" w:hAnsi="Arial Narrow"/>
                <w:color w:val="000000"/>
                <w:sz w:val="12"/>
                <w:szCs w:val="12"/>
              </w:rPr>
              <w:t xml:space="preserve"> de viajes para el curso nacional ni costos de alquiler de local para realizarlo. Estos costos son incluidos en el punto 3.</w:t>
            </w:r>
          </w:p>
        </w:tc>
      </w:tr>
      <w:tr w:rsidR="005E132F" w:rsidRPr="005E132F" w14:paraId="0DDB607A" w14:textId="77777777" w:rsidTr="005E132F">
        <w:trPr>
          <w:trHeight w:val="367"/>
        </w:trPr>
        <w:tc>
          <w:tcPr>
            <w:tcW w:w="566" w:type="dxa"/>
            <w:tcBorders>
              <w:top w:val="nil"/>
              <w:left w:val="single" w:sz="4" w:space="0" w:color="auto"/>
              <w:bottom w:val="single" w:sz="4" w:space="0" w:color="auto"/>
              <w:right w:val="single" w:sz="4" w:space="0" w:color="auto"/>
            </w:tcBorders>
            <w:shd w:val="clear" w:color="auto" w:fill="auto"/>
            <w:noWrap/>
            <w:hideMark/>
          </w:tcPr>
          <w:p w14:paraId="42FDB3F1"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3</w:t>
            </w:r>
          </w:p>
        </w:tc>
        <w:tc>
          <w:tcPr>
            <w:tcW w:w="1704" w:type="dxa"/>
            <w:tcBorders>
              <w:top w:val="nil"/>
              <w:left w:val="nil"/>
              <w:bottom w:val="single" w:sz="4" w:space="0" w:color="auto"/>
              <w:right w:val="single" w:sz="4" w:space="0" w:color="auto"/>
            </w:tcBorders>
            <w:shd w:val="clear" w:color="auto" w:fill="auto"/>
            <w:hideMark/>
          </w:tcPr>
          <w:p w14:paraId="19ECFE9E" w14:textId="0FD0216D"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Estudio de </w:t>
            </w:r>
            <w:r w:rsidR="00F6762D" w:rsidRPr="005E132F">
              <w:rPr>
                <w:rFonts w:ascii="Arial Narrow" w:hAnsi="Arial Narrow"/>
                <w:color w:val="000000"/>
                <w:sz w:val="12"/>
                <w:szCs w:val="12"/>
              </w:rPr>
              <w:t>análisis</w:t>
            </w:r>
            <w:r w:rsidRPr="005E132F">
              <w:rPr>
                <w:rFonts w:ascii="Arial Narrow" w:hAnsi="Arial Narrow"/>
                <w:color w:val="000000"/>
                <w:sz w:val="12"/>
                <w:szCs w:val="12"/>
              </w:rPr>
              <w:t xml:space="preserve"> de causas de la deforestación para la Región Amazonas </w:t>
            </w:r>
          </w:p>
        </w:tc>
        <w:tc>
          <w:tcPr>
            <w:tcW w:w="990" w:type="dxa"/>
            <w:tcBorders>
              <w:top w:val="nil"/>
              <w:left w:val="nil"/>
              <w:bottom w:val="single" w:sz="4" w:space="0" w:color="auto"/>
              <w:right w:val="single" w:sz="4" w:space="0" w:color="auto"/>
            </w:tcBorders>
            <w:shd w:val="clear" w:color="auto" w:fill="auto"/>
            <w:noWrap/>
            <w:hideMark/>
          </w:tcPr>
          <w:p w14:paraId="33F0B39D"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32,000.00</w:t>
            </w:r>
          </w:p>
        </w:tc>
        <w:tc>
          <w:tcPr>
            <w:tcW w:w="851" w:type="dxa"/>
            <w:tcBorders>
              <w:top w:val="nil"/>
              <w:left w:val="nil"/>
              <w:bottom w:val="single" w:sz="4" w:space="0" w:color="auto"/>
              <w:right w:val="single" w:sz="4" w:space="0" w:color="auto"/>
            </w:tcBorders>
            <w:shd w:val="clear" w:color="auto" w:fill="auto"/>
            <w:noWrap/>
            <w:hideMark/>
          </w:tcPr>
          <w:p w14:paraId="34275B10"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64DD4429"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178CC073"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32,000.00</w:t>
            </w:r>
          </w:p>
        </w:tc>
        <w:tc>
          <w:tcPr>
            <w:tcW w:w="4820" w:type="dxa"/>
            <w:gridSpan w:val="2"/>
            <w:tcBorders>
              <w:top w:val="nil"/>
              <w:left w:val="nil"/>
              <w:bottom w:val="single" w:sz="4" w:space="0" w:color="auto"/>
              <w:right w:val="single" w:sz="4" w:space="0" w:color="auto"/>
            </w:tcBorders>
            <w:shd w:val="clear" w:color="auto" w:fill="auto"/>
            <w:hideMark/>
          </w:tcPr>
          <w:p w14:paraId="0DBFB04E" w14:textId="6ECFF16E"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Incluye: costos </w:t>
            </w:r>
            <w:r w:rsidR="00F6762D" w:rsidRPr="005E132F">
              <w:rPr>
                <w:rFonts w:ascii="Arial Narrow" w:hAnsi="Arial Narrow"/>
                <w:color w:val="000000"/>
                <w:sz w:val="12"/>
                <w:szCs w:val="12"/>
              </w:rPr>
              <w:t>logísticos</w:t>
            </w:r>
            <w:r w:rsidRPr="005E132F">
              <w:rPr>
                <w:rFonts w:ascii="Arial Narrow" w:hAnsi="Arial Narrow"/>
                <w:color w:val="000000"/>
                <w:sz w:val="12"/>
                <w:szCs w:val="12"/>
              </w:rPr>
              <w:t xml:space="preserve"> de talleres regionales de inicio y cierre, costos operativos en talleres con actores clave en tres ámbitos (incluida provincia de Condorcanqui), viajes de equipo </w:t>
            </w:r>
            <w:r w:rsidR="00F6762D" w:rsidRPr="005E132F">
              <w:rPr>
                <w:rFonts w:ascii="Arial Narrow" w:hAnsi="Arial Narrow"/>
                <w:color w:val="000000"/>
                <w:sz w:val="12"/>
                <w:szCs w:val="12"/>
              </w:rPr>
              <w:t>técnico</w:t>
            </w:r>
            <w:r w:rsidRPr="005E132F">
              <w:rPr>
                <w:rFonts w:ascii="Arial Narrow" w:hAnsi="Arial Narrow"/>
                <w:color w:val="000000"/>
                <w:sz w:val="12"/>
                <w:szCs w:val="12"/>
              </w:rPr>
              <w:t xml:space="preserve"> regional a las tres provincias x 2 veces en cada uno, tiempo de especialistas x 5 meses, costo de administración.</w:t>
            </w:r>
          </w:p>
        </w:tc>
      </w:tr>
      <w:tr w:rsidR="005E132F" w:rsidRPr="005E132F" w14:paraId="0A9C17F7" w14:textId="77777777" w:rsidTr="005E132F">
        <w:trPr>
          <w:trHeight w:val="227"/>
        </w:trPr>
        <w:tc>
          <w:tcPr>
            <w:tcW w:w="566" w:type="dxa"/>
            <w:tcBorders>
              <w:top w:val="nil"/>
              <w:left w:val="single" w:sz="4" w:space="0" w:color="auto"/>
              <w:bottom w:val="single" w:sz="4" w:space="0" w:color="auto"/>
              <w:right w:val="single" w:sz="4" w:space="0" w:color="auto"/>
            </w:tcBorders>
            <w:shd w:val="clear" w:color="auto" w:fill="auto"/>
            <w:noWrap/>
            <w:hideMark/>
          </w:tcPr>
          <w:p w14:paraId="3410EE61"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4</w:t>
            </w:r>
          </w:p>
        </w:tc>
        <w:tc>
          <w:tcPr>
            <w:tcW w:w="1704" w:type="dxa"/>
            <w:tcBorders>
              <w:top w:val="nil"/>
              <w:left w:val="nil"/>
              <w:bottom w:val="single" w:sz="4" w:space="0" w:color="auto"/>
              <w:right w:val="single" w:sz="4" w:space="0" w:color="auto"/>
            </w:tcBorders>
            <w:shd w:val="clear" w:color="auto" w:fill="auto"/>
            <w:hideMark/>
          </w:tcPr>
          <w:p w14:paraId="0895D2B6" w14:textId="77092971" w:rsidR="00A81C19" w:rsidRPr="005E132F" w:rsidRDefault="00F6762D">
            <w:pPr>
              <w:rPr>
                <w:rFonts w:ascii="Arial Narrow" w:hAnsi="Arial Narrow"/>
                <w:color w:val="000000"/>
                <w:sz w:val="12"/>
                <w:szCs w:val="12"/>
              </w:rPr>
            </w:pPr>
            <w:r w:rsidRPr="005E132F">
              <w:rPr>
                <w:rFonts w:ascii="Arial Narrow" w:hAnsi="Arial Narrow"/>
                <w:color w:val="000000"/>
                <w:sz w:val="12"/>
                <w:szCs w:val="12"/>
              </w:rPr>
              <w:t>Análisis</w:t>
            </w:r>
            <w:r w:rsidR="00A81C19" w:rsidRPr="005E132F">
              <w:rPr>
                <w:rFonts w:ascii="Arial Narrow" w:hAnsi="Arial Narrow"/>
                <w:color w:val="000000"/>
                <w:sz w:val="12"/>
                <w:szCs w:val="12"/>
              </w:rPr>
              <w:t xml:space="preserve"> de cuellos de botella de producción regional</w:t>
            </w:r>
          </w:p>
        </w:tc>
        <w:tc>
          <w:tcPr>
            <w:tcW w:w="990" w:type="dxa"/>
            <w:tcBorders>
              <w:top w:val="nil"/>
              <w:left w:val="nil"/>
              <w:bottom w:val="single" w:sz="4" w:space="0" w:color="auto"/>
              <w:right w:val="single" w:sz="4" w:space="0" w:color="auto"/>
            </w:tcBorders>
            <w:shd w:val="clear" w:color="auto" w:fill="auto"/>
            <w:noWrap/>
            <w:hideMark/>
          </w:tcPr>
          <w:p w14:paraId="76C150ED"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12,000.00</w:t>
            </w:r>
          </w:p>
        </w:tc>
        <w:tc>
          <w:tcPr>
            <w:tcW w:w="851" w:type="dxa"/>
            <w:tcBorders>
              <w:top w:val="nil"/>
              <w:left w:val="nil"/>
              <w:bottom w:val="single" w:sz="4" w:space="0" w:color="auto"/>
              <w:right w:val="single" w:sz="4" w:space="0" w:color="auto"/>
            </w:tcBorders>
            <w:shd w:val="clear" w:color="auto" w:fill="auto"/>
            <w:noWrap/>
            <w:hideMark/>
          </w:tcPr>
          <w:p w14:paraId="714A98DE"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55D777C1"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461A11BC"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12,000.00</w:t>
            </w:r>
          </w:p>
        </w:tc>
        <w:tc>
          <w:tcPr>
            <w:tcW w:w="4820" w:type="dxa"/>
            <w:gridSpan w:val="2"/>
            <w:tcBorders>
              <w:top w:val="nil"/>
              <w:left w:val="nil"/>
              <w:bottom w:val="single" w:sz="4" w:space="0" w:color="auto"/>
              <w:right w:val="single" w:sz="4" w:space="0" w:color="auto"/>
            </w:tcBorders>
            <w:shd w:val="clear" w:color="auto" w:fill="auto"/>
            <w:hideMark/>
          </w:tcPr>
          <w:p w14:paraId="71274557"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Incluye costos de reuniones y talleres regionales con expertos y actores interesados (sector público y privado) aproximadamente 15 reuniones a USD300 cada una, tiempo de expertos para facilitación y sistematización de reuniones e impuestos (aproximadamente 1 experto a USD2,500 x 3 meses) </w:t>
            </w:r>
          </w:p>
        </w:tc>
      </w:tr>
      <w:tr w:rsidR="005E132F" w:rsidRPr="005E132F" w14:paraId="6112D949" w14:textId="77777777" w:rsidTr="005E132F">
        <w:trPr>
          <w:trHeight w:val="130"/>
        </w:trPr>
        <w:tc>
          <w:tcPr>
            <w:tcW w:w="566" w:type="dxa"/>
            <w:tcBorders>
              <w:top w:val="nil"/>
              <w:left w:val="single" w:sz="4" w:space="0" w:color="auto"/>
              <w:bottom w:val="single" w:sz="4" w:space="0" w:color="auto"/>
              <w:right w:val="single" w:sz="4" w:space="0" w:color="auto"/>
            </w:tcBorders>
            <w:shd w:val="clear" w:color="auto" w:fill="auto"/>
            <w:noWrap/>
            <w:hideMark/>
          </w:tcPr>
          <w:p w14:paraId="21500DDD"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5</w:t>
            </w:r>
          </w:p>
        </w:tc>
        <w:tc>
          <w:tcPr>
            <w:tcW w:w="1704" w:type="dxa"/>
            <w:tcBorders>
              <w:top w:val="nil"/>
              <w:left w:val="nil"/>
              <w:bottom w:val="single" w:sz="4" w:space="0" w:color="auto"/>
              <w:right w:val="single" w:sz="4" w:space="0" w:color="auto"/>
            </w:tcBorders>
            <w:shd w:val="clear" w:color="auto" w:fill="auto"/>
            <w:hideMark/>
          </w:tcPr>
          <w:p w14:paraId="1730946E"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Costeo de plan de inversiones y diseño de estrategia financiera</w:t>
            </w:r>
          </w:p>
        </w:tc>
        <w:tc>
          <w:tcPr>
            <w:tcW w:w="990" w:type="dxa"/>
            <w:tcBorders>
              <w:top w:val="nil"/>
              <w:left w:val="nil"/>
              <w:bottom w:val="single" w:sz="4" w:space="0" w:color="auto"/>
              <w:right w:val="single" w:sz="4" w:space="0" w:color="auto"/>
            </w:tcBorders>
            <w:shd w:val="clear" w:color="auto" w:fill="auto"/>
            <w:noWrap/>
            <w:hideMark/>
          </w:tcPr>
          <w:p w14:paraId="3DBAFBD4"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17,000.00</w:t>
            </w:r>
          </w:p>
        </w:tc>
        <w:tc>
          <w:tcPr>
            <w:tcW w:w="851" w:type="dxa"/>
            <w:tcBorders>
              <w:top w:val="nil"/>
              <w:left w:val="nil"/>
              <w:bottom w:val="single" w:sz="4" w:space="0" w:color="auto"/>
              <w:right w:val="single" w:sz="4" w:space="0" w:color="auto"/>
            </w:tcBorders>
            <w:shd w:val="clear" w:color="auto" w:fill="auto"/>
            <w:noWrap/>
            <w:hideMark/>
          </w:tcPr>
          <w:p w14:paraId="495BD2E0"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62B5B390"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6FB6937F"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17,000.00</w:t>
            </w:r>
          </w:p>
        </w:tc>
        <w:tc>
          <w:tcPr>
            <w:tcW w:w="4820" w:type="dxa"/>
            <w:gridSpan w:val="2"/>
            <w:tcBorders>
              <w:top w:val="nil"/>
              <w:left w:val="nil"/>
              <w:bottom w:val="single" w:sz="4" w:space="0" w:color="auto"/>
              <w:right w:val="single" w:sz="4" w:space="0" w:color="auto"/>
            </w:tcBorders>
            <w:shd w:val="clear" w:color="auto" w:fill="auto"/>
            <w:hideMark/>
          </w:tcPr>
          <w:p w14:paraId="4A455676"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Incluye  servicios de expertos e impuestos de ley (un experto senior a nivel de programa para 6 proyectos tiempo parcial y un experto regional a tiempo completo)</w:t>
            </w:r>
          </w:p>
        </w:tc>
      </w:tr>
      <w:tr w:rsidR="005E132F" w:rsidRPr="005E132F" w14:paraId="6C6E121E" w14:textId="77777777" w:rsidTr="005E132F">
        <w:trPr>
          <w:trHeight w:val="213"/>
        </w:trPr>
        <w:tc>
          <w:tcPr>
            <w:tcW w:w="566" w:type="dxa"/>
            <w:tcBorders>
              <w:top w:val="nil"/>
              <w:left w:val="single" w:sz="4" w:space="0" w:color="auto"/>
              <w:bottom w:val="single" w:sz="4" w:space="0" w:color="auto"/>
              <w:right w:val="single" w:sz="4" w:space="0" w:color="auto"/>
            </w:tcBorders>
            <w:shd w:val="clear" w:color="auto" w:fill="auto"/>
            <w:noWrap/>
            <w:hideMark/>
          </w:tcPr>
          <w:p w14:paraId="2B26BF5B"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6</w:t>
            </w:r>
          </w:p>
        </w:tc>
        <w:tc>
          <w:tcPr>
            <w:tcW w:w="1704" w:type="dxa"/>
            <w:tcBorders>
              <w:top w:val="nil"/>
              <w:left w:val="nil"/>
              <w:bottom w:val="single" w:sz="4" w:space="0" w:color="auto"/>
              <w:right w:val="single" w:sz="4" w:space="0" w:color="auto"/>
            </w:tcBorders>
            <w:shd w:val="clear" w:color="auto" w:fill="auto"/>
            <w:hideMark/>
          </w:tcPr>
          <w:p w14:paraId="0887C6E0"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Servicios de comunicación para elaborar materiales de difusión (folletos, infografía, cartillas, spots radio)</w:t>
            </w:r>
          </w:p>
        </w:tc>
        <w:tc>
          <w:tcPr>
            <w:tcW w:w="990" w:type="dxa"/>
            <w:tcBorders>
              <w:top w:val="nil"/>
              <w:left w:val="nil"/>
              <w:bottom w:val="single" w:sz="4" w:space="0" w:color="auto"/>
              <w:right w:val="single" w:sz="4" w:space="0" w:color="auto"/>
            </w:tcBorders>
            <w:shd w:val="clear" w:color="auto" w:fill="auto"/>
            <w:noWrap/>
            <w:hideMark/>
          </w:tcPr>
          <w:p w14:paraId="5BE5376C"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10,000.00</w:t>
            </w:r>
          </w:p>
        </w:tc>
        <w:tc>
          <w:tcPr>
            <w:tcW w:w="851" w:type="dxa"/>
            <w:tcBorders>
              <w:top w:val="nil"/>
              <w:left w:val="nil"/>
              <w:bottom w:val="single" w:sz="4" w:space="0" w:color="auto"/>
              <w:right w:val="single" w:sz="4" w:space="0" w:color="auto"/>
            </w:tcBorders>
            <w:shd w:val="clear" w:color="auto" w:fill="auto"/>
            <w:noWrap/>
            <w:hideMark/>
          </w:tcPr>
          <w:p w14:paraId="038BFEFB"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2CC1A75F"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1C3EA63B"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10,000.00</w:t>
            </w:r>
          </w:p>
        </w:tc>
        <w:tc>
          <w:tcPr>
            <w:tcW w:w="4820" w:type="dxa"/>
            <w:gridSpan w:val="2"/>
            <w:tcBorders>
              <w:top w:val="nil"/>
              <w:left w:val="nil"/>
              <w:bottom w:val="single" w:sz="4" w:space="0" w:color="auto"/>
              <w:right w:val="single" w:sz="4" w:space="0" w:color="auto"/>
            </w:tcBorders>
            <w:shd w:val="clear" w:color="auto" w:fill="auto"/>
            <w:hideMark/>
          </w:tcPr>
          <w:p w14:paraId="2A7BDA2F"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Incluye contratación de comunicador para que elabore estrategia de comunicación y materiales necesarios como cartillas, infografías y spots de radio (USD6,000 en servicios profesionales de diagración y diseño, y USD6,000 en producción de materiales)</w:t>
            </w:r>
          </w:p>
        </w:tc>
      </w:tr>
      <w:tr w:rsidR="005E132F" w:rsidRPr="005E132F" w14:paraId="3233120B" w14:textId="77777777" w:rsidTr="005E132F">
        <w:trPr>
          <w:trHeight w:val="478"/>
        </w:trPr>
        <w:tc>
          <w:tcPr>
            <w:tcW w:w="566" w:type="dxa"/>
            <w:tcBorders>
              <w:top w:val="nil"/>
              <w:left w:val="single" w:sz="4" w:space="0" w:color="auto"/>
              <w:bottom w:val="single" w:sz="4" w:space="0" w:color="auto"/>
              <w:right w:val="single" w:sz="4" w:space="0" w:color="auto"/>
            </w:tcBorders>
            <w:shd w:val="clear" w:color="auto" w:fill="auto"/>
            <w:noWrap/>
            <w:hideMark/>
          </w:tcPr>
          <w:p w14:paraId="55B9E8F5"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7</w:t>
            </w:r>
          </w:p>
        </w:tc>
        <w:tc>
          <w:tcPr>
            <w:tcW w:w="1704" w:type="dxa"/>
            <w:tcBorders>
              <w:top w:val="nil"/>
              <w:left w:val="nil"/>
              <w:bottom w:val="single" w:sz="4" w:space="0" w:color="auto"/>
              <w:right w:val="single" w:sz="4" w:space="0" w:color="auto"/>
            </w:tcBorders>
            <w:shd w:val="clear" w:color="auto" w:fill="auto"/>
            <w:hideMark/>
          </w:tcPr>
          <w:p w14:paraId="582AD3BF" w14:textId="294F8C43"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Servicios de capacitación de Ausejo Consulting sobre gestión pública y planificación estratégica </w:t>
            </w:r>
          </w:p>
        </w:tc>
        <w:tc>
          <w:tcPr>
            <w:tcW w:w="990" w:type="dxa"/>
            <w:tcBorders>
              <w:top w:val="nil"/>
              <w:left w:val="nil"/>
              <w:bottom w:val="single" w:sz="4" w:space="0" w:color="auto"/>
              <w:right w:val="single" w:sz="4" w:space="0" w:color="auto"/>
            </w:tcBorders>
            <w:shd w:val="clear" w:color="auto" w:fill="auto"/>
            <w:noWrap/>
            <w:hideMark/>
          </w:tcPr>
          <w:p w14:paraId="7E0A30EE"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11,215.00</w:t>
            </w:r>
          </w:p>
        </w:tc>
        <w:tc>
          <w:tcPr>
            <w:tcW w:w="851" w:type="dxa"/>
            <w:tcBorders>
              <w:top w:val="nil"/>
              <w:left w:val="nil"/>
              <w:bottom w:val="single" w:sz="4" w:space="0" w:color="auto"/>
              <w:right w:val="single" w:sz="4" w:space="0" w:color="auto"/>
            </w:tcBorders>
            <w:shd w:val="clear" w:color="auto" w:fill="auto"/>
            <w:noWrap/>
            <w:hideMark/>
          </w:tcPr>
          <w:p w14:paraId="680425E6"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022EEA1C"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5CD7E9D2"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11,215.00</w:t>
            </w:r>
          </w:p>
        </w:tc>
        <w:tc>
          <w:tcPr>
            <w:tcW w:w="4820" w:type="dxa"/>
            <w:gridSpan w:val="2"/>
            <w:tcBorders>
              <w:top w:val="nil"/>
              <w:left w:val="nil"/>
              <w:bottom w:val="single" w:sz="4" w:space="0" w:color="auto"/>
              <w:right w:val="single" w:sz="4" w:space="0" w:color="auto"/>
            </w:tcBorders>
            <w:shd w:val="clear" w:color="auto" w:fill="auto"/>
            <w:hideMark/>
          </w:tcPr>
          <w:p w14:paraId="6231F93A" w14:textId="72B0C5AD"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Servicio de dictado de diseño y dictado de curso nacional, y acompañamiento técnico durante proceso de elaboración de estrategia regional de desarrollo rural bajo en emisiones.</w:t>
            </w:r>
            <w:r w:rsidR="0005724E">
              <w:rPr>
                <w:rFonts w:ascii="Arial Narrow" w:hAnsi="Arial Narrow"/>
                <w:color w:val="000000"/>
                <w:sz w:val="12"/>
                <w:szCs w:val="12"/>
              </w:rPr>
              <w:t xml:space="preserve"> Es parte del monitoreo de implementación del proyecto.</w:t>
            </w:r>
          </w:p>
        </w:tc>
      </w:tr>
      <w:tr w:rsidR="005E132F" w:rsidRPr="005E132F" w14:paraId="2049144C" w14:textId="77777777" w:rsidTr="005E132F">
        <w:trPr>
          <w:trHeight w:val="73"/>
        </w:trPr>
        <w:tc>
          <w:tcPr>
            <w:tcW w:w="6096" w:type="dxa"/>
            <w:gridSpan w:val="7"/>
            <w:tcBorders>
              <w:top w:val="nil"/>
              <w:left w:val="single" w:sz="4" w:space="0" w:color="auto"/>
              <w:bottom w:val="single" w:sz="4" w:space="0" w:color="auto"/>
              <w:right w:val="single" w:sz="4" w:space="0" w:color="auto"/>
            </w:tcBorders>
            <w:shd w:val="clear" w:color="000000" w:fill="BFBFBF"/>
            <w:noWrap/>
            <w:vAlign w:val="bottom"/>
            <w:hideMark/>
          </w:tcPr>
          <w:p w14:paraId="639378F0" w14:textId="2D8DA42E"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Subtotal servicios</w:t>
            </w:r>
          </w:p>
        </w:tc>
        <w:tc>
          <w:tcPr>
            <w:tcW w:w="4820" w:type="dxa"/>
            <w:gridSpan w:val="2"/>
            <w:tcBorders>
              <w:top w:val="single" w:sz="4" w:space="0" w:color="auto"/>
              <w:left w:val="nil"/>
              <w:bottom w:val="single" w:sz="4" w:space="0" w:color="auto"/>
              <w:right w:val="single" w:sz="4" w:space="0" w:color="auto"/>
            </w:tcBorders>
            <w:shd w:val="clear" w:color="000000" w:fill="BFBFBF"/>
            <w:vAlign w:val="bottom"/>
          </w:tcPr>
          <w:p w14:paraId="2135995C" w14:textId="66494A81"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USD 94,832.00</w:t>
            </w:r>
          </w:p>
        </w:tc>
      </w:tr>
      <w:tr w:rsidR="005E132F" w:rsidRPr="005E132F" w14:paraId="42D1A4F6" w14:textId="77777777" w:rsidTr="005E132F">
        <w:trPr>
          <w:trHeight w:val="73"/>
        </w:trPr>
        <w:tc>
          <w:tcPr>
            <w:tcW w:w="10916" w:type="dxa"/>
            <w:gridSpan w:val="9"/>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2E9C7217" w14:textId="77777777" w:rsidR="00A81C19" w:rsidRPr="005E132F" w:rsidRDefault="00A81C19">
            <w:pPr>
              <w:rPr>
                <w:rFonts w:ascii="Arial Narrow" w:hAnsi="Arial Narrow"/>
                <w:b/>
                <w:bCs/>
                <w:color w:val="000000"/>
                <w:sz w:val="12"/>
                <w:szCs w:val="12"/>
              </w:rPr>
            </w:pPr>
            <w:r w:rsidRPr="005E132F">
              <w:rPr>
                <w:rFonts w:ascii="Arial Narrow" w:hAnsi="Arial Narrow"/>
                <w:b/>
                <w:bCs/>
                <w:color w:val="000000"/>
                <w:sz w:val="12"/>
                <w:szCs w:val="12"/>
              </w:rPr>
              <w:t>III. Equipos y logistica</w:t>
            </w:r>
          </w:p>
        </w:tc>
      </w:tr>
      <w:tr w:rsidR="005E132F" w:rsidRPr="005E132F" w14:paraId="413558C4" w14:textId="77777777" w:rsidTr="005E132F">
        <w:trPr>
          <w:trHeight w:val="73"/>
        </w:trPr>
        <w:tc>
          <w:tcPr>
            <w:tcW w:w="2270" w:type="dxa"/>
            <w:gridSpan w:val="2"/>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7FB24B94"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 xml:space="preserve">Tipo de costo </w:t>
            </w:r>
          </w:p>
        </w:tc>
        <w:tc>
          <w:tcPr>
            <w:tcW w:w="990" w:type="dxa"/>
            <w:tcBorders>
              <w:top w:val="nil"/>
              <w:left w:val="nil"/>
              <w:bottom w:val="single" w:sz="4" w:space="0" w:color="auto"/>
              <w:right w:val="single" w:sz="4" w:space="0" w:color="auto"/>
            </w:tcBorders>
            <w:shd w:val="clear" w:color="000000" w:fill="E2EFDA"/>
            <w:noWrap/>
            <w:vAlign w:val="bottom"/>
            <w:hideMark/>
          </w:tcPr>
          <w:p w14:paraId="760A6147" w14:textId="2DE04F1B" w:rsidR="00A81C19" w:rsidRPr="005E132F" w:rsidRDefault="00A81C19" w:rsidP="005E132F">
            <w:pPr>
              <w:jc w:val="center"/>
              <w:rPr>
                <w:rFonts w:ascii="Arial Narrow" w:hAnsi="Arial Narrow"/>
                <w:color w:val="000000"/>
                <w:sz w:val="12"/>
                <w:szCs w:val="12"/>
              </w:rPr>
            </w:pPr>
            <w:r w:rsidRPr="005E132F">
              <w:rPr>
                <w:rFonts w:ascii="Arial Narrow" w:hAnsi="Arial Narrow"/>
                <w:color w:val="000000"/>
                <w:sz w:val="12"/>
                <w:szCs w:val="12"/>
              </w:rPr>
              <w:t xml:space="preserve">Costo unitario </w:t>
            </w:r>
          </w:p>
        </w:tc>
        <w:tc>
          <w:tcPr>
            <w:tcW w:w="851" w:type="dxa"/>
            <w:tcBorders>
              <w:top w:val="nil"/>
              <w:left w:val="nil"/>
              <w:bottom w:val="single" w:sz="4" w:space="0" w:color="auto"/>
              <w:right w:val="single" w:sz="4" w:space="0" w:color="auto"/>
            </w:tcBorders>
            <w:shd w:val="clear" w:color="000000" w:fill="E2EFDA"/>
            <w:noWrap/>
            <w:vAlign w:val="bottom"/>
            <w:hideMark/>
          </w:tcPr>
          <w:p w14:paraId="0742CC05"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 xml:space="preserve">Cantidad </w:t>
            </w:r>
          </w:p>
        </w:tc>
        <w:tc>
          <w:tcPr>
            <w:tcW w:w="852" w:type="dxa"/>
            <w:tcBorders>
              <w:top w:val="nil"/>
              <w:left w:val="nil"/>
              <w:bottom w:val="single" w:sz="4" w:space="0" w:color="auto"/>
              <w:right w:val="single" w:sz="4" w:space="0" w:color="auto"/>
            </w:tcBorders>
            <w:shd w:val="clear" w:color="000000" w:fill="E2EFDA"/>
            <w:noWrap/>
            <w:vAlign w:val="bottom"/>
            <w:hideMark/>
          </w:tcPr>
          <w:p w14:paraId="28998C99"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Unidad</w:t>
            </w:r>
          </w:p>
        </w:tc>
        <w:tc>
          <w:tcPr>
            <w:tcW w:w="1133" w:type="dxa"/>
            <w:gridSpan w:val="2"/>
            <w:tcBorders>
              <w:top w:val="nil"/>
              <w:left w:val="nil"/>
              <w:bottom w:val="single" w:sz="4" w:space="0" w:color="auto"/>
              <w:right w:val="single" w:sz="4" w:space="0" w:color="auto"/>
            </w:tcBorders>
            <w:shd w:val="clear" w:color="000000" w:fill="E2EFDA"/>
            <w:noWrap/>
            <w:vAlign w:val="bottom"/>
            <w:hideMark/>
          </w:tcPr>
          <w:p w14:paraId="25B38693"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Total (USD)</w:t>
            </w:r>
          </w:p>
        </w:tc>
        <w:tc>
          <w:tcPr>
            <w:tcW w:w="4820" w:type="dxa"/>
            <w:gridSpan w:val="2"/>
            <w:tcBorders>
              <w:top w:val="nil"/>
              <w:left w:val="nil"/>
              <w:bottom w:val="single" w:sz="4" w:space="0" w:color="auto"/>
              <w:right w:val="single" w:sz="4" w:space="0" w:color="auto"/>
            </w:tcBorders>
            <w:shd w:val="clear" w:color="000000" w:fill="E2EFDA"/>
            <w:noWrap/>
            <w:vAlign w:val="bottom"/>
            <w:hideMark/>
          </w:tcPr>
          <w:p w14:paraId="733E89B2"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Comentarios o detalles</w:t>
            </w:r>
          </w:p>
        </w:tc>
      </w:tr>
      <w:tr w:rsidR="005E132F" w:rsidRPr="005E132F" w14:paraId="25F8DD9B" w14:textId="77777777" w:rsidTr="005E132F">
        <w:trPr>
          <w:trHeight w:val="255"/>
        </w:trPr>
        <w:tc>
          <w:tcPr>
            <w:tcW w:w="566" w:type="dxa"/>
            <w:tcBorders>
              <w:top w:val="nil"/>
              <w:left w:val="single" w:sz="4" w:space="0" w:color="auto"/>
              <w:bottom w:val="single" w:sz="4" w:space="0" w:color="auto"/>
              <w:right w:val="single" w:sz="4" w:space="0" w:color="auto"/>
            </w:tcBorders>
            <w:shd w:val="clear" w:color="auto" w:fill="auto"/>
            <w:noWrap/>
            <w:hideMark/>
          </w:tcPr>
          <w:p w14:paraId="369B2EA5"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8</w:t>
            </w:r>
          </w:p>
        </w:tc>
        <w:tc>
          <w:tcPr>
            <w:tcW w:w="1704" w:type="dxa"/>
            <w:tcBorders>
              <w:top w:val="nil"/>
              <w:left w:val="nil"/>
              <w:bottom w:val="single" w:sz="4" w:space="0" w:color="auto"/>
              <w:right w:val="single" w:sz="4" w:space="0" w:color="auto"/>
            </w:tcBorders>
            <w:shd w:val="clear" w:color="auto" w:fill="auto"/>
            <w:hideMark/>
          </w:tcPr>
          <w:p w14:paraId="7A5948CE"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Talleres y reuniones construcción estrategia </w:t>
            </w:r>
          </w:p>
        </w:tc>
        <w:tc>
          <w:tcPr>
            <w:tcW w:w="990" w:type="dxa"/>
            <w:tcBorders>
              <w:top w:val="nil"/>
              <w:left w:val="nil"/>
              <w:bottom w:val="single" w:sz="4" w:space="0" w:color="auto"/>
              <w:right w:val="single" w:sz="4" w:space="0" w:color="auto"/>
            </w:tcBorders>
            <w:shd w:val="clear" w:color="auto" w:fill="auto"/>
            <w:noWrap/>
            <w:hideMark/>
          </w:tcPr>
          <w:p w14:paraId="4E4AF102"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600.00</w:t>
            </w:r>
          </w:p>
        </w:tc>
        <w:tc>
          <w:tcPr>
            <w:tcW w:w="851" w:type="dxa"/>
            <w:tcBorders>
              <w:top w:val="nil"/>
              <w:left w:val="nil"/>
              <w:bottom w:val="single" w:sz="4" w:space="0" w:color="auto"/>
              <w:right w:val="single" w:sz="4" w:space="0" w:color="auto"/>
            </w:tcBorders>
            <w:shd w:val="clear" w:color="auto" w:fill="auto"/>
            <w:noWrap/>
            <w:hideMark/>
          </w:tcPr>
          <w:p w14:paraId="2C0CC267"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24</w:t>
            </w:r>
          </w:p>
        </w:tc>
        <w:tc>
          <w:tcPr>
            <w:tcW w:w="852" w:type="dxa"/>
            <w:tcBorders>
              <w:top w:val="nil"/>
              <w:left w:val="nil"/>
              <w:bottom w:val="single" w:sz="4" w:space="0" w:color="auto"/>
              <w:right w:val="single" w:sz="4" w:space="0" w:color="auto"/>
            </w:tcBorders>
            <w:shd w:val="clear" w:color="auto" w:fill="auto"/>
            <w:noWrap/>
            <w:hideMark/>
          </w:tcPr>
          <w:p w14:paraId="008AB9BF"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talleres</w:t>
            </w:r>
          </w:p>
        </w:tc>
        <w:tc>
          <w:tcPr>
            <w:tcW w:w="1133" w:type="dxa"/>
            <w:gridSpan w:val="2"/>
            <w:tcBorders>
              <w:top w:val="nil"/>
              <w:left w:val="nil"/>
              <w:bottom w:val="single" w:sz="4" w:space="0" w:color="auto"/>
              <w:right w:val="single" w:sz="4" w:space="0" w:color="auto"/>
            </w:tcBorders>
            <w:shd w:val="clear" w:color="auto" w:fill="auto"/>
            <w:noWrap/>
            <w:hideMark/>
          </w:tcPr>
          <w:p w14:paraId="65047D12"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14,400.00</w:t>
            </w:r>
          </w:p>
        </w:tc>
        <w:tc>
          <w:tcPr>
            <w:tcW w:w="4820" w:type="dxa"/>
            <w:gridSpan w:val="2"/>
            <w:tcBorders>
              <w:top w:val="nil"/>
              <w:left w:val="nil"/>
              <w:bottom w:val="single" w:sz="4" w:space="0" w:color="auto"/>
              <w:right w:val="single" w:sz="4" w:space="0" w:color="auto"/>
            </w:tcBorders>
            <w:shd w:val="clear" w:color="auto" w:fill="auto"/>
            <w:hideMark/>
          </w:tcPr>
          <w:p w14:paraId="783F0D94"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Talleres y reuniones con grupos de actores y multiactor en provincias de Amazonas y en la ciudad de Chachapoyas / Condorcanqui. En caso de talleres en provincia incluye traslado de Gobierno Regional y equipo del proyecto</w:t>
            </w:r>
          </w:p>
        </w:tc>
      </w:tr>
      <w:tr w:rsidR="005E132F" w:rsidRPr="005E132F" w14:paraId="57762B40" w14:textId="77777777" w:rsidTr="005E132F">
        <w:trPr>
          <w:trHeight w:val="73"/>
        </w:trPr>
        <w:tc>
          <w:tcPr>
            <w:tcW w:w="566" w:type="dxa"/>
            <w:tcBorders>
              <w:top w:val="nil"/>
              <w:left w:val="single" w:sz="4" w:space="0" w:color="auto"/>
              <w:bottom w:val="single" w:sz="4" w:space="0" w:color="auto"/>
              <w:right w:val="single" w:sz="4" w:space="0" w:color="auto"/>
            </w:tcBorders>
            <w:shd w:val="clear" w:color="auto" w:fill="auto"/>
            <w:noWrap/>
            <w:hideMark/>
          </w:tcPr>
          <w:p w14:paraId="575A3A15"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9</w:t>
            </w:r>
          </w:p>
        </w:tc>
        <w:tc>
          <w:tcPr>
            <w:tcW w:w="1704" w:type="dxa"/>
            <w:tcBorders>
              <w:top w:val="nil"/>
              <w:left w:val="nil"/>
              <w:bottom w:val="single" w:sz="4" w:space="0" w:color="auto"/>
              <w:right w:val="single" w:sz="4" w:space="0" w:color="auto"/>
            </w:tcBorders>
            <w:shd w:val="clear" w:color="auto" w:fill="auto"/>
            <w:hideMark/>
          </w:tcPr>
          <w:p w14:paraId="3B730900" w14:textId="2989DF7D"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Talleres y reuniones plan de </w:t>
            </w:r>
            <w:r w:rsidR="0005724E" w:rsidRPr="005E132F">
              <w:rPr>
                <w:rFonts w:ascii="Arial Narrow" w:hAnsi="Arial Narrow"/>
                <w:color w:val="000000"/>
                <w:sz w:val="12"/>
                <w:szCs w:val="12"/>
              </w:rPr>
              <w:t>inversión</w:t>
            </w:r>
          </w:p>
        </w:tc>
        <w:tc>
          <w:tcPr>
            <w:tcW w:w="990" w:type="dxa"/>
            <w:tcBorders>
              <w:top w:val="nil"/>
              <w:left w:val="nil"/>
              <w:bottom w:val="single" w:sz="4" w:space="0" w:color="auto"/>
              <w:right w:val="single" w:sz="4" w:space="0" w:color="auto"/>
            </w:tcBorders>
            <w:shd w:val="clear" w:color="auto" w:fill="auto"/>
            <w:noWrap/>
            <w:hideMark/>
          </w:tcPr>
          <w:p w14:paraId="472D28E1"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550.00</w:t>
            </w:r>
          </w:p>
        </w:tc>
        <w:tc>
          <w:tcPr>
            <w:tcW w:w="851" w:type="dxa"/>
            <w:tcBorders>
              <w:top w:val="nil"/>
              <w:left w:val="nil"/>
              <w:bottom w:val="single" w:sz="4" w:space="0" w:color="auto"/>
              <w:right w:val="single" w:sz="4" w:space="0" w:color="auto"/>
            </w:tcBorders>
            <w:shd w:val="clear" w:color="auto" w:fill="auto"/>
            <w:noWrap/>
            <w:hideMark/>
          </w:tcPr>
          <w:p w14:paraId="2A861E73"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10</w:t>
            </w:r>
          </w:p>
        </w:tc>
        <w:tc>
          <w:tcPr>
            <w:tcW w:w="852" w:type="dxa"/>
            <w:tcBorders>
              <w:top w:val="nil"/>
              <w:left w:val="nil"/>
              <w:bottom w:val="single" w:sz="4" w:space="0" w:color="auto"/>
              <w:right w:val="single" w:sz="4" w:space="0" w:color="auto"/>
            </w:tcBorders>
            <w:shd w:val="clear" w:color="auto" w:fill="auto"/>
            <w:noWrap/>
            <w:hideMark/>
          </w:tcPr>
          <w:p w14:paraId="764AEC07"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talleres</w:t>
            </w:r>
          </w:p>
        </w:tc>
        <w:tc>
          <w:tcPr>
            <w:tcW w:w="1133" w:type="dxa"/>
            <w:gridSpan w:val="2"/>
            <w:tcBorders>
              <w:top w:val="nil"/>
              <w:left w:val="nil"/>
              <w:bottom w:val="single" w:sz="4" w:space="0" w:color="auto"/>
              <w:right w:val="single" w:sz="4" w:space="0" w:color="auto"/>
            </w:tcBorders>
            <w:shd w:val="clear" w:color="auto" w:fill="auto"/>
            <w:noWrap/>
            <w:hideMark/>
          </w:tcPr>
          <w:p w14:paraId="334DC8F9"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5,500.00</w:t>
            </w:r>
          </w:p>
        </w:tc>
        <w:tc>
          <w:tcPr>
            <w:tcW w:w="4820" w:type="dxa"/>
            <w:gridSpan w:val="2"/>
            <w:tcBorders>
              <w:top w:val="nil"/>
              <w:left w:val="nil"/>
              <w:bottom w:val="single" w:sz="4" w:space="0" w:color="auto"/>
              <w:right w:val="single" w:sz="4" w:space="0" w:color="auto"/>
            </w:tcBorders>
            <w:shd w:val="clear" w:color="auto" w:fill="auto"/>
            <w:hideMark/>
          </w:tcPr>
          <w:p w14:paraId="4A23B8D2"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Talleres con actores clave en la ciudad de Chachapoyas o en provincias. Incluye refrigerios, traslado de asistentes claves y materiales</w:t>
            </w:r>
          </w:p>
        </w:tc>
      </w:tr>
      <w:tr w:rsidR="005E132F" w:rsidRPr="005E132F" w14:paraId="34D19226" w14:textId="77777777" w:rsidTr="005E132F">
        <w:trPr>
          <w:trHeight w:val="73"/>
        </w:trPr>
        <w:tc>
          <w:tcPr>
            <w:tcW w:w="566" w:type="dxa"/>
            <w:tcBorders>
              <w:top w:val="nil"/>
              <w:left w:val="single" w:sz="4" w:space="0" w:color="auto"/>
              <w:bottom w:val="single" w:sz="4" w:space="0" w:color="auto"/>
              <w:right w:val="single" w:sz="4" w:space="0" w:color="auto"/>
            </w:tcBorders>
            <w:shd w:val="clear" w:color="auto" w:fill="auto"/>
            <w:noWrap/>
            <w:hideMark/>
          </w:tcPr>
          <w:p w14:paraId="6B6623B8"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10</w:t>
            </w:r>
          </w:p>
        </w:tc>
        <w:tc>
          <w:tcPr>
            <w:tcW w:w="1704" w:type="dxa"/>
            <w:tcBorders>
              <w:top w:val="nil"/>
              <w:left w:val="nil"/>
              <w:bottom w:val="single" w:sz="4" w:space="0" w:color="auto"/>
              <w:right w:val="single" w:sz="4" w:space="0" w:color="auto"/>
            </w:tcBorders>
            <w:shd w:val="clear" w:color="auto" w:fill="auto"/>
            <w:hideMark/>
          </w:tcPr>
          <w:p w14:paraId="48753225"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Talleres con comunidades campesinas </w:t>
            </w:r>
          </w:p>
        </w:tc>
        <w:tc>
          <w:tcPr>
            <w:tcW w:w="990" w:type="dxa"/>
            <w:tcBorders>
              <w:top w:val="nil"/>
              <w:left w:val="nil"/>
              <w:bottom w:val="single" w:sz="4" w:space="0" w:color="auto"/>
              <w:right w:val="single" w:sz="4" w:space="0" w:color="auto"/>
            </w:tcBorders>
            <w:shd w:val="clear" w:color="auto" w:fill="auto"/>
            <w:noWrap/>
            <w:hideMark/>
          </w:tcPr>
          <w:p w14:paraId="53118949"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2,000.00</w:t>
            </w:r>
          </w:p>
        </w:tc>
        <w:tc>
          <w:tcPr>
            <w:tcW w:w="851" w:type="dxa"/>
            <w:tcBorders>
              <w:top w:val="nil"/>
              <w:left w:val="nil"/>
              <w:bottom w:val="single" w:sz="4" w:space="0" w:color="auto"/>
              <w:right w:val="single" w:sz="4" w:space="0" w:color="auto"/>
            </w:tcBorders>
            <w:shd w:val="clear" w:color="auto" w:fill="auto"/>
            <w:noWrap/>
            <w:hideMark/>
          </w:tcPr>
          <w:p w14:paraId="62CC992C"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6</w:t>
            </w:r>
          </w:p>
        </w:tc>
        <w:tc>
          <w:tcPr>
            <w:tcW w:w="852" w:type="dxa"/>
            <w:tcBorders>
              <w:top w:val="nil"/>
              <w:left w:val="nil"/>
              <w:bottom w:val="single" w:sz="4" w:space="0" w:color="auto"/>
              <w:right w:val="single" w:sz="4" w:space="0" w:color="auto"/>
            </w:tcBorders>
            <w:shd w:val="clear" w:color="auto" w:fill="auto"/>
            <w:noWrap/>
            <w:hideMark/>
          </w:tcPr>
          <w:p w14:paraId="5E1D1D27"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1DF437CA"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12,000.00</w:t>
            </w:r>
          </w:p>
        </w:tc>
        <w:tc>
          <w:tcPr>
            <w:tcW w:w="4820" w:type="dxa"/>
            <w:gridSpan w:val="2"/>
            <w:tcBorders>
              <w:top w:val="nil"/>
              <w:left w:val="nil"/>
              <w:bottom w:val="single" w:sz="4" w:space="0" w:color="auto"/>
              <w:right w:val="single" w:sz="4" w:space="0" w:color="auto"/>
            </w:tcBorders>
            <w:shd w:val="clear" w:color="auto" w:fill="auto"/>
            <w:hideMark/>
          </w:tcPr>
          <w:p w14:paraId="3D0CF2F6" w14:textId="7478289D"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Incluye traslados de dirigentes de comunidades , hospedaje, </w:t>
            </w:r>
            <w:r w:rsidR="0005724E" w:rsidRPr="005E132F">
              <w:rPr>
                <w:rFonts w:ascii="Arial Narrow" w:hAnsi="Arial Narrow"/>
                <w:color w:val="000000"/>
                <w:sz w:val="12"/>
                <w:szCs w:val="12"/>
              </w:rPr>
              <w:t>alimentación</w:t>
            </w:r>
            <w:r w:rsidRPr="005E132F">
              <w:rPr>
                <w:rFonts w:ascii="Arial Narrow" w:hAnsi="Arial Narrow"/>
                <w:color w:val="000000"/>
                <w:sz w:val="12"/>
                <w:szCs w:val="12"/>
              </w:rPr>
              <w:t xml:space="preserve"> y gastos, alquiler de local para reuniones, materiales y tiempo de capacitadores</w:t>
            </w:r>
          </w:p>
        </w:tc>
      </w:tr>
      <w:tr w:rsidR="005E132F" w:rsidRPr="005E132F" w14:paraId="5B627165" w14:textId="77777777" w:rsidTr="005E132F">
        <w:trPr>
          <w:trHeight w:val="758"/>
        </w:trPr>
        <w:tc>
          <w:tcPr>
            <w:tcW w:w="566" w:type="dxa"/>
            <w:tcBorders>
              <w:top w:val="nil"/>
              <w:left w:val="single" w:sz="4" w:space="0" w:color="auto"/>
              <w:bottom w:val="single" w:sz="4" w:space="0" w:color="auto"/>
              <w:right w:val="single" w:sz="4" w:space="0" w:color="auto"/>
            </w:tcBorders>
            <w:shd w:val="clear" w:color="auto" w:fill="auto"/>
            <w:noWrap/>
            <w:hideMark/>
          </w:tcPr>
          <w:p w14:paraId="66E079EB"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11</w:t>
            </w:r>
          </w:p>
        </w:tc>
        <w:tc>
          <w:tcPr>
            <w:tcW w:w="1704" w:type="dxa"/>
            <w:tcBorders>
              <w:top w:val="nil"/>
              <w:left w:val="nil"/>
              <w:bottom w:val="single" w:sz="4" w:space="0" w:color="auto"/>
              <w:right w:val="single" w:sz="4" w:space="0" w:color="auto"/>
            </w:tcBorders>
            <w:shd w:val="clear" w:color="auto" w:fill="auto"/>
            <w:hideMark/>
          </w:tcPr>
          <w:p w14:paraId="4CB21C77"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Viajes</w:t>
            </w:r>
          </w:p>
        </w:tc>
        <w:tc>
          <w:tcPr>
            <w:tcW w:w="990" w:type="dxa"/>
            <w:tcBorders>
              <w:top w:val="nil"/>
              <w:left w:val="nil"/>
              <w:bottom w:val="single" w:sz="4" w:space="0" w:color="auto"/>
              <w:right w:val="single" w:sz="4" w:space="0" w:color="auto"/>
            </w:tcBorders>
            <w:shd w:val="clear" w:color="auto" w:fill="auto"/>
            <w:noWrap/>
            <w:hideMark/>
          </w:tcPr>
          <w:p w14:paraId="67FAD0E1"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450.00</w:t>
            </w:r>
          </w:p>
        </w:tc>
        <w:tc>
          <w:tcPr>
            <w:tcW w:w="851" w:type="dxa"/>
            <w:tcBorders>
              <w:top w:val="nil"/>
              <w:left w:val="nil"/>
              <w:bottom w:val="single" w:sz="4" w:space="0" w:color="auto"/>
              <w:right w:val="single" w:sz="4" w:space="0" w:color="auto"/>
            </w:tcBorders>
            <w:shd w:val="clear" w:color="auto" w:fill="auto"/>
            <w:noWrap/>
            <w:hideMark/>
          </w:tcPr>
          <w:p w14:paraId="1C2C24CD"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30</w:t>
            </w:r>
          </w:p>
        </w:tc>
        <w:tc>
          <w:tcPr>
            <w:tcW w:w="852" w:type="dxa"/>
            <w:tcBorders>
              <w:top w:val="nil"/>
              <w:left w:val="nil"/>
              <w:bottom w:val="single" w:sz="4" w:space="0" w:color="auto"/>
              <w:right w:val="single" w:sz="4" w:space="0" w:color="auto"/>
            </w:tcBorders>
            <w:shd w:val="clear" w:color="auto" w:fill="auto"/>
            <w:noWrap/>
            <w:hideMark/>
          </w:tcPr>
          <w:p w14:paraId="648C96E0"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viajes</w:t>
            </w:r>
          </w:p>
        </w:tc>
        <w:tc>
          <w:tcPr>
            <w:tcW w:w="1133" w:type="dxa"/>
            <w:gridSpan w:val="2"/>
            <w:tcBorders>
              <w:top w:val="nil"/>
              <w:left w:val="nil"/>
              <w:bottom w:val="single" w:sz="4" w:space="0" w:color="auto"/>
              <w:right w:val="single" w:sz="4" w:space="0" w:color="auto"/>
            </w:tcBorders>
            <w:shd w:val="clear" w:color="auto" w:fill="auto"/>
            <w:noWrap/>
            <w:hideMark/>
          </w:tcPr>
          <w:p w14:paraId="0084F761"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13,500.00</w:t>
            </w:r>
          </w:p>
        </w:tc>
        <w:tc>
          <w:tcPr>
            <w:tcW w:w="4820" w:type="dxa"/>
            <w:gridSpan w:val="2"/>
            <w:tcBorders>
              <w:top w:val="nil"/>
              <w:left w:val="nil"/>
              <w:bottom w:val="single" w:sz="4" w:space="0" w:color="auto"/>
              <w:right w:val="single" w:sz="4" w:space="0" w:color="auto"/>
            </w:tcBorders>
            <w:shd w:val="clear" w:color="auto" w:fill="auto"/>
            <w:hideMark/>
          </w:tcPr>
          <w:p w14:paraId="0812FC37" w14:textId="396D034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Incluye costos de boletos </w:t>
            </w:r>
            <w:r w:rsidR="0005724E" w:rsidRPr="005E132F">
              <w:rPr>
                <w:rFonts w:ascii="Arial Narrow" w:hAnsi="Arial Narrow"/>
                <w:color w:val="000000"/>
                <w:sz w:val="12"/>
                <w:szCs w:val="12"/>
              </w:rPr>
              <w:t>aéreos</w:t>
            </w:r>
            <w:r w:rsidRPr="005E132F">
              <w:rPr>
                <w:rFonts w:ascii="Arial Narrow" w:hAnsi="Arial Narrow"/>
                <w:color w:val="000000"/>
                <w:sz w:val="12"/>
                <w:szCs w:val="12"/>
              </w:rPr>
              <w:t xml:space="preserve"> (aproximadamente USD250 por pasajes nacionales, USD 100 por dos noches de hospedaje y USD100 de per diem - aproximadamente USD50 por día). Considera total de 36 viajes durante el tiempo de vida del proyecto que puede incluir funcionarios del gobierno regional o especialistas del proyecto a la ciudad de Lima, o expertos de ministerios a la ciudad de Chachapoyas. </w:t>
            </w:r>
            <w:r w:rsidR="0005724E" w:rsidRPr="005E132F">
              <w:rPr>
                <w:rFonts w:ascii="Arial Narrow" w:hAnsi="Arial Narrow"/>
                <w:color w:val="000000"/>
                <w:sz w:val="12"/>
                <w:szCs w:val="12"/>
              </w:rPr>
              <w:t>También</w:t>
            </w:r>
            <w:r w:rsidRPr="005E132F">
              <w:rPr>
                <w:rFonts w:ascii="Arial Narrow" w:hAnsi="Arial Narrow"/>
                <w:color w:val="000000"/>
                <w:sz w:val="12"/>
                <w:szCs w:val="12"/>
              </w:rPr>
              <w:t xml:space="preserve"> puede incluir traslado a provincias de Chachapoyas para reuniones especificas sobre proceso de la estrategia y plan (en este caso el costo es de apro</w:t>
            </w:r>
            <w:r w:rsidR="005E132F">
              <w:rPr>
                <w:rFonts w:ascii="Arial Narrow" w:hAnsi="Arial Narrow"/>
                <w:color w:val="000000"/>
                <w:sz w:val="12"/>
                <w:szCs w:val="12"/>
              </w:rPr>
              <w:t xml:space="preserve">ximadamente USD160 por viaje </w:t>
            </w:r>
            <w:r w:rsidRPr="005E132F">
              <w:rPr>
                <w:rFonts w:ascii="Arial Narrow" w:hAnsi="Arial Narrow"/>
                <w:color w:val="000000"/>
                <w:sz w:val="12"/>
                <w:szCs w:val="12"/>
              </w:rPr>
              <w:t xml:space="preserve">dos </w:t>
            </w:r>
            <w:r w:rsidR="0005724E" w:rsidRPr="005E132F">
              <w:rPr>
                <w:rFonts w:ascii="Arial Narrow" w:hAnsi="Arial Narrow"/>
                <w:color w:val="000000"/>
                <w:sz w:val="12"/>
                <w:szCs w:val="12"/>
              </w:rPr>
              <w:t>días</w:t>
            </w:r>
            <w:r w:rsidRPr="005E132F">
              <w:rPr>
                <w:rFonts w:ascii="Arial Narrow" w:hAnsi="Arial Narrow"/>
                <w:color w:val="000000"/>
                <w:sz w:val="12"/>
                <w:szCs w:val="12"/>
              </w:rPr>
              <w:t xml:space="preserve"> </w:t>
            </w:r>
            <w:r w:rsidR="0005724E" w:rsidRPr="005E132F">
              <w:rPr>
                <w:rFonts w:ascii="Arial Narrow" w:hAnsi="Arial Narrow"/>
                <w:color w:val="000000"/>
                <w:sz w:val="12"/>
                <w:szCs w:val="12"/>
              </w:rPr>
              <w:t>vía</w:t>
            </w:r>
            <w:r w:rsidRPr="005E132F">
              <w:rPr>
                <w:rFonts w:ascii="Arial Narrow" w:hAnsi="Arial Narrow"/>
                <w:color w:val="000000"/>
                <w:sz w:val="12"/>
                <w:szCs w:val="12"/>
              </w:rPr>
              <w:t xml:space="preserve"> terrestre)</w:t>
            </w:r>
          </w:p>
        </w:tc>
      </w:tr>
      <w:tr w:rsidR="005E132F" w:rsidRPr="005E132F" w14:paraId="0EDC6AE4" w14:textId="77777777" w:rsidTr="005E132F">
        <w:trPr>
          <w:trHeight w:val="73"/>
        </w:trPr>
        <w:tc>
          <w:tcPr>
            <w:tcW w:w="566" w:type="dxa"/>
            <w:tcBorders>
              <w:top w:val="nil"/>
              <w:left w:val="single" w:sz="4" w:space="0" w:color="auto"/>
              <w:bottom w:val="single" w:sz="4" w:space="0" w:color="auto"/>
              <w:right w:val="single" w:sz="4" w:space="0" w:color="auto"/>
            </w:tcBorders>
            <w:shd w:val="clear" w:color="auto" w:fill="auto"/>
            <w:noWrap/>
            <w:hideMark/>
          </w:tcPr>
          <w:p w14:paraId="6AA5037F"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12</w:t>
            </w:r>
          </w:p>
        </w:tc>
        <w:tc>
          <w:tcPr>
            <w:tcW w:w="1704" w:type="dxa"/>
            <w:tcBorders>
              <w:top w:val="nil"/>
              <w:left w:val="nil"/>
              <w:bottom w:val="single" w:sz="4" w:space="0" w:color="auto"/>
              <w:right w:val="single" w:sz="4" w:space="0" w:color="auto"/>
            </w:tcBorders>
            <w:shd w:val="clear" w:color="auto" w:fill="auto"/>
            <w:hideMark/>
          </w:tcPr>
          <w:p w14:paraId="57841286"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Publicaciones </w:t>
            </w:r>
          </w:p>
        </w:tc>
        <w:tc>
          <w:tcPr>
            <w:tcW w:w="990" w:type="dxa"/>
            <w:tcBorders>
              <w:top w:val="nil"/>
              <w:left w:val="nil"/>
              <w:bottom w:val="single" w:sz="4" w:space="0" w:color="auto"/>
              <w:right w:val="single" w:sz="4" w:space="0" w:color="auto"/>
            </w:tcBorders>
            <w:shd w:val="clear" w:color="auto" w:fill="auto"/>
            <w:noWrap/>
            <w:hideMark/>
          </w:tcPr>
          <w:p w14:paraId="00C79465"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1,500.00</w:t>
            </w:r>
          </w:p>
        </w:tc>
        <w:tc>
          <w:tcPr>
            <w:tcW w:w="851" w:type="dxa"/>
            <w:tcBorders>
              <w:top w:val="nil"/>
              <w:left w:val="nil"/>
              <w:bottom w:val="single" w:sz="4" w:space="0" w:color="auto"/>
              <w:right w:val="single" w:sz="4" w:space="0" w:color="auto"/>
            </w:tcBorders>
            <w:shd w:val="clear" w:color="auto" w:fill="auto"/>
            <w:noWrap/>
            <w:hideMark/>
          </w:tcPr>
          <w:p w14:paraId="0394A7E2"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78F93DA0" w14:textId="06687811" w:rsidR="00A81C19" w:rsidRPr="005E132F" w:rsidRDefault="0005724E">
            <w:pPr>
              <w:jc w:val="center"/>
              <w:rPr>
                <w:rFonts w:ascii="Arial Narrow" w:hAnsi="Arial Narrow"/>
                <w:color w:val="000000"/>
                <w:sz w:val="12"/>
                <w:szCs w:val="12"/>
              </w:rPr>
            </w:pPr>
            <w:r w:rsidRPr="005E132F">
              <w:rPr>
                <w:rFonts w:ascii="Arial Narrow" w:hAnsi="Arial Narrow"/>
                <w:color w:val="000000"/>
                <w:sz w:val="12"/>
                <w:szCs w:val="12"/>
              </w:rPr>
              <w:t>publicación</w:t>
            </w:r>
          </w:p>
        </w:tc>
        <w:tc>
          <w:tcPr>
            <w:tcW w:w="1133" w:type="dxa"/>
            <w:gridSpan w:val="2"/>
            <w:tcBorders>
              <w:top w:val="nil"/>
              <w:left w:val="nil"/>
              <w:bottom w:val="single" w:sz="4" w:space="0" w:color="auto"/>
              <w:right w:val="single" w:sz="4" w:space="0" w:color="auto"/>
            </w:tcBorders>
            <w:shd w:val="clear" w:color="auto" w:fill="auto"/>
            <w:noWrap/>
            <w:hideMark/>
          </w:tcPr>
          <w:p w14:paraId="0CBE1521"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1,500.00</w:t>
            </w:r>
          </w:p>
        </w:tc>
        <w:tc>
          <w:tcPr>
            <w:tcW w:w="4820" w:type="dxa"/>
            <w:gridSpan w:val="2"/>
            <w:tcBorders>
              <w:top w:val="nil"/>
              <w:left w:val="nil"/>
              <w:bottom w:val="single" w:sz="4" w:space="0" w:color="auto"/>
              <w:right w:val="single" w:sz="4" w:space="0" w:color="auto"/>
            </w:tcBorders>
            <w:shd w:val="clear" w:color="auto" w:fill="auto"/>
            <w:hideMark/>
          </w:tcPr>
          <w:p w14:paraId="733D39B9"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Impresión de materiales</w:t>
            </w:r>
          </w:p>
        </w:tc>
      </w:tr>
      <w:tr w:rsidR="005E132F" w:rsidRPr="005E132F" w14:paraId="6AE87354" w14:textId="77777777" w:rsidTr="005E132F">
        <w:trPr>
          <w:trHeight w:val="311"/>
        </w:trPr>
        <w:tc>
          <w:tcPr>
            <w:tcW w:w="566" w:type="dxa"/>
            <w:tcBorders>
              <w:top w:val="nil"/>
              <w:left w:val="single" w:sz="4" w:space="0" w:color="auto"/>
              <w:bottom w:val="single" w:sz="4" w:space="0" w:color="auto"/>
              <w:right w:val="single" w:sz="4" w:space="0" w:color="auto"/>
            </w:tcBorders>
            <w:shd w:val="clear" w:color="auto" w:fill="auto"/>
            <w:noWrap/>
            <w:hideMark/>
          </w:tcPr>
          <w:p w14:paraId="38FD69E5"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13</w:t>
            </w:r>
          </w:p>
        </w:tc>
        <w:tc>
          <w:tcPr>
            <w:tcW w:w="1704" w:type="dxa"/>
            <w:tcBorders>
              <w:top w:val="nil"/>
              <w:left w:val="nil"/>
              <w:bottom w:val="single" w:sz="4" w:space="0" w:color="auto"/>
              <w:right w:val="single" w:sz="4" w:space="0" w:color="auto"/>
            </w:tcBorders>
            <w:shd w:val="clear" w:color="auto" w:fill="auto"/>
            <w:hideMark/>
          </w:tcPr>
          <w:p w14:paraId="6CD45174"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Materiales de oficina </w:t>
            </w:r>
          </w:p>
        </w:tc>
        <w:tc>
          <w:tcPr>
            <w:tcW w:w="990" w:type="dxa"/>
            <w:tcBorders>
              <w:top w:val="nil"/>
              <w:left w:val="nil"/>
              <w:bottom w:val="single" w:sz="4" w:space="0" w:color="auto"/>
              <w:right w:val="single" w:sz="4" w:space="0" w:color="auto"/>
            </w:tcBorders>
            <w:shd w:val="clear" w:color="auto" w:fill="auto"/>
            <w:noWrap/>
            <w:hideMark/>
          </w:tcPr>
          <w:p w14:paraId="2845B21F"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350.00</w:t>
            </w:r>
          </w:p>
        </w:tc>
        <w:tc>
          <w:tcPr>
            <w:tcW w:w="851" w:type="dxa"/>
            <w:tcBorders>
              <w:top w:val="nil"/>
              <w:left w:val="nil"/>
              <w:bottom w:val="single" w:sz="4" w:space="0" w:color="auto"/>
              <w:right w:val="single" w:sz="4" w:space="0" w:color="auto"/>
            </w:tcBorders>
            <w:shd w:val="clear" w:color="auto" w:fill="auto"/>
            <w:noWrap/>
            <w:hideMark/>
          </w:tcPr>
          <w:p w14:paraId="14CF2728"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15</w:t>
            </w:r>
          </w:p>
        </w:tc>
        <w:tc>
          <w:tcPr>
            <w:tcW w:w="852" w:type="dxa"/>
            <w:tcBorders>
              <w:top w:val="nil"/>
              <w:left w:val="nil"/>
              <w:bottom w:val="single" w:sz="4" w:space="0" w:color="auto"/>
              <w:right w:val="single" w:sz="4" w:space="0" w:color="auto"/>
            </w:tcBorders>
            <w:shd w:val="clear" w:color="auto" w:fill="auto"/>
            <w:noWrap/>
            <w:hideMark/>
          </w:tcPr>
          <w:p w14:paraId="6A1DDF7A"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meses</w:t>
            </w:r>
          </w:p>
        </w:tc>
        <w:tc>
          <w:tcPr>
            <w:tcW w:w="1133" w:type="dxa"/>
            <w:gridSpan w:val="2"/>
            <w:tcBorders>
              <w:top w:val="nil"/>
              <w:left w:val="nil"/>
              <w:bottom w:val="single" w:sz="4" w:space="0" w:color="auto"/>
              <w:right w:val="single" w:sz="4" w:space="0" w:color="auto"/>
            </w:tcBorders>
            <w:shd w:val="clear" w:color="auto" w:fill="auto"/>
            <w:noWrap/>
            <w:hideMark/>
          </w:tcPr>
          <w:p w14:paraId="17134322"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5,250.00</w:t>
            </w:r>
          </w:p>
        </w:tc>
        <w:tc>
          <w:tcPr>
            <w:tcW w:w="4820" w:type="dxa"/>
            <w:gridSpan w:val="2"/>
            <w:tcBorders>
              <w:top w:val="nil"/>
              <w:left w:val="nil"/>
              <w:bottom w:val="single" w:sz="4" w:space="0" w:color="auto"/>
              <w:right w:val="single" w:sz="4" w:space="0" w:color="auto"/>
            </w:tcBorders>
            <w:shd w:val="clear" w:color="auto" w:fill="auto"/>
            <w:hideMark/>
          </w:tcPr>
          <w:p w14:paraId="590333D6" w14:textId="449498D3"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Papelería, materiales de escritorio, servicios de </w:t>
            </w:r>
            <w:r w:rsidR="0005724E" w:rsidRPr="005E132F">
              <w:rPr>
                <w:rFonts w:ascii="Arial Narrow" w:hAnsi="Arial Narrow"/>
                <w:color w:val="000000"/>
                <w:sz w:val="12"/>
                <w:szCs w:val="12"/>
              </w:rPr>
              <w:t>mensajería</w:t>
            </w:r>
            <w:r w:rsidRPr="005E132F">
              <w:rPr>
                <w:rFonts w:ascii="Arial Narrow" w:hAnsi="Arial Narrow"/>
                <w:color w:val="000000"/>
                <w:sz w:val="12"/>
                <w:szCs w:val="12"/>
              </w:rPr>
              <w:t>, refrigerios (costo mensual aproximado USD350) x 15 meses</w:t>
            </w:r>
          </w:p>
        </w:tc>
      </w:tr>
      <w:tr w:rsidR="005E132F" w:rsidRPr="005E132F" w14:paraId="1406029E" w14:textId="77777777" w:rsidTr="005E132F">
        <w:trPr>
          <w:trHeight w:val="73"/>
        </w:trPr>
        <w:tc>
          <w:tcPr>
            <w:tcW w:w="6096" w:type="dxa"/>
            <w:gridSpan w:val="7"/>
            <w:tcBorders>
              <w:top w:val="nil"/>
              <w:left w:val="single" w:sz="4" w:space="0" w:color="auto"/>
              <w:bottom w:val="single" w:sz="4" w:space="0" w:color="auto"/>
              <w:right w:val="single" w:sz="4" w:space="0" w:color="auto"/>
            </w:tcBorders>
            <w:shd w:val="clear" w:color="000000" w:fill="BFBFBF"/>
            <w:noWrap/>
            <w:vAlign w:val="bottom"/>
            <w:hideMark/>
          </w:tcPr>
          <w:p w14:paraId="5CEABECA" w14:textId="65AD5C0F"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 xml:space="preserve">Subtotal  equipos y </w:t>
            </w:r>
            <w:r w:rsidR="0005724E" w:rsidRPr="005E132F">
              <w:rPr>
                <w:rFonts w:ascii="Arial Narrow" w:hAnsi="Arial Narrow"/>
                <w:b/>
                <w:bCs/>
                <w:color w:val="000000"/>
                <w:sz w:val="12"/>
                <w:szCs w:val="12"/>
              </w:rPr>
              <w:t>logística</w:t>
            </w:r>
          </w:p>
        </w:tc>
        <w:tc>
          <w:tcPr>
            <w:tcW w:w="4820" w:type="dxa"/>
            <w:gridSpan w:val="2"/>
            <w:tcBorders>
              <w:top w:val="single" w:sz="4" w:space="0" w:color="auto"/>
              <w:left w:val="nil"/>
              <w:bottom w:val="single" w:sz="4" w:space="0" w:color="auto"/>
              <w:right w:val="single" w:sz="4" w:space="0" w:color="auto"/>
            </w:tcBorders>
            <w:shd w:val="clear" w:color="000000" w:fill="BFBFBF"/>
            <w:vAlign w:val="bottom"/>
          </w:tcPr>
          <w:p w14:paraId="17D9A7C6" w14:textId="7C7734D3"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USD 52,150.00</w:t>
            </w:r>
          </w:p>
        </w:tc>
      </w:tr>
      <w:tr w:rsidR="005E132F" w:rsidRPr="005E132F" w14:paraId="033E7BE8" w14:textId="77777777" w:rsidTr="005E132F">
        <w:trPr>
          <w:trHeight w:val="73"/>
        </w:trPr>
        <w:tc>
          <w:tcPr>
            <w:tcW w:w="10916" w:type="dxa"/>
            <w:gridSpan w:val="9"/>
            <w:tcBorders>
              <w:top w:val="single" w:sz="4" w:space="0" w:color="auto"/>
              <w:left w:val="nil"/>
              <w:bottom w:val="nil"/>
              <w:right w:val="nil"/>
            </w:tcBorders>
            <w:shd w:val="clear" w:color="000000" w:fill="70AD47"/>
            <w:noWrap/>
            <w:vAlign w:val="bottom"/>
            <w:hideMark/>
          </w:tcPr>
          <w:p w14:paraId="459F16E7" w14:textId="77777777" w:rsidR="00A81C19" w:rsidRPr="005E132F" w:rsidRDefault="00A81C19">
            <w:pPr>
              <w:rPr>
                <w:rFonts w:ascii="Arial Narrow" w:hAnsi="Arial Narrow"/>
                <w:b/>
                <w:bCs/>
                <w:color w:val="000000"/>
                <w:sz w:val="12"/>
                <w:szCs w:val="12"/>
              </w:rPr>
            </w:pPr>
            <w:r w:rsidRPr="005E132F">
              <w:rPr>
                <w:rFonts w:ascii="Arial Narrow" w:hAnsi="Arial Narrow"/>
                <w:b/>
                <w:bCs/>
                <w:color w:val="000000"/>
                <w:sz w:val="12"/>
                <w:szCs w:val="12"/>
              </w:rPr>
              <w:t>III. Evaluaciones y monitoreo</w:t>
            </w:r>
          </w:p>
        </w:tc>
      </w:tr>
      <w:tr w:rsidR="005E132F" w:rsidRPr="005E132F" w14:paraId="4128125F" w14:textId="77777777" w:rsidTr="005E132F">
        <w:trPr>
          <w:trHeight w:val="320"/>
        </w:trPr>
        <w:tc>
          <w:tcPr>
            <w:tcW w:w="566"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0F241A8C"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 xml:space="preserve">Tipo de costo </w:t>
            </w:r>
          </w:p>
        </w:tc>
        <w:tc>
          <w:tcPr>
            <w:tcW w:w="1704" w:type="dxa"/>
            <w:tcBorders>
              <w:top w:val="single" w:sz="4" w:space="0" w:color="auto"/>
              <w:left w:val="nil"/>
              <w:bottom w:val="single" w:sz="4" w:space="0" w:color="auto"/>
              <w:right w:val="single" w:sz="4" w:space="0" w:color="auto"/>
            </w:tcBorders>
            <w:shd w:val="clear" w:color="000000" w:fill="E2EFDA"/>
            <w:vAlign w:val="bottom"/>
            <w:hideMark/>
          </w:tcPr>
          <w:p w14:paraId="771B273A"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w:t>
            </w:r>
          </w:p>
        </w:tc>
        <w:tc>
          <w:tcPr>
            <w:tcW w:w="990" w:type="dxa"/>
            <w:tcBorders>
              <w:top w:val="single" w:sz="4" w:space="0" w:color="auto"/>
              <w:left w:val="nil"/>
              <w:bottom w:val="single" w:sz="4" w:space="0" w:color="auto"/>
              <w:right w:val="single" w:sz="4" w:space="0" w:color="auto"/>
            </w:tcBorders>
            <w:shd w:val="clear" w:color="000000" w:fill="E2EFDA"/>
            <w:noWrap/>
            <w:vAlign w:val="bottom"/>
            <w:hideMark/>
          </w:tcPr>
          <w:p w14:paraId="67BCE004"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Costo unitario (USD)</w:t>
            </w:r>
          </w:p>
        </w:tc>
        <w:tc>
          <w:tcPr>
            <w:tcW w:w="851" w:type="dxa"/>
            <w:tcBorders>
              <w:top w:val="single" w:sz="4" w:space="0" w:color="auto"/>
              <w:left w:val="nil"/>
              <w:bottom w:val="single" w:sz="4" w:space="0" w:color="auto"/>
              <w:right w:val="single" w:sz="4" w:space="0" w:color="auto"/>
            </w:tcBorders>
            <w:shd w:val="clear" w:color="000000" w:fill="E2EFDA"/>
            <w:noWrap/>
            <w:vAlign w:val="bottom"/>
            <w:hideMark/>
          </w:tcPr>
          <w:p w14:paraId="53EAF4B6"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 xml:space="preserve">Cantidad </w:t>
            </w:r>
          </w:p>
        </w:tc>
        <w:tc>
          <w:tcPr>
            <w:tcW w:w="852" w:type="dxa"/>
            <w:tcBorders>
              <w:top w:val="single" w:sz="4" w:space="0" w:color="auto"/>
              <w:left w:val="nil"/>
              <w:bottom w:val="single" w:sz="4" w:space="0" w:color="auto"/>
              <w:right w:val="single" w:sz="4" w:space="0" w:color="auto"/>
            </w:tcBorders>
            <w:shd w:val="clear" w:color="000000" w:fill="E2EFDA"/>
            <w:noWrap/>
            <w:vAlign w:val="bottom"/>
            <w:hideMark/>
          </w:tcPr>
          <w:p w14:paraId="77BABC3C"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Unidad</w:t>
            </w:r>
          </w:p>
        </w:tc>
        <w:tc>
          <w:tcPr>
            <w:tcW w:w="1133" w:type="dxa"/>
            <w:gridSpan w:val="2"/>
            <w:tcBorders>
              <w:top w:val="single" w:sz="4" w:space="0" w:color="auto"/>
              <w:left w:val="nil"/>
              <w:bottom w:val="single" w:sz="4" w:space="0" w:color="auto"/>
              <w:right w:val="single" w:sz="4" w:space="0" w:color="auto"/>
            </w:tcBorders>
            <w:shd w:val="clear" w:color="000000" w:fill="E2EFDA"/>
            <w:noWrap/>
            <w:vAlign w:val="bottom"/>
            <w:hideMark/>
          </w:tcPr>
          <w:p w14:paraId="51D44CFF"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Total (USD)</w:t>
            </w:r>
          </w:p>
        </w:tc>
        <w:tc>
          <w:tcPr>
            <w:tcW w:w="4820" w:type="dxa"/>
            <w:gridSpan w:val="2"/>
            <w:tcBorders>
              <w:top w:val="single" w:sz="4" w:space="0" w:color="auto"/>
              <w:left w:val="nil"/>
              <w:bottom w:val="single" w:sz="4" w:space="0" w:color="auto"/>
              <w:right w:val="single" w:sz="4" w:space="0" w:color="auto"/>
            </w:tcBorders>
            <w:shd w:val="clear" w:color="000000" w:fill="E2EFDA"/>
            <w:noWrap/>
            <w:vAlign w:val="bottom"/>
            <w:hideMark/>
          </w:tcPr>
          <w:p w14:paraId="589AAE93"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Comentarios o detalles</w:t>
            </w:r>
          </w:p>
        </w:tc>
      </w:tr>
      <w:tr w:rsidR="005E132F" w:rsidRPr="005E132F" w14:paraId="22D5598F" w14:textId="77777777" w:rsidTr="005E132F">
        <w:trPr>
          <w:trHeight w:val="311"/>
        </w:trPr>
        <w:tc>
          <w:tcPr>
            <w:tcW w:w="566" w:type="dxa"/>
            <w:tcBorders>
              <w:top w:val="nil"/>
              <w:left w:val="single" w:sz="4" w:space="0" w:color="auto"/>
              <w:bottom w:val="single" w:sz="4" w:space="0" w:color="auto"/>
              <w:right w:val="single" w:sz="4" w:space="0" w:color="auto"/>
            </w:tcBorders>
            <w:shd w:val="clear" w:color="auto" w:fill="auto"/>
            <w:noWrap/>
            <w:hideMark/>
          </w:tcPr>
          <w:p w14:paraId="39559F9A"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14</w:t>
            </w:r>
          </w:p>
        </w:tc>
        <w:tc>
          <w:tcPr>
            <w:tcW w:w="1704" w:type="dxa"/>
            <w:tcBorders>
              <w:top w:val="nil"/>
              <w:left w:val="nil"/>
              <w:bottom w:val="single" w:sz="4" w:space="0" w:color="auto"/>
              <w:right w:val="single" w:sz="4" w:space="0" w:color="auto"/>
            </w:tcBorders>
            <w:shd w:val="clear" w:color="auto" w:fill="auto"/>
            <w:hideMark/>
          </w:tcPr>
          <w:p w14:paraId="24D8AFAA" w14:textId="161A8314" w:rsidR="00A81C19" w:rsidRPr="005E132F" w:rsidRDefault="0005724E">
            <w:pPr>
              <w:rPr>
                <w:rFonts w:ascii="Arial Narrow" w:hAnsi="Arial Narrow"/>
                <w:color w:val="000000"/>
                <w:sz w:val="12"/>
                <w:szCs w:val="12"/>
              </w:rPr>
            </w:pPr>
            <w:r w:rsidRPr="005E132F">
              <w:rPr>
                <w:rFonts w:ascii="Arial Narrow" w:hAnsi="Arial Narrow"/>
                <w:color w:val="000000"/>
                <w:sz w:val="12"/>
                <w:szCs w:val="12"/>
              </w:rPr>
              <w:t>Evaluación</w:t>
            </w:r>
            <w:r w:rsidR="00A81C19" w:rsidRPr="005E132F">
              <w:rPr>
                <w:rFonts w:ascii="Arial Narrow" w:hAnsi="Arial Narrow"/>
                <w:color w:val="000000"/>
                <w:sz w:val="12"/>
                <w:szCs w:val="12"/>
              </w:rPr>
              <w:t xml:space="preserve"> del proyecto </w:t>
            </w:r>
          </w:p>
        </w:tc>
        <w:tc>
          <w:tcPr>
            <w:tcW w:w="990" w:type="dxa"/>
            <w:tcBorders>
              <w:top w:val="nil"/>
              <w:left w:val="nil"/>
              <w:bottom w:val="single" w:sz="4" w:space="0" w:color="auto"/>
              <w:right w:val="single" w:sz="4" w:space="0" w:color="auto"/>
            </w:tcBorders>
            <w:shd w:val="clear" w:color="auto" w:fill="auto"/>
            <w:noWrap/>
            <w:hideMark/>
          </w:tcPr>
          <w:p w14:paraId="27D7C2A2"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3,500.00</w:t>
            </w:r>
          </w:p>
        </w:tc>
        <w:tc>
          <w:tcPr>
            <w:tcW w:w="851" w:type="dxa"/>
            <w:tcBorders>
              <w:top w:val="nil"/>
              <w:left w:val="nil"/>
              <w:bottom w:val="single" w:sz="4" w:space="0" w:color="auto"/>
              <w:right w:val="single" w:sz="4" w:space="0" w:color="auto"/>
            </w:tcBorders>
            <w:shd w:val="clear" w:color="auto" w:fill="auto"/>
            <w:noWrap/>
            <w:hideMark/>
          </w:tcPr>
          <w:p w14:paraId="1B528B55"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48B8047C"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5690E342"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3,500.00</w:t>
            </w:r>
          </w:p>
        </w:tc>
        <w:tc>
          <w:tcPr>
            <w:tcW w:w="4820" w:type="dxa"/>
            <w:gridSpan w:val="2"/>
            <w:tcBorders>
              <w:top w:val="nil"/>
              <w:left w:val="nil"/>
              <w:bottom w:val="single" w:sz="4" w:space="0" w:color="auto"/>
              <w:right w:val="single" w:sz="4" w:space="0" w:color="auto"/>
            </w:tcBorders>
            <w:shd w:val="clear" w:color="auto" w:fill="auto"/>
            <w:hideMark/>
          </w:tcPr>
          <w:p w14:paraId="0F6B4F7E"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Una sola evaluación para los seis proyectos de Perú. Costo total de servicios de evaluación para los seis proyectos: USD21,000 que deben incluir honorarios profesionales de evaluadores y viajes a las regiones. Costo por proyecto USD3,500</w:t>
            </w:r>
          </w:p>
        </w:tc>
      </w:tr>
      <w:tr w:rsidR="005E132F" w:rsidRPr="005E132F" w14:paraId="2536900D" w14:textId="77777777" w:rsidTr="005E132F">
        <w:trPr>
          <w:trHeight w:val="73"/>
        </w:trPr>
        <w:tc>
          <w:tcPr>
            <w:tcW w:w="566" w:type="dxa"/>
            <w:tcBorders>
              <w:top w:val="nil"/>
              <w:left w:val="single" w:sz="4" w:space="0" w:color="auto"/>
              <w:bottom w:val="single" w:sz="4" w:space="0" w:color="auto"/>
              <w:right w:val="single" w:sz="4" w:space="0" w:color="auto"/>
            </w:tcBorders>
            <w:shd w:val="clear" w:color="auto" w:fill="auto"/>
            <w:noWrap/>
            <w:hideMark/>
          </w:tcPr>
          <w:p w14:paraId="6DD9930C"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15</w:t>
            </w:r>
          </w:p>
        </w:tc>
        <w:tc>
          <w:tcPr>
            <w:tcW w:w="1704" w:type="dxa"/>
            <w:tcBorders>
              <w:top w:val="nil"/>
              <w:left w:val="nil"/>
              <w:bottom w:val="single" w:sz="4" w:space="0" w:color="auto"/>
              <w:right w:val="single" w:sz="4" w:space="0" w:color="auto"/>
            </w:tcBorders>
            <w:shd w:val="clear" w:color="auto" w:fill="auto"/>
            <w:hideMark/>
          </w:tcPr>
          <w:p w14:paraId="4EEB13DE"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Monitoreo del proyecto</w:t>
            </w:r>
          </w:p>
        </w:tc>
        <w:tc>
          <w:tcPr>
            <w:tcW w:w="990" w:type="dxa"/>
            <w:tcBorders>
              <w:top w:val="nil"/>
              <w:left w:val="nil"/>
              <w:bottom w:val="single" w:sz="4" w:space="0" w:color="auto"/>
              <w:right w:val="single" w:sz="4" w:space="0" w:color="auto"/>
            </w:tcBorders>
            <w:shd w:val="clear" w:color="auto" w:fill="auto"/>
            <w:noWrap/>
            <w:hideMark/>
          </w:tcPr>
          <w:p w14:paraId="2B6603B1"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10,000.00</w:t>
            </w:r>
          </w:p>
        </w:tc>
        <w:tc>
          <w:tcPr>
            <w:tcW w:w="851" w:type="dxa"/>
            <w:tcBorders>
              <w:top w:val="nil"/>
              <w:left w:val="nil"/>
              <w:bottom w:val="single" w:sz="4" w:space="0" w:color="auto"/>
              <w:right w:val="single" w:sz="4" w:space="0" w:color="auto"/>
            </w:tcBorders>
            <w:shd w:val="clear" w:color="auto" w:fill="auto"/>
            <w:noWrap/>
            <w:hideMark/>
          </w:tcPr>
          <w:p w14:paraId="03A86131"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6DA537A4"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76547A2C"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10,000.00</w:t>
            </w:r>
          </w:p>
        </w:tc>
        <w:tc>
          <w:tcPr>
            <w:tcW w:w="4820" w:type="dxa"/>
            <w:gridSpan w:val="2"/>
            <w:tcBorders>
              <w:top w:val="nil"/>
              <w:left w:val="nil"/>
              <w:bottom w:val="single" w:sz="4" w:space="0" w:color="auto"/>
              <w:right w:val="single" w:sz="4" w:space="0" w:color="auto"/>
            </w:tcBorders>
            <w:shd w:val="clear" w:color="auto" w:fill="auto"/>
            <w:hideMark/>
          </w:tcPr>
          <w:p w14:paraId="21DFE3E5"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Tiempo parcial de un especialista a nivel de programa para reportes técnicos</w:t>
            </w:r>
          </w:p>
        </w:tc>
      </w:tr>
      <w:tr w:rsidR="005E132F" w:rsidRPr="005E132F" w14:paraId="63CDFBFA" w14:textId="77777777" w:rsidTr="005E132F">
        <w:trPr>
          <w:trHeight w:val="73"/>
        </w:trPr>
        <w:tc>
          <w:tcPr>
            <w:tcW w:w="566" w:type="dxa"/>
            <w:tcBorders>
              <w:top w:val="nil"/>
              <w:left w:val="single" w:sz="4" w:space="0" w:color="auto"/>
              <w:bottom w:val="single" w:sz="4" w:space="0" w:color="auto"/>
              <w:right w:val="single" w:sz="4" w:space="0" w:color="auto"/>
            </w:tcBorders>
            <w:shd w:val="clear" w:color="auto" w:fill="auto"/>
            <w:noWrap/>
            <w:hideMark/>
          </w:tcPr>
          <w:p w14:paraId="3940FD9E" w14:textId="77777777" w:rsidR="00A81C19" w:rsidRPr="005E132F" w:rsidRDefault="00A81C19">
            <w:pPr>
              <w:jc w:val="center"/>
              <w:rPr>
                <w:rFonts w:ascii="Arial Narrow" w:hAnsi="Arial Narrow"/>
                <w:color w:val="000000"/>
                <w:sz w:val="12"/>
                <w:szCs w:val="12"/>
              </w:rPr>
            </w:pPr>
            <w:r w:rsidRPr="005E132F">
              <w:rPr>
                <w:rFonts w:ascii="Arial Narrow" w:hAnsi="Arial Narrow"/>
                <w:color w:val="000000"/>
                <w:sz w:val="12"/>
                <w:szCs w:val="12"/>
              </w:rPr>
              <w:t>16</w:t>
            </w:r>
          </w:p>
        </w:tc>
        <w:tc>
          <w:tcPr>
            <w:tcW w:w="1704" w:type="dxa"/>
            <w:tcBorders>
              <w:top w:val="nil"/>
              <w:left w:val="nil"/>
              <w:bottom w:val="single" w:sz="4" w:space="0" w:color="auto"/>
              <w:right w:val="single" w:sz="4" w:space="0" w:color="auto"/>
            </w:tcBorders>
            <w:shd w:val="clear" w:color="auto" w:fill="auto"/>
            <w:hideMark/>
          </w:tcPr>
          <w:p w14:paraId="0D4E6766"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Consultoría de género</w:t>
            </w:r>
          </w:p>
        </w:tc>
        <w:tc>
          <w:tcPr>
            <w:tcW w:w="990" w:type="dxa"/>
            <w:tcBorders>
              <w:top w:val="nil"/>
              <w:left w:val="nil"/>
              <w:bottom w:val="single" w:sz="4" w:space="0" w:color="auto"/>
              <w:right w:val="single" w:sz="4" w:space="0" w:color="auto"/>
            </w:tcBorders>
            <w:shd w:val="clear" w:color="auto" w:fill="auto"/>
            <w:noWrap/>
            <w:hideMark/>
          </w:tcPr>
          <w:p w14:paraId="13E17518"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2,500.00</w:t>
            </w:r>
          </w:p>
        </w:tc>
        <w:tc>
          <w:tcPr>
            <w:tcW w:w="851" w:type="dxa"/>
            <w:tcBorders>
              <w:top w:val="nil"/>
              <w:left w:val="nil"/>
              <w:bottom w:val="single" w:sz="4" w:space="0" w:color="auto"/>
              <w:right w:val="single" w:sz="4" w:space="0" w:color="auto"/>
            </w:tcBorders>
            <w:shd w:val="clear" w:color="auto" w:fill="auto"/>
            <w:noWrap/>
            <w:hideMark/>
          </w:tcPr>
          <w:p w14:paraId="4B55E6AB"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1</w:t>
            </w:r>
          </w:p>
        </w:tc>
        <w:tc>
          <w:tcPr>
            <w:tcW w:w="852" w:type="dxa"/>
            <w:tcBorders>
              <w:top w:val="nil"/>
              <w:left w:val="nil"/>
              <w:bottom w:val="single" w:sz="4" w:space="0" w:color="auto"/>
              <w:right w:val="single" w:sz="4" w:space="0" w:color="auto"/>
            </w:tcBorders>
            <w:shd w:val="clear" w:color="auto" w:fill="auto"/>
            <w:noWrap/>
            <w:hideMark/>
          </w:tcPr>
          <w:p w14:paraId="397F1CDE" w14:textId="77777777" w:rsidR="00A81C19" w:rsidRPr="005E132F" w:rsidRDefault="00A81C19">
            <w:pPr>
              <w:rPr>
                <w:rFonts w:ascii="Arial Narrow" w:hAnsi="Arial Narrow"/>
                <w:color w:val="000000"/>
                <w:sz w:val="12"/>
                <w:szCs w:val="12"/>
              </w:rPr>
            </w:pPr>
            <w:r w:rsidRPr="005E132F">
              <w:rPr>
                <w:rFonts w:ascii="Arial Narrow" w:hAnsi="Arial Narrow"/>
                <w:color w:val="000000"/>
                <w:sz w:val="12"/>
                <w:szCs w:val="12"/>
              </w:rPr>
              <w:t>servicio</w:t>
            </w:r>
          </w:p>
        </w:tc>
        <w:tc>
          <w:tcPr>
            <w:tcW w:w="1133" w:type="dxa"/>
            <w:gridSpan w:val="2"/>
            <w:tcBorders>
              <w:top w:val="nil"/>
              <w:left w:val="nil"/>
              <w:bottom w:val="single" w:sz="4" w:space="0" w:color="auto"/>
              <w:right w:val="single" w:sz="4" w:space="0" w:color="auto"/>
            </w:tcBorders>
            <w:shd w:val="clear" w:color="auto" w:fill="auto"/>
            <w:noWrap/>
            <w:hideMark/>
          </w:tcPr>
          <w:p w14:paraId="5C8335F5" w14:textId="77777777" w:rsidR="00A81C19" w:rsidRPr="005E132F" w:rsidRDefault="00A81C19">
            <w:pPr>
              <w:jc w:val="right"/>
              <w:rPr>
                <w:rFonts w:ascii="Arial Narrow" w:hAnsi="Arial Narrow"/>
                <w:color w:val="000000"/>
                <w:sz w:val="12"/>
                <w:szCs w:val="12"/>
              </w:rPr>
            </w:pPr>
            <w:r w:rsidRPr="005E132F">
              <w:rPr>
                <w:rFonts w:ascii="Arial Narrow" w:hAnsi="Arial Narrow"/>
                <w:color w:val="000000"/>
                <w:sz w:val="12"/>
                <w:szCs w:val="12"/>
              </w:rPr>
              <w:t>USD 2,500.00</w:t>
            </w:r>
          </w:p>
        </w:tc>
        <w:tc>
          <w:tcPr>
            <w:tcW w:w="4820" w:type="dxa"/>
            <w:gridSpan w:val="2"/>
            <w:tcBorders>
              <w:top w:val="nil"/>
              <w:left w:val="nil"/>
              <w:bottom w:val="single" w:sz="4" w:space="0" w:color="auto"/>
              <w:right w:val="single" w:sz="4" w:space="0" w:color="auto"/>
            </w:tcBorders>
            <w:shd w:val="clear" w:color="auto" w:fill="auto"/>
            <w:hideMark/>
          </w:tcPr>
          <w:p w14:paraId="30B9D285" w14:textId="0FEDEA2E" w:rsidR="00A81C19" w:rsidRPr="005E132F" w:rsidRDefault="0005724E">
            <w:pPr>
              <w:rPr>
                <w:rFonts w:ascii="Arial Narrow" w:hAnsi="Arial Narrow"/>
                <w:color w:val="000000"/>
                <w:sz w:val="12"/>
                <w:szCs w:val="12"/>
              </w:rPr>
            </w:pPr>
            <w:r>
              <w:rPr>
                <w:rFonts w:ascii="Arial Narrow" w:hAnsi="Arial Narrow"/>
                <w:color w:val="000000"/>
                <w:sz w:val="12"/>
                <w:szCs w:val="12"/>
              </w:rPr>
              <w:t>C</w:t>
            </w:r>
            <w:r w:rsidRPr="005E132F">
              <w:rPr>
                <w:rFonts w:ascii="Arial Narrow" w:hAnsi="Arial Narrow"/>
                <w:color w:val="000000"/>
                <w:sz w:val="12"/>
                <w:szCs w:val="12"/>
              </w:rPr>
              <w:t>onsultoría</w:t>
            </w:r>
            <w:r w:rsidR="00A81C19" w:rsidRPr="005E132F">
              <w:rPr>
                <w:rFonts w:ascii="Arial Narrow" w:hAnsi="Arial Narrow"/>
                <w:color w:val="000000"/>
                <w:sz w:val="12"/>
                <w:szCs w:val="12"/>
              </w:rPr>
              <w:t xml:space="preserve"> de género para indicadores y monitoreo</w:t>
            </w:r>
          </w:p>
        </w:tc>
      </w:tr>
      <w:tr w:rsidR="005E132F" w:rsidRPr="005E132F" w14:paraId="4E1E1A70" w14:textId="77777777" w:rsidTr="005E132F">
        <w:trPr>
          <w:trHeight w:val="73"/>
        </w:trPr>
        <w:tc>
          <w:tcPr>
            <w:tcW w:w="5741" w:type="dxa"/>
            <w:gridSpan w:val="6"/>
            <w:tcBorders>
              <w:top w:val="nil"/>
              <w:left w:val="single" w:sz="4" w:space="0" w:color="auto"/>
              <w:bottom w:val="single" w:sz="4" w:space="0" w:color="auto"/>
              <w:right w:val="single" w:sz="4" w:space="0" w:color="auto"/>
            </w:tcBorders>
            <w:shd w:val="clear" w:color="000000" w:fill="BFBFBF"/>
            <w:noWrap/>
            <w:vAlign w:val="bottom"/>
            <w:hideMark/>
          </w:tcPr>
          <w:p w14:paraId="1C5841E8" w14:textId="078E6114"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Subtotal evaluaciones y monitoreo</w:t>
            </w:r>
          </w:p>
        </w:tc>
        <w:tc>
          <w:tcPr>
            <w:tcW w:w="5175" w:type="dxa"/>
            <w:gridSpan w:val="3"/>
            <w:tcBorders>
              <w:top w:val="single" w:sz="4" w:space="0" w:color="auto"/>
              <w:left w:val="nil"/>
              <w:bottom w:val="single" w:sz="4" w:space="0" w:color="auto"/>
              <w:right w:val="single" w:sz="4" w:space="0" w:color="auto"/>
            </w:tcBorders>
            <w:shd w:val="clear" w:color="000000" w:fill="BFBFBF"/>
            <w:vAlign w:val="bottom"/>
          </w:tcPr>
          <w:p w14:paraId="2875E6A5" w14:textId="739AE961"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USD 16,000.00</w:t>
            </w:r>
          </w:p>
        </w:tc>
      </w:tr>
      <w:tr w:rsidR="005E132F" w:rsidRPr="005E132F" w14:paraId="5BC970B5" w14:textId="77777777" w:rsidTr="005E132F">
        <w:trPr>
          <w:trHeight w:val="73"/>
        </w:trPr>
        <w:tc>
          <w:tcPr>
            <w:tcW w:w="5741" w:type="dxa"/>
            <w:gridSpan w:val="6"/>
            <w:tcBorders>
              <w:top w:val="nil"/>
              <w:left w:val="single" w:sz="4" w:space="0" w:color="auto"/>
              <w:bottom w:val="single" w:sz="4" w:space="0" w:color="auto"/>
              <w:right w:val="single" w:sz="4" w:space="0" w:color="000000"/>
            </w:tcBorders>
            <w:shd w:val="clear" w:color="000000" w:fill="A6A6A6"/>
            <w:noWrap/>
            <w:vAlign w:val="bottom"/>
            <w:hideMark/>
          </w:tcPr>
          <w:p w14:paraId="3641BB44" w14:textId="6AD031FA"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Total Costos directos</w:t>
            </w:r>
          </w:p>
        </w:tc>
        <w:tc>
          <w:tcPr>
            <w:tcW w:w="5175" w:type="dxa"/>
            <w:gridSpan w:val="3"/>
            <w:tcBorders>
              <w:top w:val="single" w:sz="4" w:space="0" w:color="auto"/>
              <w:left w:val="nil"/>
              <w:bottom w:val="single" w:sz="4" w:space="0" w:color="auto"/>
              <w:right w:val="single" w:sz="4" w:space="0" w:color="000000"/>
            </w:tcBorders>
            <w:shd w:val="clear" w:color="000000" w:fill="A6A6A6"/>
            <w:vAlign w:val="bottom"/>
          </w:tcPr>
          <w:p w14:paraId="4FB1319F" w14:textId="18F81677" w:rsidR="005E132F" w:rsidRPr="005E132F" w:rsidRDefault="005E132F">
            <w:pPr>
              <w:jc w:val="center"/>
              <w:rPr>
                <w:rFonts w:ascii="Arial Narrow" w:hAnsi="Arial Narrow"/>
                <w:b/>
                <w:bCs/>
                <w:color w:val="000000"/>
                <w:sz w:val="12"/>
                <w:szCs w:val="12"/>
              </w:rPr>
            </w:pPr>
            <w:r w:rsidRPr="005E132F">
              <w:rPr>
                <w:rFonts w:ascii="Arial Narrow" w:hAnsi="Arial Narrow"/>
                <w:b/>
                <w:bCs/>
                <w:color w:val="000000"/>
                <w:sz w:val="12"/>
                <w:szCs w:val="12"/>
              </w:rPr>
              <w:t>USD 364,482.00</w:t>
            </w:r>
          </w:p>
        </w:tc>
      </w:tr>
      <w:tr w:rsidR="005E132F" w:rsidRPr="005E132F" w14:paraId="45764FB8" w14:textId="77777777" w:rsidTr="005E132F">
        <w:trPr>
          <w:trHeight w:val="73"/>
        </w:trPr>
        <w:tc>
          <w:tcPr>
            <w:tcW w:w="8278" w:type="dxa"/>
            <w:gridSpan w:val="8"/>
            <w:tcBorders>
              <w:top w:val="nil"/>
              <w:left w:val="single" w:sz="4" w:space="0" w:color="auto"/>
              <w:bottom w:val="single" w:sz="4" w:space="0" w:color="auto"/>
              <w:right w:val="single" w:sz="4" w:space="0" w:color="000000"/>
            </w:tcBorders>
            <w:shd w:val="clear" w:color="auto" w:fill="auto"/>
            <w:vAlign w:val="bottom"/>
            <w:hideMark/>
          </w:tcPr>
          <w:p w14:paraId="4520E838" w14:textId="20C5E081" w:rsidR="005E132F" w:rsidRPr="005E132F" w:rsidRDefault="005E132F">
            <w:pPr>
              <w:jc w:val="center"/>
              <w:rPr>
                <w:rFonts w:ascii="Arial Narrow" w:hAnsi="Arial Narrow"/>
                <w:color w:val="000000"/>
                <w:sz w:val="12"/>
                <w:szCs w:val="12"/>
              </w:rPr>
            </w:pPr>
            <w:r w:rsidRPr="005E132F">
              <w:rPr>
                <w:rFonts w:ascii="Arial Narrow" w:hAnsi="Arial Narrow"/>
                <w:color w:val="000000"/>
                <w:sz w:val="12"/>
                <w:szCs w:val="12"/>
              </w:rPr>
              <w:t>Costos de administración (7%) EII</w:t>
            </w:r>
          </w:p>
        </w:tc>
        <w:tc>
          <w:tcPr>
            <w:tcW w:w="2638" w:type="dxa"/>
            <w:tcBorders>
              <w:top w:val="nil"/>
              <w:left w:val="single" w:sz="4" w:space="0" w:color="auto"/>
              <w:bottom w:val="single" w:sz="4" w:space="0" w:color="000000"/>
              <w:right w:val="single" w:sz="4" w:space="0" w:color="auto"/>
            </w:tcBorders>
            <w:shd w:val="clear" w:color="auto" w:fill="auto"/>
            <w:vAlign w:val="bottom"/>
            <w:hideMark/>
          </w:tcPr>
          <w:p w14:paraId="1A7995D8" w14:textId="3C2CD784" w:rsidR="005E132F" w:rsidRPr="005E132F" w:rsidRDefault="005E132F" w:rsidP="005E132F">
            <w:pPr>
              <w:jc w:val="right"/>
              <w:rPr>
                <w:rFonts w:ascii="Arial Narrow" w:hAnsi="Arial Narrow"/>
                <w:b/>
                <w:bCs/>
                <w:color w:val="000000"/>
                <w:sz w:val="12"/>
                <w:szCs w:val="12"/>
              </w:rPr>
            </w:pPr>
            <w:r w:rsidRPr="005E132F">
              <w:rPr>
                <w:rFonts w:ascii="Arial Narrow" w:hAnsi="Arial Narrow"/>
                <w:color w:val="000000"/>
                <w:sz w:val="12"/>
                <w:szCs w:val="12"/>
              </w:rPr>
              <w:t>USD 11,550.00</w:t>
            </w:r>
          </w:p>
        </w:tc>
      </w:tr>
      <w:tr w:rsidR="005E132F" w:rsidRPr="005E132F" w14:paraId="5CD651F6" w14:textId="77777777" w:rsidTr="005E132F">
        <w:trPr>
          <w:trHeight w:val="73"/>
        </w:trPr>
        <w:tc>
          <w:tcPr>
            <w:tcW w:w="8278" w:type="dxa"/>
            <w:gridSpan w:val="8"/>
            <w:tcBorders>
              <w:top w:val="nil"/>
              <w:left w:val="single" w:sz="4" w:space="0" w:color="auto"/>
              <w:bottom w:val="single" w:sz="4" w:space="0" w:color="auto"/>
              <w:right w:val="single" w:sz="4" w:space="0" w:color="000000"/>
            </w:tcBorders>
            <w:shd w:val="clear" w:color="auto" w:fill="auto"/>
            <w:vAlign w:val="bottom"/>
            <w:hideMark/>
          </w:tcPr>
          <w:p w14:paraId="496C0CE5" w14:textId="5358A915" w:rsidR="005E132F" w:rsidRPr="005E132F" w:rsidRDefault="005E132F">
            <w:pPr>
              <w:jc w:val="center"/>
              <w:rPr>
                <w:rFonts w:ascii="Arial Narrow" w:hAnsi="Arial Narrow"/>
                <w:color w:val="000000"/>
                <w:sz w:val="12"/>
                <w:szCs w:val="12"/>
              </w:rPr>
            </w:pPr>
            <w:r w:rsidRPr="005E132F">
              <w:rPr>
                <w:rFonts w:ascii="Arial Narrow" w:hAnsi="Arial Narrow"/>
                <w:color w:val="000000"/>
                <w:sz w:val="12"/>
                <w:szCs w:val="12"/>
              </w:rPr>
              <w:t>Costos de administración (7%) APECO</w:t>
            </w:r>
          </w:p>
        </w:tc>
        <w:tc>
          <w:tcPr>
            <w:tcW w:w="2638" w:type="dxa"/>
            <w:tcBorders>
              <w:top w:val="nil"/>
              <w:left w:val="single" w:sz="4" w:space="0" w:color="auto"/>
              <w:bottom w:val="single" w:sz="4" w:space="0" w:color="000000"/>
              <w:right w:val="single" w:sz="4" w:space="0" w:color="auto"/>
            </w:tcBorders>
            <w:shd w:val="clear" w:color="auto" w:fill="auto"/>
            <w:vAlign w:val="bottom"/>
            <w:hideMark/>
          </w:tcPr>
          <w:p w14:paraId="51379830" w14:textId="1F54C350" w:rsidR="005E132F" w:rsidRPr="005E132F" w:rsidRDefault="005E132F" w:rsidP="005E132F">
            <w:pPr>
              <w:jc w:val="right"/>
              <w:rPr>
                <w:rFonts w:ascii="Arial Narrow" w:hAnsi="Arial Narrow"/>
                <w:b/>
                <w:bCs/>
                <w:color w:val="000000"/>
                <w:sz w:val="12"/>
                <w:szCs w:val="12"/>
              </w:rPr>
            </w:pPr>
            <w:r w:rsidRPr="005E132F">
              <w:rPr>
                <w:rFonts w:ascii="Arial Narrow" w:hAnsi="Arial Narrow"/>
                <w:color w:val="000000"/>
                <w:sz w:val="12"/>
                <w:szCs w:val="12"/>
              </w:rPr>
              <w:t>USD 7,927.50</w:t>
            </w:r>
          </w:p>
        </w:tc>
      </w:tr>
      <w:tr w:rsidR="005E132F" w:rsidRPr="005E132F" w14:paraId="67D7B0FC" w14:textId="77777777" w:rsidTr="005E132F">
        <w:trPr>
          <w:trHeight w:val="73"/>
        </w:trPr>
        <w:tc>
          <w:tcPr>
            <w:tcW w:w="8278" w:type="dxa"/>
            <w:gridSpan w:val="8"/>
            <w:tcBorders>
              <w:top w:val="nil"/>
              <w:left w:val="single" w:sz="4" w:space="0" w:color="auto"/>
              <w:bottom w:val="single" w:sz="4" w:space="0" w:color="auto"/>
              <w:right w:val="single" w:sz="4" w:space="0" w:color="000000"/>
            </w:tcBorders>
            <w:shd w:val="clear" w:color="auto" w:fill="auto"/>
            <w:vAlign w:val="bottom"/>
            <w:hideMark/>
          </w:tcPr>
          <w:p w14:paraId="6C9CDD30" w14:textId="3A949421" w:rsidR="005E132F" w:rsidRPr="005E132F" w:rsidRDefault="005E132F">
            <w:pPr>
              <w:jc w:val="center"/>
              <w:rPr>
                <w:rFonts w:ascii="Arial Narrow" w:hAnsi="Arial Narrow"/>
                <w:color w:val="000000"/>
                <w:sz w:val="12"/>
                <w:szCs w:val="12"/>
              </w:rPr>
            </w:pPr>
            <w:r w:rsidRPr="005E132F">
              <w:rPr>
                <w:rFonts w:ascii="Arial Narrow" w:hAnsi="Arial Narrow"/>
                <w:color w:val="000000"/>
                <w:sz w:val="12"/>
                <w:szCs w:val="12"/>
              </w:rPr>
              <w:t>Costos de administración (7%)  NCI</w:t>
            </w:r>
          </w:p>
        </w:tc>
        <w:tc>
          <w:tcPr>
            <w:tcW w:w="2638" w:type="dxa"/>
            <w:tcBorders>
              <w:top w:val="nil"/>
              <w:left w:val="single" w:sz="4" w:space="0" w:color="auto"/>
              <w:bottom w:val="single" w:sz="4" w:space="0" w:color="000000"/>
              <w:right w:val="single" w:sz="4" w:space="0" w:color="auto"/>
            </w:tcBorders>
            <w:shd w:val="clear" w:color="auto" w:fill="auto"/>
            <w:vAlign w:val="bottom"/>
            <w:hideMark/>
          </w:tcPr>
          <w:p w14:paraId="58DE6BBA" w14:textId="11D59E2B" w:rsidR="005E132F" w:rsidRPr="005E132F" w:rsidRDefault="005E132F" w:rsidP="005E132F">
            <w:pPr>
              <w:jc w:val="right"/>
              <w:rPr>
                <w:rFonts w:ascii="Arial Narrow" w:hAnsi="Arial Narrow"/>
                <w:b/>
                <w:bCs/>
                <w:color w:val="000000"/>
                <w:sz w:val="12"/>
                <w:szCs w:val="12"/>
              </w:rPr>
            </w:pPr>
            <w:r w:rsidRPr="005E132F">
              <w:rPr>
                <w:rFonts w:ascii="Arial Narrow" w:hAnsi="Arial Narrow"/>
                <w:color w:val="000000"/>
                <w:sz w:val="12"/>
                <w:szCs w:val="12"/>
              </w:rPr>
              <w:t>USD 4,368.00</w:t>
            </w:r>
          </w:p>
        </w:tc>
      </w:tr>
      <w:tr w:rsidR="005E132F" w:rsidRPr="005E132F" w14:paraId="3D5DEC74" w14:textId="77777777" w:rsidTr="005E132F">
        <w:trPr>
          <w:trHeight w:val="73"/>
        </w:trPr>
        <w:tc>
          <w:tcPr>
            <w:tcW w:w="8278" w:type="dxa"/>
            <w:gridSpan w:val="8"/>
            <w:tcBorders>
              <w:top w:val="nil"/>
              <w:left w:val="single" w:sz="4" w:space="0" w:color="auto"/>
              <w:bottom w:val="single" w:sz="4" w:space="0" w:color="auto"/>
              <w:right w:val="single" w:sz="4" w:space="0" w:color="000000"/>
            </w:tcBorders>
            <w:shd w:val="clear" w:color="auto" w:fill="auto"/>
            <w:vAlign w:val="bottom"/>
            <w:hideMark/>
          </w:tcPr>
          <w:p w14:paraId="172F6875" w14:textId="4EBFA8B7" w:rsidR="005E132F" w:rsidRPr="005E132F" w:rsidRDefault="005E132F">
            <w:pPr>
              <w:jc w:val="center"/>
              <w:rPr>
                <w:rFonts w:ascii="Arial Narrow" w:hAnsi="Arial Narrow"/>
                <w:color w:val="000000"/>
                <w:sz w:val="12"/>
                <w:szCs w:val="12"/>
              </w:rPr>
            </w:pPr>
            <w:r w:rsidRPr="005E132F">
              <w:rPr>
                <w:rFonts w:ascii="Arial Narrow" w:hAnsi="Arial Narrow"/>
                <w:color w:val="000000"/>
                <w:sz w:val="12"/>
                <w:szCs w:val="12"/>
              </w:rPr>
              <w:t>Costos de administración (7%) ICRAF</w:t>
            </w:r>
          </w:p>
        </w:tc>
        <w:tc>
          <w:tcPr>
            <w:tcW w:w="2638" w:type="dxa"/>
            <w:tcBorders>
              <w:top w:val="nil"/>
              <w:left w:val="single" w:sz="4" w:space="0" w:color="auto"/>
              <w:bottom w:val="single" w:sz="4" w:space="0" w:color="000000"/>
              <w:right w:val="single" w:sz="4" w:space="0" w:color="auto"/>
            </w:tcBorders>
            <w:shd w:val="clear" w:color="auto" w:fill="auto"/>
            <w:vAlign w:val="bottom"/>
            <w:hideMark/>
          </w:tcPr>
          <w:p w14:paraId="10C70029" w14:textId="4B21A3BF" w:rsidR="005E132F" w:rsidRPr="005E132F" w:rsidRDefault="005E132F" w:rsidP="005E132F">
            <w:pPr>
              <w:jc w:val="right"/>
              <w:rPr>
                <w:rFonts w:ascii="Arial Narrow" w:hAnsi="Arial Narrow"/>
                <w:b/>
                <w:bCs/>
                <w:color w:val="000000"/>
                <w:sz w:val="12"/>
                <w:szCs w:val="12"/>
              </w:rPr>
            </w:pPr>
            <w:r w:rsidRPr="005E132F">
              <w:rPr>
                <w:rFonts w:ascii="Arial Narrow" w:hAnsi="Arial Narrow"/>
                <w:color w:val="000000"/>
                <w:sz w:val="12"/>
                <w:szCs w:val="12"/>
              </w:rPr>
              <w:t>USD 883.19</w:t>
            </w:r>
          </w:p>
        </w:tc>
      </w:tr>
      <w:tr w:rsidR="005E132F" w:rsidRPr="005E132F" w14:paraId="0FC1A427" w14:textId="77777777" w:rsidTr="005E132F">
        <w:trPr>
          <w:trHeight w:val="73"/>
        </w:trPr>
        <w:tc>
          <w:tcPr>
            <w:tcW w:w="8278" w:type="dxa"/>
            <w:gridSpan w:val="8"/>
            <w:tcBorders>
              <w:top w:val="nil"/>
              <w:left w:val="single" w:sz="4" w:space="0" w:color="auto"/>
              <w:bottom w:val="single" w:sz="4" w:space="0" w:color="auto"/>
              <w:right w:val="single" w:sz="4" w:space="0" w:color="000000"/>
            </w:tcBorders>
            <w:shd w:val="clear" w:color="auto" w:fill="auto"/>
            <w:vAlign w:val="bottom"/>
            <w:hideMark/>
          </w:tcPr>
          <w:p w14:paraId="08D96D2A" w14:textId="1223605F" w:rsidR="005E132F" w:rsidRPr="005E132F" w:rsidRDefault="005E132F">
            <w:pPr>
              <w:jc w:val="center"/>
              <w:rPr>
                <w:rFonts w:ascii="Arial Narrow" w:hAnsi="Arial Narrow"/>
                <w:color w:val="000000"/>
                <w:sz w:val="12"/>
                <w:szCs w:val="12"/>
              </w:rPr>
            </w:pPr>
            <w:r w:rsidRPr="005E132F">
              <w:rPr>
                <w:rFonts w:ascii="Arial Narrow" w:hAnsi="Arial Narrow"/>
                <w:color w:val="000000"/>
                <w:sz w:val="12"/>
                <w:szCs w:val="12"/>
              </w:rPr>
              <w:t>Costos de admi</w:t>
            </w:r>
            <w:r w:rsidR="0005724E">
              <w:rPr>
                <w:rFonts w:ascii="Arial Narrow" w:hAnsi="Arial Narrow"/>
                <w:color w:val="000000"/>
                <w:sz w:val="12"/>
                <w:szCs w:val="12"/>
              </w:rPr>
              <w:t>n</w:t>
            </w:r>
            <w:r w:rsidRPr="005E132F">
              <w:rPr>
                <w:rFonts w:ascii="Arial Narrow" w:hAnsi="Arial Narrow"/>
                <w:color w:val="000000"/>
                <w:sz w:val="12"/>
                <w:szCs w:val="12"/>
              </w:rPr>
              <w:t xml:space="preserve">istración (7%) Ausejo Consulting </w:t>
            </w:r>
          </w:p>
        </w:tc>
        <w:tc>
          <w:tcPr>
            <w:tcW w:w="2638" w:type="dxa"/>
            <w:tcBorders>
              <w:top w:val="nil"/>
              <w:left w:val="single" w:sz="4" w:space="0" w:color="auto"/>
              <w:bottom w:val="single" w:sz="4" w:space="0" w:color="000000"/>
              <w:right w:val="single" w:sz="4" w:space="0" w:color="auto"/>
            </w:tcBorders>
            <w:shd w:val="clear" w:color="auto" w:fill="auto"/>
            <w:vAlign w:val="bottom"/>
            <w:hideMark/>
          </w:tcPr>
          <w:p w14:paraId="183DA3CD" w14:textId="6493C534" w:rsidR="005E132F" w:rsidRPr="005E132F" w:rsidRDefault="005E132F" w:rsidP="005E132F">
            <w:pPr>
              <w:jc w:val="right"/>
              <w:rPr>
                <w:rFonts w:ascii="Arial Narrow" w:hAnsi="Arial Narrow"/>
                <w:b/>
                <w:bCs/>
                <w:color w:val="000000"/>
                <w:sz w:val="12"/>
                <w:szCs w:val="12"/>
              </w:rPr>
            </w:pPr>
            <w:r w:rsidRPr="005E132F">
              <w:rPr>
                <w:rFonts w:ascii="Arial Narrow" w:hAnsi="Arial Narrow"/>
                <w:color w:val="000000"/>
                <w:sz w:val="12"/>
                <w:szCs w:val="12"/>
              </w:rPr>
              <w:t>USD 785.05</w:t>
            </w:r>
          </w:p>
        </w:tc>
      </w:tr>
      <w:tr w:rsidR="005E132F" w:rsidRPr="005E132F" w14:paraId="53514597" w14:textId="77777777" w:rsidTr="005E132F">
        <w:trPr>
          <w:trHeight w:val="73"/>
        </w:trPr>
        <w:tc>
          <w:tcPr>
            <w:tcW w:w="5741" w:type="dxa"/>
            <w:gridSpan w:val="6"/>
            <w:tcBorders>
              <w:top w:val="nil"/>
              <w:left w:val="single" w:sz="4" w:space="0" w:color="auto"/>
              <w:bottom w:val="single" w:sz="4" w:space="0" w:color="auto"/>
              <w:right w:val="single" w:sz="4" w:space="0" w:color="000000"/>
            </w:tcBorders>
            <w:shd w:val="clear" w:color="000000" w:fill="A6A6A6"/>
            <w:vAlign w:val="bottom"/>
            <w:hideMark/>
          </w:tcPr>
          <w:p w14:paraId="45167DCE" w14:textId="2452866B" w:rsidR="005E132F" w:rsidRPr="005E132F" w:rsidRDefault="005E132F" w:rsidP="005E132F">
            <w:pPr>
              <w:rPr>
                <w:rFonts w:ascii="Arial Narrow" w:hAnsi="Arial Narrow"/>
                <w:b/>
                <w:bCs/>
                <w:color w:val="000000"/>
                <w:sz w:val="12"/>
                <w:szCs w:val="12"/>
              </w:rPr>
            </w:pPr>
            <w:r w:rsidRPr="005E132F">
              <w:rPr>
                <w:rFonts w:ascii="Arial Narrow" w:hAnsi="Arial Narrow"/>
                <w:b/>
                <w:bCs/>
                <w:color w:val="000000"/>
                <w:sz w:val="12"/>
                <w:szCs w:val="12"/>
              </w:rPr>
              <w:t xml:space="preserve">Total costos de administración </w:t>
            </w:r>
          </w:p>
        </w:tc>
        <w:tc>
          <w:tcPr>
            <w:tcW w:w="5175" w:type="dxa"/>
            <w:gridSpan w:val="3"/>
            <w:tcBorders>
              <w:top w:val="single" w:sz="4" w:space="0" w:color="auto"/>
              <w:left w:val="nil"/>
              <w:bottom w:val="single" w:sz="4" w:space="0" w:color="auto"/>
              <w:right w:val="single" w:sz="4" w:space="0" w:color="000000"/>
            </w:tcBorders>
            <w:shd w:val="clear" w:color="000000" w:fill="A6A6A6"/>
            <w:vAlign w:val="bottom"/>
          </w:tcPr>
          <w:p w14:paraId="60DE82EA" w14:textId="117ABB92" w:rsidR="005E132F" w:rsidRPr="005E132F" w:rsidRDefault="005E132F" w:rsidP="005E132F">
            <w:pPr>
              <w:jc w:val="right"/>
              <w:rPr>
                <w:rFonts w:ascii="Arial Narrow" w:hAnsi="Arial Narrow"/>
                <w:b/>
                <w:bCs/>
                <w:color w:val="000000"/>
                <w:sz w:val="12"/>
                <w:szCs w:val="12"/>
              </w:rPr>
            </w:pPr>
            <w:r w:rsidRPr="005E132F">
              <w:rPr>
                <w:rFonts w:ascii="Arial Narrow" w:hAnsi="Arial Narrow"/>
                <w:b/>
                <w:bCs/>
                <w:color w:val="000000"/>
                <w:sz w:val="12"/>
                <w:szCs w:val="12"/>
              </w:rPr>
              <w:t>USD 25,513.74</w:t>
            </w:r>
          </w:p>
        </w:tc>
      </w:tr>
      <w:tr w:rsidR="005E132F" w:rsidRPr="005E132F" w14:paraId="07AC649A" w14:textId="77777777" w:rsidTr="005E132F">
        <w:trPr>
          <w:trHeight w:val="73"/>
        </w:trPr>
        <w:tc>
          <w:tcPr>
            <w:tcW w:w="5741" w:type="dxa"/>
            <w:gridSpan w:val="6"/>
            <w:tcBorders>
              <w:top w:val="nil"/>
              <w:left w:val="single" w:sz="4" w:space="0" w:color="auto"/>
              <w:bottom w:val="single" w:sz="4" w:space="0" w:color="auto"/>
              <w:right w:val="single" w:sz="4" w:space="0" w:color="000000"/>
            </w:tcBorders>
            <w:shd w:val="clear" w:color="000000" w:fill="A6A6A6"/>
            <w:vAlign w:val="bottom"/>
            <w:hideMark/>
          </w:tcPr>
          <w:p w14:paraId="37A596EE" w14:textId="008A08CA" w:rsidR="005E132F" w:rsidRPr="005E132F" w:rsidRDefault="005E132F" w:rsidP="005E132F">
            <w:pPr>
              <w:rPr>
                <w:rFonts w:ascii="Arial Narrow" w:hAnsi="Arial Narrow"/>
                <w:b/>
                <w:bCs/>
                <w:color w:val="000000"/>
                <w:sz w:val="12"/>
                <w:szCs w:val="12"/>
              </w:rPr>
            </w:pPr>
            <w:r w:rsidRPr="005E132F">
              <w:rPr>
                <w:rFonts w:ascii="Arial Narrow" w:hAnsi="Arial Narrow"/>
                <w:b/>
                <w:bCs/>
                <w:color w:val="000000"/>
                <w:sz w:val="12"/>
                <w:szCs w:val="12"/>
              </w:rPr>
              <w:t>Total del proyecto (costos directos e indirectos)</w:t>
            </w:r>
          </w:p>
        </w:tc>
        <w:tc>
          <w:tcPr>
            <w:tcW w:w="5175" w:type="dxa"/>
            <w:gridSpan w:val="3"/>
            <w:tcBorders>
              <w:top w:val="single" w:sz="4" w:space="0" w:color="auto"/>
              <w:left w:val="nil"/>
              <w:bottom w:val="single" w:sz="4" w:space="0" w:color="auto"/>
              <w:right w:val="single" w:sz="4" w:space="0" w:color="000000"/>
            </w:tcBorders>
            <w:shd w:val="clear" w:color="000000" w:fill="A6A6A6"/>
            <w:vAlign w:val="bottom"/>
          </w:tcPr>
          <w:p w14:paraId="21D8727A" w14:textId="2C7A7DBF" w:rsidR="005E132F" w:rsidRPr="005E132F" w:rsidRDefault="005E132F" w:rsidP="005E132F">
            <w:pPr>
              <w:jc w:val="right"/>
              <w:rPr>
                <w:rFonts w:ascii="Arial Narrow" w:hAnsi="Arial Narrow"/>
                <w:b/>
                <w:bCs/>
                <w:color w:val="000000"/>
                <w:sz w:val="12"/>
                <w:szCs w:val="12"/>
              </w:rPr>
            </w:pPr>
            <w:r w:rsidRPr="005E132F">
              <w:rPr>
                <w:rFonts w:ascii="Arial Narrow" w:hAnsi="Arial Narrow"/>
                <w:b/>
                <w:bCs/>
                <w:color w:val="000000"/>
                <w:sz w:val="12"/>
                <w:szCs w:val="12"/>
              </w:rPr>
              <w:t>USD 389,995.74</w:t>
            </w:r>
          </w:p>
        </w:tc>
      </w:tr>
    </w:tbl>
    <w:p w14:paraId="436AFB83" w14:textId="77777777" w:rsidR="001D6B75" w:rsidRDefault="001D6B75" w:rsidP="00941EA8">
      <w:pPr>
        <w:widowControl w:val="0"/>
        <w:autoSpaceDE w:val="0"/>
        <w:autoSpaceDN w:val="0"/>
        <w:adjustRightInd w:val="0"/>
        <w:jc w:val="center"/>
        <w:rPr>
          <w:rFonts w:ascii="Arial Narrow" w:hAnsi="Arial Narrow" w:cs="Arial"/>
          <w:b/>
          <w:bCs/>
          <w:sz w:val="20"/>
          <w:szCs w:val="20"/>
        </w:rPr>
      </w:pPr>
    </w:p>
    <w:p w14:paraId="4A7FE85A" w14:textId="77777777" w:rsidR="005E132F" w:rsidRDefault="005E132F" w:rsidP="00941EA8">
      <w:pPr>
        <w:widowControl w:val="0"/>
        <w:autoSpaceDE w:val="0"/>
        <w:autoSpaceDN w:val="0"/>
        <w:adjustRightInd w:val="0"/>
        <w:jc w:val="center"/>
        <w:rPr>
          <w:rFonts w:ascii="Arial Narrow" w:hAnsi="Arial Narrow" w:cs="Arial"/>
          <w:b/>
          <w:bCs/>
          <w:sz w:val="20"/>
          <w:szCs w:val="20"/>
        </w:rPr>
      </w:pPr>
    </w:p>
    <w:p w14:paraId="7A3FB6A4" w14:textId="77777777" w:rsidR="001D6B75" w:rsidRDefault="001D6B75" w:rsidP="00941EA8">
      <w:pPr>
        <w:widowControl w:val="0"/>
        <w:autoSpaceDE w:val="0"/>
        <w:autoSpaceDN w:val="0"/>
        <w:adjustRightInd w:val="0"/>
        <w:jc w:val="center"/>
        <w:rPr>
          <w:rFonts w:ascii="Arial Narrow" w:hAnsi="Arial Narrow" w:cs="Arial"/>
          <w:b/>
          <w:bCs/>
          <w:sz w:val="20"/>
          <w:szCs w:val="20"/>
        </w:rPr>
      </w:pPr>
    </w:p>
    <w:p w14:paraId="6AEEF691" w14:textId="77777777" w:rsidR="00941EA8" w:rsidRDefault="00941EA8" w:rsidP="00941EA8">
      <w:pPr>
        <w:widowControl w:val="0"/>
        <w:autoSpaceDE w:val="0"/>
        <w:autoSpaceDN w:val="0"/>
        <w:adjustRightInd w:val="0"/>
        <w:jc w:val="center"/>
        <w:rPr>
          <w:rFonts w:ascii="Arial Narrow" w:hAnsi="Arial Narrow" w:cs="Arial"/>
          <w:b/>
          <w:bCs/>
          <w:sz w:val="20"/>
          <w:szCs w:val="20"/>
        </w:rPr>
      </w:pPr>
    </w:p>
    <w:p w14:paraId="6C7612CE" w14:textId="77777777" w:rsidR="00941EA8" w:rsidRPr="00BD5D97" w:rsidRDefault="00941EA8" w:rsidP="00941EA8">
      <w:pPr>
        <w:widowControl w:val="0"/>
        <w:autoSpaceDE w:val="0"/>
        <w:autoSpaceDN w:val="0"/>
        <w:adjustRightInd w:val="0"/>
        <w:jc w:val="center"/>
        <w:rPr>
          <w:rFonts w:ascii="Arial Narrow" w:hAnsi="Arial Narrow" w:cs="Arial"/>
          <w:b/>
          <w:bCs/>
          <w:sz w:val="20"/>
          <w:szCs w:val="20"/>
        </w:rPr>
      </w:pPr>
    </w:p>
    <w:p w14:paraId="0E2CC6C3" w14:textId="72CDA408" w:rsidR="00EA0A65" w:rsidRDefault="00EA0A65">
      <w:pPr>
        <w:ind w:left="-142"/>
        <w:rPr>
          <w:rFonts w:ascii="Arial Narrow" w:eastAsia="Arial Narrow" w:hAnsi="Arial Narrow" w:cs="Arial Narrow"/>
          <w:sz w:val="20"/>
          <w:szCs w:val="20"/>
        </w:rPr>
      </w:pPr>
    </w:p>
    <w:p w14:paraId="561AB99F" w14:textId="77777777" w:rsidR="0005724E" w:rsidRDefault="0005724E">
      <w:pPr>
        <w:ind w:left="-142"/>
        <w:rPr>
          <w:rFonts w:ascii="Arial Narrow" w:eastAsia="Arial Narrow" w:hAnsi="Arial Narrow" w:cs="Arial Narrow"/>
          <w:sz w:val="20"/>
          <w:szCs w:val="20"/>
        </w:rPr>
      </w:pPr>
    </w:p>
    <w:p w14:paraId="342E48E1" w14:textId="77777777" w:rsidR="00EA0A65" w:rsidRDefault="002959E9">
      <w:pPr>
        <w:pBdr>
          <w:bottom w:val="single" w:sz="4" w:space="1" w:color="000000"/>
        </w:pBdr>
        <w:ind w:left="-567" w:right="-567"/>
        <w:rPr>
          <w:rFonts w:ascii="Arial Narrow" w:eastAsia="Arial Narrow" w:hAnsi="Arial Narrow" w:cs="Arial Narrow"/>
          <w:b/>
          <w:sz w:val="20"/>
          <w:szCs w:val="20"/>
        </w:rPr>
      </w:pPr>
      <w:r>
        <w:rPr>
          <w:rFonts w:ascii="Arial Narrow" w:eastAsia="Arial Narrow" w:hAnsi="Arial Narrow" w:cs="Arial Narrow"/>
          <w:b/>
          <w:sz w:val="20"/>
          <w:szCs w:val="20"/>
        </w:rPr>
        <w:lastRenderedPageBreak/>
        <w:t>ANEXO I. Principales instrumentos de política pública para reducir la deforestación de la Región Amazonas.</w:t>
      </w:r>
    </w:p>
    <w:p w14:paraId="6EAEB561" w14:textId="77777777" w:rsidR="00EA0A65" w:rsidRDefault="00EA0A65"/>
    <w:tbl>
      <w:tblPr>
        <w:tblStyle w:val="a3"/>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1696"/>
        <w:gridCol w:w="1268"/>
        <w:gridCol w:w="5979"/>
      </w:tblGrid>
      <w:tr w:rsidR="00EA0A65" w14:paraId="760B5C59" w14:textId="77777777">
        <w:trPr>
          <w:trHeight w:val="260"/>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C5E0B3"/>
          </w:tcPr>
          <w:p w14:paraId="3F713BAE" w14:textId="77777777" w:rsidR="00EA0A65" w:rsidRDefault="002959E9">
            <w:pPr>
              <w:jc w:val="center"/>
              <w:rPr>
                <w:rFonts w:ascii="Arial Narrow" w:eastAsia="Arial Narrow" w:hAnsi="Arial Narrow" w:cs="Arial Narrow"/>
                <w:b/>
                <w:sz w:val="16"/>
                <w:szCs w:val="16"/>
              </w:rPr>
            </w:pPr>
            <w:r>
              <w:rPr>
                <w:rFonts w:ascii="Arial Narrow" w:eastAsia="Arial Narrow" w:hAnsi="Arial Narrow" w:cs="Arial Narrow"/>
                <w:b/>
                <w:sz w:val="16"/>
                <w:szCs w:val="16"/>
              </w:rPr>
              <w:t>Gobierno Regional Amazonas</w:t>
            </w:r>
          </w:p>
        </w:tc>
      </w:tr>
      <w:tr w:rsidR="00EA0A65" w14:paraId="03816513" w14:textId="77777777">
        <w:trPr>
          <w:trHeight w:val="200"/>
        </w:trPr>
        <w:tc>
          <w:tcPr>
            <w:tcW w:w="1547" w:type="dxa"/>
            <w:tcBorders>
              <w:top w:val="single" w:sz="4" w:space="0" w:color="000000"/>
              <w:left w:val="single" w:sz="4" w:space="0" w:color="000000"/>
              <w:bottom w:val="single" w:sz="4" w:space="0" w:color="000000"/>
              <w:right w:val="single" w:sz="4" w:space="0" w:color="000000"/>
            </w:tcBorders>
            <w:shd w:val="clear" w:color="auto" w:fill="C5E0B3"/>
          </w:tcPr>
          <w:p w14:paraId="2CE2AFE1" w14:textId="77777777" w:rsidR="00EA0A65" w:rsidRDefault="002959E9">
            <w:pPr>
              <w:jc w:val="center"/>
              <w:rPr>
                <w:rFonts w:ascii="Arial Narrow" w:eastAsia="Arial Narrow" w:hAnsi="Arial Narrow" w:cs="Arial Narrow"/>
                <w:b/>
                <w:sz w:val="16"/>
                <w:szCs w:val="16"/>
              </w:rPr>
            </w:pPr>
            <w:r>
              <w:rPr>
                <w:rFonts w:ascii="Arial Narrow" w:eastAsia="Arial Narrow" w:hAnsi="Arial Narrow" w:cs="Arial Narrow"/>
                <w:b/>
                <w:sz w:val="16"/>
                <w:szCs w:val="16"/>
              </w:rPr>
              <w:t>Documento de gestión</w:t>
            </w:r>
          </w:p>
        </w:tc>
        <w:tc>
          <w:tcPr>
            <w:tcW w:w="1696" w:type="dxa"/>
            <w:tcBorders>
              <w:top w:val="single" w:sz="4" w:space="0" w:color="000000"/>
              <w:left w:val="single" w:sz="4" w:space="0" w:color="000000"/>
              <w:bottom w:val="single" w:sz="4" w:space="0" w:color="000000"/>
              <w:right w:val="single" w:sz="4" w:space="0" w:color="000000"/>
            </w:tcBorders>
            <w:shd w:val="clear" w:color="auto" w:fill="C5E0B3"/>
          </w:tcPr>
          <w:p w14:paraId="0F8213CC" w14:textId="77777777" w:rsidR="00EA0A65" w:rsidRDefault="002959E9">
            <w:pPr>
              <w:jc w:val="center"/>
              <w:rPr>
                <w:rFonts w:ascii="Arial Narrow" w:eastAsia="Arial Narrow" w:hAnsi="Arial Narrow" w:cs="Arial Narrow"/>
                <w:b/>
                <w:sz w:val="16"/>
                <w:szCs w:val="16"/>
              </w:rPr>
            </w:pPr>
            <w:r>
              <w:rPr>
                <w:rFonts w:ascii="Arial Narrow" w:eastAsia="Arial Narrow" w:hAnsi="Arial Narrow" w:cs="Arial Narrow"/>
                <w:b/>
                <w:sz w:val="16"/>
                <w:szCs w:val="16"/>
              </w:rPr>
              <w:t>Norma  de aprobación</w:t>
            </w:r>
          </w:p>
        </w:tc>
        <w:tc>
          <w:tcPr>
            <w:tcW w:w="1268" w:type="dxa"/>
            <w:tcBorders>
              <w:top w:val="single" w:sz="4" w:space="0" w:color="000000"/>
              <w:left w:val="single" w:sz="4" w:space="0" w:color="000000"/>
              <w:bottom w:val="single" w:sz="4" w:space="0" w:color="000000"/>
              <w:right w:val="single" w:sz="4" w:space="0" w:color="000000"/>
            </w:tcBorders>
            <w:shd w:val="clear" w:color="auto" w:fill="C5E0B3"/>
          </w:tcPr>
          <w:p w14:paraId="0C3E3069" w14:textId="77777777" w:rsidR="00EA0A65" w:rsidRDefault="002959E9">
            <w:pPr>
              <w:jc w:val="center"/>
              <w:rPr>
                <w:rFonts w:ascii="Arial Narrow" w:eastAsia="Arial Narrow" w:hAnsi="Arial Narrow" w:cs="Arial Narrow"/>
                <w:b/>
                <w:sz w:val="16"/>
                <w:szCs w:val="16"/>
              </w:rPr>
            </w:pPr>
            <w:r>
              <w:rPr>
                <w:rFonts w:ascii="Arial Narrow" w:eastAsia="Arial Narrow" w:hAnsi="Arial Narrow" w:cs="Arial Narrow"/>
                <w:b/>
                <w:sz w:val="16"/>
                <w:szCs w:val="16"/>
              </w:rPr>
              <w:t>Vigencia</w:t>
            </w:r>
          </w:p>
        </w:tc>
        <w:tc>
          <w:tcPr>
            <w:tcW w:w="5979" w:type="dxa"/>
            <w:tcBorders>
              <w:top w:val="single" w:sz="4" w:space="0" w:color="000000"/>
              <w:left w:val="single" w:sz="4" w:space="0" w:color="000000"/>
              <w:bottom w:val="single" w:sz="4" w:space="0" w:color="000000"/>
              <w:right w:val="single" w:sz="4" w:space="0" w:color="000000"/>
            </w:tcBorders>
            <w:shd w:val="clear" w:color="auto" w:fill="C5E0B3"/>
          </w:tcPr>
          <w:p w14:paraId="48D3E191" w14:textId="77777777" w:rsidR="00EA0A65" w:rsidRDefault="002959E9">
            <w:pPr>
              <w:jc w:val="center"/>
              <w:rPr>
                <w:rFonts w:ascii="Arial Narrow" w:eastAsia="Arial Narrow" w:hAnsi="Arial Narrow" w:cs="Arial Narrow"/>
                <w:b/>
                <w:sz w:val="16"/>
                <w:szCs w:val="16"/>
              </w:rPr>
            </w:pPr>
            <w:r>
              <w:rPr>
                <w:rFonts w:ascii="Arial Narrow" w:eastAsia="Arial Narrow" w:hAnsi="Arial Narrow" w:cs="Arial Narrow"/>
                <w:b/>
                <w:sz w:val="16"/>
                <w:szCs w:val="16"/>
              </w:rPr>
              <w:t>Alcance</w:t>
            </w:r>
          </w:p>
        </w:tc>
      </w:tr>
      <w:tr w:rsidR="00EA0A65" w14:paraId="1B6B2674" w14:textId="77777777">
        <w:tc>
          <w:tcPr>
            <w:tcW w:w="1547" w:type="dxa"/>
            <w:tcBorders>
              <w:top w:val="single" w:sz="4" w:space="0" w:color="000000"/>
              <w:left w:val="single" w:sz="4" w:space="0" w:color="000000"/>
              <w:bottom w:val="single" w:sz="4" w:space="0" w:color="000000"/>
              <w:right w:val="single" w:sz="4" w:space="0" w:color="000000"/>
            </w:tcBorders>
          </w:tcPr>
          <w:p w14:paraId="160F44E0"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Plan de Desarrollo Concertado del Gobierno Regional de Amazonas (PDRC)</w:t>
            </w:r>
          </w:p>
        </w:tc>
        <w:tc>
          <w:tcPr>
            <w:tcW w:w="1696" w:type="dxa"/>
            <w:tcBorders>
              <w:top w:val="single" w:sz="4" w:space="0" w:color="000000"/>
              <w:left w:val="single" w:sz="4" w:space="0" w:color="000000"/>
              <w:bottom w:val="single" w:sz="4" w:space="0" w:color="000000"/>
              <w:right w:val="single" w:sz="4" w:space="0" w:color="000000"/>
            </w:tcBorders>
          </w:tcPr>
          <w:p w14:paraId="62D1F6FA"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N° 379 – 2015. Gobierno Regional de Amazonas/CR</w:t>
            </w:r>
          </w:p>
        </w:tc>
        <w:tc>
          <w:tcPr>
            <w:tcW w:w="1268" w:type="dxa"/>
            <w:tcBorders>
              <w:top w:val="single" w:sz="4" w:space="0" w:color="000000"/>
              <w:left w:val="single" w:sz="4" w:space="0" w:color="000000"/>
              <w:bottom w:val="single" w:sz="4" w:space="0" w:color="000000"/>
              <w:right w:val="single" w:sz="4" w:space="0" w:color="000000"/>
            </w:tcBorders>
          </w:tcPr>
          <w:p w14:paraId="2BFCB81A"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Al 2021</w:t>
            </w:r>
          </w:p>
          <w:p w14:paraId="192F8AC6"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4FEB92CA"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El PDRC es instrumento de gestión pública de alcance regional que define visión y propuesta de desarrollo de la Región Amazonas. El PDRC contiene la síntesis del análisis prospectivo, el escenario apuesta, la visión del territorio, los objetivos estratégicos, indicadores y metas, las acciones estratégicas, la ruta estratégica y la relación de proyectos de inversión pública de impacto territorial. Formato y alcance definido en el marco de la Directiva 001-2014-CEPLAN – Directiva General del Proceso de Planeamiento Estratégico / Sistema Nacional de Planeamiento Estratégico</w:t>
            </w:r>
          </w:p>
        </w:tc>
      </w:tr>
      <w:tr w:rsidR="00EA0A65" w14:paraId="4D9B92D4" w14:textId="77777777">
        <w:tc>
          <w:tcPr>
            <w:tcW w:w="1547" w:type="dxa"/>
            <w:tcBorders>
              <w:top w:val="single" w:sz="4" w:space="0" w:color="000000"/>
              <w:left w:val="single" w:sz="4" w:space="0" w:color="000000"/>
              <w:bottom w:val="single" w:sz="4" w:space="0" w:color="000000"/>
              <w:right w:val="single" w:sz="4" w:space="0" w:color="000000"/>
            </w:tcBorders>
          </w:tcPr>
          <w:p w14:paraId="78AEE629"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Plan Estratégico Institucional - PEI 2017-2019</w:t>
            </w:r>
          </w:p>
          <w:p w14:paraId="68C0B1AC" w14:textId="77777777" w:rsidR="00EA0A65" w:rsidRDefault="00EA0A65">
            <w:pPr>
              <w:rPr>
                <w:rFonts w:ascii="Arial Narrow" w:eastAsia="Arial Narrow" w:hAnsi="Arial Narrow" w:cs="Arial Narrow"/>
                <w:sz w:val="16"/>
                <w:szCs w:val="16"/>
              </w:rPr>
            </w:pPr>
          </w:p>
        </w:tc>
        <w:tc>
          <w:tcPr>
            <w:tcW w:w="1696" w:type="dxa"/>
            <w:tcBorders>
              <w:top w:val="single" w:sz="4" w:space="0" w:color="000000"/>
              <w:left w:val="single" w:sz="4" w:space="0" w:color="000000"/>
              <w:bottom w:val="single" w:sz="4" w:space="0" w:color="000000"/>
              <w:right w:val="single" w:sz="4" w:space="0" w:color="000000"/>
            </w:tcBorders>
          </w:tcPr>
          <w:p w14:paraId="436CFA36"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Nº 392-2017</w:t>
            </w:r>
          </w:p>
          <w:p w14:paraId="46C7C494"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Gobierno Regional Amazonas/CR</w:t>
            </w:r>
          </w:p>
          <w:p w14:paraId="78CD4F3C"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77659918"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 xml:space="preserve">2017-2019. Vigente </w:t>
            </w:r>
          </w:p>
        </w:tc>
        <w:tc>
          <w:tcPr>
            <w:tcW w:w="5979" w:type="dxa"/>
            <w:tcBorders>
              <w:top w:val="single" w:sz="4" w:space="0" w:color="000000"/>
              <w:left w:val="single" w:sz="4" w:space="0" w:color="000000"/>
              <w:bottom w:val="single" w:sz="4" w:space="0" w:color="000000"/>
              <w:right w:val="single" w:sz="4" w:space="0" w:color="000000"/>
            </w:tcBorders>
          </w:tcPr>
          <w:p w14:paraId="0FAF27EE"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 xml:space="preserve">La Directiva Nº 001-2014-CEPLAN, establece que el PEI es el documento elaborado por las entidades de la administración pública que se redacta en la fase institucional y utiliza la información generada en la fase estratégica del sector al que pertenece o del territorio al que está vinculado este documento desarrolla las acciones estratégicas de la entidad para el logro de los objetivos establecidos.  </w:t>
            </w:r>
          </w:p>
        </w:tc>
      </w:tr>
      <w:tr w:rsidR="00EA0A65" w14:paraId="7AA97C11"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645C9FC9"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Plan estratégico regional agrario de la región Amazonas 2011 - 2021</w:t>
            </w:r>
          </w:p>
        </w:tc>
        <w:tc>
          <w:tcPr>
            <w:tcW w:w="1696" w:type="dxa"/>
            <w:tcBorders>
              <w:top w:val="single" w:sz="4" w:space="0" w:color="000000"/>
              <w:left w:val="single" w:sz="4" w:space="0" w:color="000000"/>
              <w:bottom w:val="single" w:sz="4" w:space="0" w:color="000000"/>
              <w:right w:val="single" w:sz="4" w:space="0" w:color="000000"/>
            </w:tcBorders>
          </w:tcPr>
          <w:p w14:paraId="506ADAE1"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Resolución Directoral Regional Sectorial  N°145-2011-Gobierno Regional Amazonas/ GRDE/DRA/D</w:t>
            </w:r>
          </w:p>
        </w:tc>
        <w:tc>
          <w:tcPr>
            <w:tcW w:w="1268" w:type="dxa"/>
            <w:tcBorders>
              <w:top w:val="single" w:sz="4" w:space="0" w:color="000000"/>
              <w:left w:val="single" w:sz="4" w:space="0" w:color="000000"/>
              <w:bottom w:val="single" w:sz="4" w:space="0" w:color="000000"/>
              <w:right w:val="single" w:sz="4" w:space="0" w:color="000000"/>
            </w:tcBorders>
          </w:tcPr>
          <w:p w14:paraId="2E5BC30E"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Al 2021</w:t>
            </w:r>
          </w:p>
          <w:p w14:paraId="1156B759"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46C47AD8"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El Plan Estratégico Regional Agrario de la Región de Amazonas 2011-2021, contiene Objetivos, Metas, Estratégicas Institucionales a alcanzar los próximos años y pretende convertir al Gobierno Regional Amazonas en la institución líder que conduzca el desarrollo de la Región, afianzando el proceso de descentralización e impulsando el crecimiento económico, preservando el ambiente, para reducir la pobreza y mejorar la calidad de vida de la población.</w:t>
            </w:r>
          </w:p>
        </w:tc>
      </w:tr>
      <w:tr w:rsidR="00EA0A65" w14:paraId="42AF5BFE"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5309A2F1"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Agenda Ambiental regional Actualizada 2017-2018</w:t>
            </w:r>
          </w:p>
        </w:tc>
        <w:tc>
          <w:tcPr>
            <w:tcW w:w="1696" w:type="dxa"/>
            <w:tcBorders>
              <w:top w:val="single" w:sz="4" w:space="0" w:color="000000"/>
              <w:left w:val="single" w:sz="4" w:space="0" w:color="000000"/>
              <w:bottom w:val="single" w:sz="4" w:space="0" w:color="000000"/>
              <w:right w:val="single" w:sz="4" w:space="0" w:color="000000"/>
            </w:tcBorders>
          </w:tcPr>
          <w:p w14:paraId="33BCE0AD"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Acuerdo de la CAR 2017</w:t>
            </w:r>
          </w:p>
        </w:tc>
        <w:tc>
          <w:tcPr>
            <w:tcW w:w="1268" w:type="dxa"/>
            <w:tcBorders>
              <w:top w:val="single" w:sz="4" w:space="0" w:color="000000"/>
              <w:left w:val="single" w:sz="4" w:space="0" w:color="000000"/>
              <w:bottom w:val="single" w:sz="4" w:space="0" w:color="000000"/>
              <w:right w:val="single" w:sz="4" w:space="0" w:color="000000"/>
            </w:tcBorders>
          </w:tcPr>
          <w:p w14:paraId="7004209D"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69642A1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La Actualización de la Agenda Ambiental Regional 2017-2018, fue aprobada por unanimidad en la I Reunión Extraordinaria de la Comisión Ambiental Regional, realizada en la ciudad de Chachapoyas, el 17 de mayo del 2017. Actualiza la Agenda aprobada por Ordenanza Regional 365-2015-GRA/CR y precisa roles de actores en el proceso de implementación.</w:t>
            </w:r>
          </w:p>
        </w:tc>
      </w:tr>
      <w:tr w:rsidR="00EA0A65" w14:paraId="62A835FA"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5C68FC7C"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 xml:space="preserve">Agenda Ambiental Regional 2015-2016 </w:t>
            </w:r>
          </w:p>
        </w:tc>
        <w:tc>
          <w:tcPr>
            <w:tcW w:w="1696" w:type="dxa"/>
            <w:tcBorders>
              <w:top w:val="single" w:sz="4" w:space="0" w:color="000000"/>
              <w:left w:val="single" w:sz="4" w:space="0" w:color="000000"/>
              <w:bottom w:val="single" w:sz="4" w:space="0" w:color="000000"/>
              <w:right w:val="single" w:sz="4" w:space="0" w:color="000000"/>
            </w:tcBorders>
          </w:tcPr>
          <w:p w14:paraId="42AAF963"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 xml:space="preserve">Ordenanza Regional 365-2015-GRA/CR </w:t>
            </w:r>
          </w:p>
        </w:tc>
        <w:tc>
          <w:tcPr>
            <w:tcW w:w="1268" w:type="dxa"/>
            <w:tcBorders>
              <w:top w:val="single" w:sz="4" w:space="0" w:color="000000"/>
              <w:left w:val="single" w:sz="4" w:space="0" w:color="000000"/>
              <w:bottom w:val="single" w:sz="4" w:space="0" w:color="000000"/>
              <w:right w:val="single" w:sz="4" w:space="0" w:color="000000"/>
            </w:tcBorders>
          </w:tcPr>
          <w:p w14:paraId="342E2AB9"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Actualizada y precisada por Agenda 2017-2018</w:t>
            </w:r>
          </w:p>
        </w:tc>
        <w:tc>
          <w:tcPr>
            <w:tcW w:w="5979" w:type="dxa"/>
            <w:tcBorders>
              <w:top w:val="single" w:sz="4" w:space="0" w:color="000000"/>
              <w:left w:val="single" w:sz="4" w:space="0" w:color="000000"/>
              <w:bottom w:val="single" w:sz="4" w:space="0" w:color="000000"/>
              <w:right w:val="single" w:sz="4" w:space="0" w:color="000000"/>
            </w:tcBorders>
          </w:tcPr>
          <w:p w14:paraId="6A29DA4A"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Instrumento de planificación ambiental regional de corto plazo, formulado a partir del diagnóstico ambiental regional, Plan de Acción Ambiental 2014-2021, Política Ambiental Regional y sobre tres de los cuatro ejes de la Política Nacional del Ambiente: 1) Conservación y aprovechamiento sostenible de los recursos naturales y de la diversidad biológica, 2) Gestión integral de la calidad ambiental y 3) Gobernanza Ambiental; además, para su actualización se tuvo en cuenta el Plan Regional de Acción Ambiental Actualizado 2014-2021, aprobado mediante Ordenanza Regional N° 364-GRA/CR de fecha 29 de diciembre del 2014.</w:t>
            </w:r>
          </w:p>
        </w:tc>
      </w:tr>
      <w:tr w:rsidR="00EA0A65" w14:paraId="6DEB213A"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6A2BA3A4"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Sistema Regional de Gestión Ambiental</w:t>
            </w:r>
          </w:p>
        </w:tc>
        <w:tc>
          <w:tcPr>
            <w:tcW w:w="1696" w:type="dxa"/>
            <w:tcBorders>
              <w:top w:val="single" w:sz="4" w:space="0" w:color="000000"/>
              <w:left w:val="single" w:sz="4" w:space="0" w:color="000000"/>
              <w:bottom w:val="single" w:sz="4" w:space="0" w:color="000000"/>
              <w:right w:val="single" w:sz="4" w:space="0" w:color="000000"/>
            </w:tcBorders>
          </w:tcPr>
          <w:p w14:paraId="2731B308"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366-2015-GRA/CR</w:t>
            </w:r>
          </w:p>
        </w:tc>
        <w:tc>
          <w:tcPr>
            <w:tcW w:w="1268" w:type="dxa"/>
            <w:tcBorders>
              <w:top w:val="single" w:sz="4" w:space="0" w:color="000000"/>
              <w:left w:val="single" w:sz="4" w:space="0" w:color="000000"/>
              <w:bottom w:val="single" w:sz="4" w:space="0" w:color="000000"/>
              <w:right w:val="single" w:sz="4" w:space="0" w:color="000000"/>
            </w:tcBorders>
          </w:tcPr>
          <w:p w14:paraId="38ADF553"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04A94C92"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El Sistema Regional de Gestión Ambiental tiene como finalidad desarrollar, implementar, revisar y corregir la política ambiental regional y las normas que regulan su organización y funciones; para guiar la gestión de la calidad ambiental, el aprovechamiento sostenible y conservación de los recursos naturales, y el mayor bienestar de sus habitantes.</w:t>
            </w:r>
          </w:p>
        </w:tc>
      </w:tr>
      <w:tr w:rsidR="00EA0A65" w14:paraId="18D28898"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7066A401"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Modifican el artículo segundo de la Ordenanza Regional 246, referido a los miembros que conforman la Comisión Ambiental Regional</w:t>
            </w:r>
          </w:p>
        </w:tc>
        <w:tc>
          <w:tcPr>
            <w:tcW w:w="1696" w:type="dxa"/>
            <w:tcBorders>
              <w:top w:val="single" w:sz="4" w:space="0" w:color="000000"/>
              <w:left w:val="single" w:sz="4" w:space="0" w:color="000000"/>
              <w:bottom w:val="single" w:sz="4" w:space="0" w:color="000000"/>
              <w:right w:val="single" w:sz="4" w:space="0" w:color="000000"/>
            </w:tcBorders>
          </w:tcPr>
          <w:p w14:paraId="2CAEB6F8"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371-2015-GRA/CR</w:t>
            </w:r>
          </w:p>
        </w:tc>
        <w:tc>
          <w:tcPr>
            <w:tcW w:w="1268" w:type="dxa"/>
            <w:tcBorders>
              <w:top w:val="single" w:sz="4" w:space="0" w:color="000000"/>
              <w:left w:val="single" w:sz="4" w:space="0" w:color="000000"/>
              <w:bottom w:val="single" w:sz="4" w:space="0" w:color="000000"/>
              <w:right w:val="single" w:sz="4" w:space="0" w:color="000000"/>
            </w:tcBorders>
          </w:tcPr>
          <w:p w14:paraId="45AE24A1"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44C01AD7"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Para garantizar el funcionamiento operativo de la CAR se organizan los Grupos Técnicos y la composición de los mismos-</w:t>
            </w:r>
          </w:p>
        </w:tc>
      </w:tr>
      <w:tr w:rsidR="00EA0A65" w14:paraId="1A66083F"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5FCEE491"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 xml:space="preserve">Diagnóstico Ambiental Regional 2012-2021 y Política Ambiental Regional Amazonas </w:t>
            </w:r>
          </w:p>
        </w:tc>
        <w:tc>
          <w:tcPr>
            <w:tcW w:w="1696" w:type="dxa"/>
            <w:tcBorders>
              <w:top w:val="single" w:sz="4" w:space="0" w:color="000000"/>
              <w:left w:val="single" w:sz="4" w:space="0" w:color="000000"/>
              <w:bottom w:val="single" w:sz="4" w:space="0" w:color="000000"/>
              <w:right w:val="single" w:sz="4" w:space="0" w:color="000000"/>
            </w:tcBorders>
          </w:tcPr>
          <w:p w14:paraId="1F23751B"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 xml:space="preserve">Ordenanza Regional 354-2014-GRA/CR </w:t>
            </w:r>
          </w:p>
        </w:tc>
        <w:tc>
          <w:tcPr>
            <w:tcW w:w="1268" w:type="dxa"/>
            <w:tcBorders>
              <w:top w:val="single" w:sz="4" w:space="0" w:color="000000"/>
              <w:left w:val="single" w:sz="4" w:space="0" w:color="000000"/>
              <w:bottom w:val="single" w:sz="4" w:space="0" w:color="000000"/>
              <w:right w:val="single" w:sz="4" w:space="0" w:color="000000"/>
            </w:tcBorders>
          </w:tcPr>
          <w:p w14:paraId="2E504BE6"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597C8E2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El Diagnostico Ambiental Regional 2012-2021, es un instrumento de gestión ambiental que tiene como objeto identificar, describir y analizar sobre los principales problemas ambientales y una caracterización de la situación ambiental actual; ha sido socializado y aprobado en la Segunda Reunión Ordinaria de la Comisión Ambiental Regional CAR Amazonas.</w:t>
            </w:r>
            <w:r>
              <w:rPr>
                <w:rFonts w:ascii="Arial Narrow" w:eastAsia="Arial Narrow" w:hAnsi="Arial Narrow" w:cs="Arial Narrow"/>
                <w:sz w:val="16"/>
                <w:szCs w:val="16"/>
              </w:rPr>
              <w:br/>
              <w:t>La Política Ambiental Regional, es un instrumento de gestión ambiental, elaborada teniendo en cuenta el análisis de la situación ambiental de la región amazonas, constituye la base para la conservación del ambiente, de modo tal que se propicie y asegure el uso sostenible y responsable de los recursos naturales y el medio que lo sustenta, para contribuir al desarrollo integral, social, económico y cultural de las personas</w:t>
            </w:r>
          </w:p>
        </w:tc>
      </w:tr>
      <w:tr w:rsidR="00EA0A65" w14:paraId="3560ED13"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57571474" w14:textId="77777777" w:rsidR="00EA0A65" w:rsidRDefault="002959E9">
            <w:pPr>
              <w:rPr>
                <w:rFonts w:ascii="Arial Narrow" w:eastAsia="Arial Narrow" w:hAnsi="Arial Narrow" w:cs="Arial Narrow"/>
                <w:sz w:val="16"/>
                <w:szCs w:val="16"/>
              </w:rPr>
            </w:pPr>
            <w:r>
              <w:rPr>
                <w:rFonts w:ascii="Arial Narrow" w:eastAsia="Arial Narrow" w:hAnsi="Arial Narrow" w:cs="Arial Narrow"/>
                <w:color w:val="000000"/>
                <w:sz w:val="16"/>
                <w:szCs w:val="16"/>
              </w:rPr>
              <w:t>Adecuación de Comisión Ambiental Regional (CAR) de la región Amazonas al decreto legislativo N° 1013 Ley de creación, organización y función del Ministerio del Ambiente</w:t>
            </w:r>
            <w:r>
              <w:rPr>
                <w:rFonts w:ascii="Arial Narrow" w:eastAsia="Arial Narrow" w:hAnsi="Arial Narrow" w:cs="Arial Narrow"/>
                <w:sz w:val="16"/>
                <w:szCs w:val="16"/>
              </w:rPr>
              <w:t xml:space="preserve">  </w:t>
            </w:r>
          </w:p>
        </w:tc>
        <w:tc>
          <w:tcPr>
            <w:tcW w:w="1696" w:type="dxa"/>
            <w:tcBorders>
              <w:top w:val="single" w:sz="4" w:space="0" w:color="000000"/>
              <w:left w:val="single" w:sz="4" w:space="0" w:color="000000"/>
              <w:bottom w:val="single" w:sz="4" w:space="0" w:color="000000"/>
              <w:right w:val="single" w:sz="4" w:space="0" w:color="000000"/>
            </w:tcBorders>
          </w:tcPr>
          <w:p w14:paraId="42B88F7D"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 xml:space="preserve">Ordenanza Regional </w:t>
            </w:r>
            <w:r>
              <w:rPr>
                <w:rFonts w:ascii="Arial Narrow" w:eastAsia="Arial Narrow" w:hAnsi="Arial Narrow" w:cs="Arial Narrow"/>
                <w:color w:val="000000"/>
                <w:sz w:val="16"/>
                <w:szCs w:val="16"/>
              </w:rPr>
              <w:t>246-2010-GRA/CR</w:t>
            </w:r>
            <w:r>
              <w:rPr>
                <w:rFonts w:ascii="Arial Narrow" w:eastAsia="Arial Narrow" w:hAnsi="Arial Narrow" w:cs="Arial Narrow"/>
                <w:sz w:val="16"/>
                <w:szCs w:val="16"/>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D659716"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 Modificada por</w:t>
            </w:r>
          </w:p>
          <w:p w14:paraId="7D61F750"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371-2015-GRA/CR</w:t>
            </w:r>
          </w:p>
        </w:tc>
        <w:tc>
          <w:tcPr>
            <w:tcW w:w="5979" w:type="dxa"/>
            <w:tcBorders>
              <w:top w:val="single" w:sz="4" w:space="0" w:color="000000"/>
              <w:left w:val="single" w:sz="4" w:space="0" w:color="000000"/>
              <w:bottom w:val="single" w:sz="4" w:space="0" w:color="000000"/>
              <w:right w:val="single" w:sz="4" w:space="0" w:color="000000"/>
            </w:tcBorders>
          </w:tcPr>
          <w:p w14:paraId="3259AD7A"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Adecúa la Comisión Ambiental Regional (CAR), de la Región Amazonas, al Decreto Legislativo N° 1013, Ley de Creación, Organización y función del Ministerio del Ambiente y conforma la Comisión Ambiental Regional Amazonas, el cual estará integrada por 37 representantes o miembros y también aprobar las funciones generales y específicas de la Comisión Ambiental Regional de Amazonas.</w:t>
            </w:r>
          </w:p>
        </w:tc>
      </w:tr>
      <w:tr w:rsidR="00EA0A65" w14:paraId="745B738C"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6273BDE1"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 xml:space="preserve">Reglamento del Sistema Regional de Información Ambiental-SIAR Amazonas </w:t>
            </w:r>
          </w:p>
        </w:tc>
        <w:tc>
          <w:tcPr>
            <w:tcW w:w="1696" w:type="dxa"/>
            <w:tcBorders>
              <w:top w:val="single" w:sz="4" w:space="0" w:color="000000"/>
              <w:left w:val="single" w:sz="4" w:space="0" w:color="000000"/>
              <w:bottom w:val="single" w:sz="4" w:space="0" w:color="000000"/>
              <w:right w:val="single" w:sz="4" w:space="0" w:color="000000"/>
            </w:tcBorders>
          </w:tcPr>
          <w:p w14:paraId="0D4841A0" w14:textId="77777777" w:rsidR="00EA0A65" w:rsidRPr="002959E9" w:rsidRDefault="002959E9">
            <w:pPr>
              <w:rPr>
                <w:rFonts w:ascii="Arial Narrow" w:eastAsia="Arial Narrow" w:hAnsi="Arial Narrow" w:cs="Arial Narrow"/>
                <w:sz w:val="16"/>
                <w:szCs w:val="16"/>
                <w:lang w:val="pt-BR"/>
              </w:rPr>
            </w:pPr>
            <w:r w:rsidRPr="002959E9">
              <w:rPr>
                <w:rFonts w:ascii="Arial Narrow" w:eastAsia="Arial Narrow" w:hAnsi="Arial Narrow" w:cs="Arial Narrow"/>
                <w:sz w:val="16"/>
                <w:szCs w:val="16"/>
                <w:lang w:val="pt-BR"/>
              </w:rPr>
              <w:t xml:space="preserve">Decreto Regional Nº 001-2013-G.R.A./PR </w:t>
            </w:r>
          </w:p>
        </w:tc>
        <w:tc>
          <w:tcPr>
            <w:tcW w:w="1268" w:type="dxa"/>
            <w:tcBorders>
              <w:top w:val="single" w:sz="4" w:space="0" w:color="000000"/>
              <w:left w:val="single" w:sz="4" w:space="0" w:color="000000"/>
              <w:bottom w:val="single" w:sz="4" w:space="0" w:color="000000"/>
              <w:right w:val="single" w:sz="4" w:space="0" w:color="000000"/>
            </w:tcBorders>
          </w:tcPr>
          <w:p w14:paraId="280A4548"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2D10B0CD"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Propósito de concentrar la información ambiental de la Región Amazonas, para ser ofrecida a los diversos usuarios y tomadores de decisiones, conforme a lo establecido en la constitución, la Ley N” 27806 Ley de Transparencia y acceso a la información pública y las disposiciones legales vigentes sobre la materia, sin necesidad de invocar interés especial alguno que motive tal requerimiento</w:t>
            </w:r>
          </w:p>
        </w:tc>
      </w:tr>
      <w:tr w:rsidR="00EA0A65" w14:paraId="67079697"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736CC23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Creación del Sistema de Información Ambiental Regional - SIAR</w:t>
            </w:r>
          </w:p>
        </w:tc>
        <w:tc>
          <w:tcPr>
            <w:tcW w:w="1696" w:type="dxa"/>
            <w:tcBorders>
              <w:top w:val="single" w:sz="4" w:space="0" w:color="000000"/>
              <w:left w:val="single" w:sz="4" w:space="0" w:color="000000"/>
              <w:bottom w:val="single" w:sz="4" w:space="0" w:color="000000"/>
              <w:right w:val="single" w:sz="4" w:space="0" w:color="000000"/>
            </w:tcBorders>
          </w:tcPr>
          <w:p w14:paraId="2E63714D"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189-2007-GRA/CR</w:t>
            </w:r>
          </w:p>
        </w:tc>
        <w:tc>
          <w:tcPr>
            <w:tcW w:w="1268" w:type="dxa"/>
            <w:tcBorders>
              <w:top w:val="single" w:sz="4" w:space="0" w:color="000000"/>
              <w:left w:val="single" w:sz="4" w:space="0" w:color="000000"/>
              <w:bottom w:val="single" w:sz="4" w:space="0" w:color="000000"/>
              <w:right w:val="single" w:sz="4" w:space="0" w:color="000000"/>
            </w:tcBorders>
          </w:tcPr>
          <w:p w14:paraId="37FE6F2A"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36FB701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Instituciones Públicas con competencias ambientales de Amazonas, remitan al SIAR, con la periodicidad que será regulada, la información ambiental de su competencia tanto aquel generado producto del ejercicio de sus funciones, como la que les corresponda para elaborar el estado del ambiente en Amazonas.</w:t>
            </w:r>
          </w:p>
        </w:tc>
      </w:tr>
      <w:tr w:rsidR="00EA0A65" w14:paraId="262B5A04"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29290B34"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lastRenderedPageBreak/>
              <w:t>Propuesta Metodológica para Desarrollar la Articulación de la Zonificación Forestal con otros Instrumentos de Gestión Territorial</w:t>
            </w:r>
          </w:p>
        </w:tc>
        <w:tc>
          <w:tcPr>
            <w:tcW w:w="1696" w:type="dxa"/>
            <w:tcBorders>
              <w:top w:val="single" w:sz="4" w:space="0" w:color="000000"/>
              <w:left w:val="single" w:sz="4" w:space="0" w:color="000000"/>
              <w:bottom w:val="single" w:sz="4" w:space="0" w:color="000000"/>
              <w:right w:val="single" w:sz="4" w:space="0" w:color="000000"/>
            </w:tcBorders>
          </w:tcPr>
          <w:p w14:paraId="269F966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Proceso de Aprobación</w:t>
            </w:r>
          </w:p>
          <w:p w14:paraId="535965A0"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Octubre 2017</w:t>
            </w:r>
          </w:p>
        </w:tc>
        <w:tc>
          <w:tcPr>
            <w:tcW w:w="1268" w:type="dxa"/>
            <w:tcBorders>
              <w:top w:val="single" w:sz="4" w:space="0" w:color="000000"/>
              <w:left w:val="single" w:sz="4" w:space="0" w:color="000000"/>
              <w:bottom w:val="single" w:sz="4" w:space="0" w:color="000000"/>
              <w:right w:val="single" w:sz="4" w:space="0" w:color="000000"/>
            </w:tcBorders>
          </w:tcPr>
          <w:p w14:paraId="279C8929"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Consultoría en el marco de la cooperación con SERFOR</w:t>
            </w:r>
          </w:p>
        </w:tc>
        <w:tc>
          <w:tcPr>
            <w:tcW w:w="5979" w:type="dxa"/>
            <w:tcBorders>
              <w:top w:val="single" w:sz="4" w:space="0" w:color="000000"/>
              <w:left w:val="single" w:sz="4" w:space="0" w:color="000000"/>
              <w:bottom w:val="single" w:sz="4" w:space="0" w:color="000000"/>
              <w:right w:val="single" w:sz="4" w:space="0" w:color="000000"/>
            </w:tcBorders>
          </w:tcPr>
          <w:p w14:paraId="3B46C229"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Realizar la articulación de los objetivos o líneas de acción de los instrumentos de gestión territorial con el proceso de Zonificación Forestal de Amazonas.</w:t>
            </w:r>
          </w:p>
          <w:p w14:paraId="249377B0" w14:textId="77777777" w:rsidR="00EA0A65" w:rsidRDefault="002959E9">
            <w:pPr>
              <w:numPr>
                <w:ilvl w:val="0"/>
                <w:numId w:val="11"/>
              </w:numPr>
              <w:pBdr>
                <w:top w:val="nil"/>
                <w:left w:val="nil"/>
                <w:bottom w:val="nil"/>
                <w:right w:val="nil"/>
                <w:between w:val="nil"/>
              </w:pBdr>
              <w:contextualSpacing/>
              <w:rPr>
                <w:color w:val="000000"/>
                <w:sz w:val="16"/>
                <w:szCs w:val="16"/>
              </w:rPr>
            </w:pPr>
            <w:r>
              <w:rPr>
                <w:rFonts w:ascii="Arial Narrow" w:eastAsia="Arial Narrow" w:hAnsi="Arial Narrow" w:cs="Arial Narrow"/>
                <w:color w:val="000000"/>
                <w:sz w:val="16"/>
                <w:szCs w:val="16"/>
              </w:rPr>
              <w:t>Realizar la articulación de los instrumentos de gestión territorial de alcance Regional con la Zonificación Forestal de Amazonas.</w:t>
            </w:r>
          </w:p>
          <w:p w14:paraId="486357C7" w14:textId="77777777" w:rsidR="00EA0A65" w:rsidRDefault="002959E9">
            <w:pPr>
              <w:numPr>
                <w:ilvl w:val="0"/>
                <w:numId w:val="11"/>
              </w:numPr>
              <w:pBdr>
                <w:top w:val="nil"/>
                <w:left w:val="nil"/>
                <w:bottom w:val="nil"/>
                <w:right w:val="nil"/>
                <w:between w:val="nil"/>
              </w:pBdr>
              <w:contextualSpacing/>
              <w:rPr>
                <w:color w:val="000000"/>
                <w:sz w:val="16"/>
                <w:szCs w:val="16"/>
              </w:rPr>
            </w:pPr>
            <w:r>
              <w:rPr>
                <w:rFonts w:ascii="Arial Narrow" w:eastAsia="Arial Narrow" w:hAnsi="Arial Narrow" w:cs="Arial Narrow"/>
                <w:color w:val="000000"/>
                <w:sz w:val="16"/>
                <w:szCs w:val="16"/>
              </w:rPr>
              <w:t>Realizar la articulación de los instrumentos de gestión territorial de alcance Nacional con la Zonificación Forestal de Amazonas.</w:t>
            </w:r>
          </w:p>
        </w:tc>
      </w:tr>
      <w:tr w:rsidR="00EA0A65" w14:paraId="44EFC17D"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6829146E"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Plan Estratégico Regional del Recurso Hídrico de Amazonas</w:t>
            </w:r>
          </w:p>
        </w:tc>
        <w:tc>
          <w:tcPr>
            <w:tcW w:w="1696" w:type="dxa"/>
            <w:tcBorders>
              <w:top w:val="single" w:sz="4" w:space="0" w:color="000000"/>
              <w:left w:val="single" w:sz="4" w:space="0" w:color="000000"/>
              <w:bottom w:val="single" w:sz="4" w:space="0" w:color="000000"/>
              <w:right w:val="single" w:sz="4" w:space="0" w:color="000000"/>
            </w:tcBorders>
          </w:tcPr>
          <w:p w14:paraId="0B01BD0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N° 265 – 2010. Gobierno Regional de Amazonas/CR</w:t>
            </w:r>
          </w:p>
        </w:tc>
        <w:tc>
          <w:tcPr>
            <w:tcW w:w="1268" w:type="dxa"/>
            <w:tcBorders>
              <w:top w:val="single" w:sz="4" w:space="0" w:color="000000"/>
              <w:left w:val="single" w:sz="4" w:space="0" w:color="000000"/>
              <w:bottom w:val="single" w:sz="4" w:space="0" w:color="000000"/>
              <w:right w:val="single" w:sz="4" w:space="0" w:color="000000"/>
            </w:tcBorders>
          </w:tcPr>
          <w:p w14:paraId="5CBD225C"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Aprobado  10 Agosto 2010</w:t>
            </w:r>
          </w:p>
          <w:p w14:paraId="5EDC1071"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3B6FA3E8"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En Amazonas tanto los servicios de tratamiento de Aguas residuales y tratamiento de residuos sólidos son</w:t>
            </w:r>
            <w:r>
              <w:t xml:space="preserve"> </w:t>
            </w:r>
            <w:r>
              <w:rPr>
                <w:rFonts w:ascii="Arial Narrow" w:eastAsia="Arial Narrow" w:hAnsi="Arial Narrow" w:cs="Arial Narrow"/>
                <w:sz w:val="16"/>
                <w:szCs w:val="16"/>
              </w:rPr>
              <w:t>un problema latente, ya que se dan prioridad a otros proyectos dejando de lado las principales fuentes de contaminación que día a día degradan la biodiversidad y el recurso hídrico de Amazonas; por lo que se ha visto por conveniente aprobar el Plan Estratégico Regional del Recurso Hídrico de Amazonas, a fin de que se constituya en un instrumento orientador para implementar las políticas orientadas a promover la conservación, protección y uso sostenible de los recursos hídricos</w:t>
            </w:r>
          </w:p>
        </w:tc>
      </w:tr>
      <w:tr w:rsidR="00EA0A65" w14:paraId="3A465FCE"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3CDEB9D1"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Estrategia Regional de Cambio Climático de la Región Amazonas</w:t>
            </w:r>
          </w:p>
        </w:tc>
        <w:tc>
          <w:tcPr>
            <w:tcW w:w="1696" w:type="dxa"/>
            <w:tcBorders>
              <w:top w:val="single" w:sz="4" w:space="0" w:color="000000"/>
              <w:left w:val="single" w:sz="4" w:space="0" w:color="000000"/>
              <w:bottom w:val="single" w:sz="4" w:space="0" w:color="000000"/>
              <w:right w:val="single" w:sz="4" w:space="0" w:color="000000"/>
            </w:tcBorders>
          </w:tcPr>
          <w:p w14:paraId="478B65DC"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N° 223 – 2008. Gobierno Regional de Amazonas/CR</w:t>
            </w:r>
          </w:p>
        </w:tc>
        <w:tc>
          <w:tcPr>
            <w:tcW w:w="1268" w:type="dxa"/>
            <w:tcBorders>
              <w:top w:val="single" w:sz="4" w:space="0" w:color="000000"/>
              <w:left w:val="single" w:sz="4" w:space="0" w:color="000000"/>
              <w:bottom w:val="single" w:sz="4" w:space="0" w:color="000000"/>
              <w:right w:val="single" w:sz="4" w:space="0" w:color="000000"/>
            </w:tcBorders>
          </w:tcPr>
          <w:p w14:paraId="49CF881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Aprobado  17 octubre 2008</w:t>
            </w:r>
          </w:p>
          <w:p w14:paraId="39A45B5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71508D37"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 la implementación de la Estrategia Regional de Cambio Climático de la Región Amazonas, bajo responsabilidad de la Gerencia de Recursos Naturales y Gestión del Medio Ambiente, la misma que establece los mecanismos de coordinación con las oficinas sectoriales, OPDS, Municipalidades y demás instituciones involucradas en las metas de esta estrategia.</w:t>
            </w:r>
          </w:p>
        </w:tc>
      </w:tr>
      <w:tr w:rsidR="00EA0A65" w14:paraId="4411EE8D"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38D6402C"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Plan Regional de Acción Ambiental 2014-2021</w:t>
            </w:r>
          </w:p>
        </w:tc>
        <w:tc>
          <w:tcPr>
            <w:tcW w:w="1696" w:type="dxa"/>
            <w:tcBorders>
              <w:top w:val="single" w:sz="4" w:space="0" w:color="000000"/>
              <w:left w:val="single" w:sz="4" w:space="0" w:color="000000"/>
              <w:bottom w:val="single" w:sz="4" w:space="0" w:color="000000"/>
              <w:right w:val="single" w:sz="4" w:space="0" w:color="000000"/>
            </w:tcBorders>
          </w:tcPr>
          <w:p w14:paraId="0E68A5C3"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N° 364 – 2014. Gobierno Regional de Amazonas/CR</w:t>
            </w:r>
          </w:p>
        </w:tc>
        <w:tc>
          <w:tcPr>
            <w:tcW w:w="1268" w:type="dxa"/>
            <w:tcBorders>
              <w:top w:val="single" w:sz="4" w:space="0" w:color="000000"/>
              <w:left w:val="single" w:sz="4" w:space="0" w:color="000000"/>
              <w:bottom w:val="single" w:sz="4" w:space="0" w:color="000000"/>
              <w:right w:val="single" w:sz="4" w:space="0" w:color="000000"/>
            </w:tcBorders>
          </w:tcPr>
          <w:p w14:paraId="5FABF22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Aprobado 29 diciembre 2014</w:t>
            </w:r>
          </w:p>
          <w:p w14:paraId="62755A2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4B101C13"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El Plan Regional de Acción Ambiental Actualizado periodo 2014-2021, es un instrumento de planificación ambiental regional de largo plazo, formulado a partir del diagnóstico ambiental regional y en base a los ejes de la Política Nacional del Ambiente: Conservación y aprovechamiento sostenible de los recursos naturales y de la diversidad biológica, Gestión integral de la calidad ambiental, Gobernanza Ambiental y Compromisos y oportunidades ambientales internacionales.</w:t>
            </w:r>
          </w:p>
        </w:tc>
      </w:tr>
      <w:tr w:rsidR="00EA0A65" w14:paraId="695C8963"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7EF97567"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Declarar de Interés Regional la Elaboración y Aplicación del Proceso de Zonificación y Ordenamiento Forestal en el Departamento de Amazonas.</w:t>
            </w:r>
          </w:p>
        </w:tc>
        <w:tc>
          <w:tcPr>
            <w:tcW w:w="1696" w:type="dxa"/>
            <w:tcBorders>
              <w:top w:val="single" w:sz="4" w:space="0" w:color="000000"/>
              <w:left w:val="single" w:sz="4" w:space="0" w:color="000000"/>
              <w:bottom w:val="single" w:sz="4" w:space="0" w:color="000000"/>
              <w:right w:val="single" w:sz="4" w:space="0" w:color="000000"/>
            </w:tcBorders>
          </w:tcPr>
          <w:p w14:paraId="4319FCFC"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N° 394 – 2017. Gobierno Regional de Amazonas/CR</w:t>
            </w:r>
          </w:p>
        </w:tc>
        <w:tc>
          <w:tcPr>
            <w:tcW w:w="1268" w:type="dxa"/>
            <w:tcBorders>
              <w:top w:val="single" w:sz="4" w:space="0" w:color="000000"/>
              <w:left w:val="single" w:sz="4" w:space="0" w:color="000000"/>
              <w:bottom w:val="single" w:sz="4" w:space="0" w:color="000000"/>
              <w:right w:val="single" w:sz="4" w:space="0" w:color="000000"/>
            </w:tcBorders>
          </w:tcPr>
          <w:p w14:paraId="570B2018"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Aprobado 27 abril 2017</w:t>
            </w:r>
          </w:p>
          <w:p w14:paraId="60DB1CAC"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50E7D829"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Declaran de interés regional la elaboración y aplicación del proceso de Zonificación y Ordenamiento Forestal, y conforman el Equipo Técnico para facilitar el desarrollo de la Zonificación Forestal</w:t>
            </w:r>
          </w:p>
        </w:tc>
      </w:tr>
      <w:tr w:rsidR="00EA0A65" w14:paraId="4D2E4710"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1E0F9BC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Zonificación Económica y Ecológica en el ámbito de la Región Amazonas</w:t>
            </w:r>
          </w:p>
        </w:tc>
        <w:tc>
          <w:tcPr>
            <w:tcW w:w="1696" w:type="dxa"/>
            <w:tcBorders>
              <w:top w:val="single" w:sz="4" w:space="0" w:color="000000"/>
              <w:left w:val="single" w:sz="4" w:space="0" w:color="000000"/>
              <w:bottom w:val="single" w:sz="4" w:space="0" w:color="000000"/>
              <w:right w:val="single" w:sz="4" w:space="0" w:color="000000"/>
            </w:tcBorders>
          </w:tcPr>
          <w:p w14:paraId="57D79142"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N° 200 – 2007. Gobierno Regional de Amazonas/CR</w:t>
            </w:r>
          </w:p>
        </w:tc>
        <w:tc>
          <w:tcPr>
            <w:tcW w:w="1268" w:type="dxa"/>
            <w:tcBorders>
              <w:top w:val="single" w:sz="4" w:space="0" w:color="000000"/>
              <w:left w:val="single" w:sz="4" w:space="0" w:color="000000"/>
              <w:bottom w:val="single" w:sz="4" w:space="0" w:color="000000"/>
              <w:right w:val="single" w:sz="4" w:space="0" w:color="000000"/>
            </w:tcBorders>
          </w:tcPr>
          <w:p w14:paraId="03EC6FC4"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Aprobado 31diciembre 2007</w:t>
            </w:r>
          </w:p>
          <w:p w14:paraId="20885D10"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2A6704C2"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Aprueba la Zonificación Ecológica Económica en el ámbito de la Región Amazonas, que consta de 14 informes temáticos con sus respectivos mapas y una propuesta de la ZEE-Amazonas.</w:t>
            </w:r>
          </w:p>
        </w:tc>
      </w:tr>
      <w:tr w:rsidR="00EA0A65" w14:paraId="61A6B5FE"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036920AF"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Crea Sistema de Conservación Regional de Amazonas</w:t>
            </w:r>
          </w:p>
        </w:tc>
        <w:tc>
          <w:tcPr>
            <w:tcW w:w="1696" w:type="dxa"/>
            <w:tcBorders>
              <w:top w:val="single" w:sz="4" w:space="0" w:color="000000"/>
              <w:left w:val="single" w:sz="4" w:space="0" w:color="000000"/>
              <w:bottom w:val="single" w:sz="4" w:space="0" w:color="000000"/>
              <w:right w:val="single" w:sz="4" w:space="0" w:color="000000"/>
            </w:tcBorders>
          </w:tcPr>
          <w:p w14:paraId="73179451"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N° 235 – 2009. Gobierno Regional de Amazonas/CR</w:t>
            </w:r>
          </w:p>
        </w:tc>
        <w:tc>
          <w:tcPr>
            <w:tcW w:w="1268" w:type="dxa"/>
            <w:tcBorders>
              <w:top w:val="single" w:sz="4" w:space="0" w:color="000000"/>
              <w:left w:val="single" w:sz="4" w:space="0" w:color="000000"/>
              <w:bottom w:val="single" w:sz="4" w:space="0" w:color="000000"/>
              <w:right w:val="single" w:sz="4" w:space="0" w:color="000000"/>
            </w:tcBorders>
          </w:tcPr>
          <w:p w14:paraId="6AA1D0D9"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Aprobado 5 junio 2009</w:t>
            </w:r>
          </w:p>
          <w:p w14:paraId="5CD6048C"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19796865"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La propuesta de “Sistema de Conservación Regional de Amazonas - SICRE”, es una primera aproximación y en ella se incluye las áreas que deberían ser parte del SICRE. Está basada en la selección de áreas con mayores valores de conservación, que conformen en su conjunto una muestra representativa de las diferentes zonas de vida de Amazonas</w:t>
            </w:r>
          </w:p>
        </w:tc>
      </w:tr>
      <w:tr w:rsidR="00EA0A65" w14:paraId="7C05130F" w14:textId="77777777">
        <w:trPr>
          <w:trHeight w:val="680"/>
        </w:trPr>
        <w:tc>
          <w:tcPr>
            <w:tcW w:w="1547" w:type="dxa"/>
            <w:tcBorders>
              <w:top w:val="single" w:sz="4" w:space="0" w:color="000000"/>
              <w:left w:val="single" w:sz="4" w:space="0" w:color="000000"/>
              <w:bottom w:val="single" w:sz="4" w:space="0" w:color="000000"/>
              <w:right w:val="single" w:sz="4" w:space="0" w:color="000000"/>
            </w:tcBorders>
          </w:tcPr>
          <w:p w14:paraId="53A0C02B"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Estrategia Regional de la Diversidad Biológica de Amazonas</w:t>
            </w:r>
          </w:p>
        </w:tc>
        <w:tc>
          <w:tcPr>
            <w:tcW w:w="1696" w:type="dxa"/>
            <w:tcBorders>
              <w:top w:val="single" w:sz="4" w:space="0" w:color="000000"/>
              <w:left w:val="single" w:sz="4" w:space="0" w:color="000000"/>
              <w:bottom w:val="single" w:sz="4" w:space="0" w:color="000000"/>
              <w:right w:val="single" w:sz="4" w:space="0" w:color="000000"/>
            </w:tcBorders>
          </w:tcPr>
          <w:p w14:paraId="58F904DD"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Ordenanza Regional N° 223-2008-GRA/CR</w:t>
            </w:r>
          </w:p>
        </w:tc>
        <w:tc>
          <w:tcPr>
            <w:tcW w:w="1268" w:type="dxa"/>
            <w:tcBorders>
              <w:top w:val="single" w:sz="4" w:space="0" w:color="000000"/>
              <w:left w:val="single" w:sz="4" w:space="0" w:color="000000"/>
              <w:bottom w:val="single" w:sz="4" w:space="0" w:color="000000"/>
              <w:right w:val="single" w:sz="4" w:space="0" w:color="000000"/>
            </w:tcBorders>
          </w:tcPr>
          <w:p w14:paraId="643C8AEB" w14:textId="77777777" w:rsidR="00EA0A65" w:rsidRDefault="002959E9">
            <w:pPr>
              <w:rPr>
                <w:rFonts w:ascii="Arial Narrow" w:eastAsia="Arial Narrow" w:hAnsi="Arial Narrow" w:cs="Arial Narrow"/>
                <w:sz w:val="16"/>
                <w:szCs w:val="16"/>
              </w:rPr>
            </w:pPr>
            <w:r>
              <w:rPr>
                <w:rFonts w:ascii="Arial Narrow" w:eastAsia="Arial Narrow" w:hAnsi="Arial Narrow" w:cs="Arial Narrow"/>
                <w:sz w:val="16"/>
                <w:szCs w:val="16"/>
              </w:rPr>
              <w:t>Vigente</w:t>
            </w:r>
          </w:p>
        </w:tc>
        <w:tc>
          <w:tcPr>
            <w:tcW w:w="5979" w:type="dxa"/>
            <w:tcBorders>
              <w:top w:val="single" w:sz="4" w:space="0" w:color="000000"/>
              <w:left w:val="single" w:sz="4" w:space="0" w:color="000000"/>
              <w:bottom w:val="single" w:sz="4" w:space="0" w:color="000000"/>
              <w:right w:val="single" w:sz="4" w:space="0" w:color="000000"/>
            </w:tcBorders>
          </w:tcPr>
          <w:p w14:paraId="01AA4426" w14:textId="77777777" w:rsidR="00EA0A65" w:rsidRDefault="002959E9">
            <w:pPr>
              <w:jc w:val="both"/>
              <w:rPr>
                <w:rFonts w:ascii="Arial Narrow" w:eastAsia="Arial Narrow" w:hAnsi="Arial Narrow" w:cs="Arial Narrow"/>
                <w:sz w:val="16"/>
                <w:szCs w:val="16"/>
              </w:rPr>
            </w:pPr>
            <w:r>
              <w:rPr>
                <w:rFonts w:ascii="Arial Narrow" w:eastAsia="Arial Narrow" w:hAnsi="Arial Narrow" w:cs="Arial Narrow"/>
                <w:sz w:val="16"/>
                <w:szCs w:val="16"/>
              </w:rPr>
              <w:t>El Convenio sobre la Diversidad Biológica (CDB), suscrito por el Perú, ha orientado la aprobación de políticas para la conservación y el uso sostenible de la diversidad biológica en el ámbito de estrategias nacionales. Debido a la importancia de la Amazonía en el contexto de la biodiversidad nacional y global, se inicia también el proceso de elaboración de la Estrategia Regional de la Diversidad Biológica Amazónica en el marco de la Estrategia Nacional de la Diversidad Biológica, la que fue impulsada por los Puntos Focales de los departamentos amazónicos de Loreto, Ucayali, San Martín y Madre de Dios.</w:t>
            </w:r>
          </w:p>
        </w:tc>
      </w:tr>
    </w:tbl>
    <w:p w14:paraId="69B91B90" w14:textId="77777777" w:rsidR="00EA0A65" w:rsidRDefault="00EA0A65">
      <w:pPr>
        <w:rPr>
          <w:rFonts w:ascii="Arial Narrow" w:eastAsia="Arial Narrow" w:hAnsi="Arial Narrow" w:cs="Arial Narrow"/>
          <w:b/>
          <w:sz w:val="20"/>
          <w:szCs w:val="20"/>
        </w:rPr>
      </w:pPr>
    </w:p>
    <w:p w14:paraId="7D634517" w14:textId="77777777" w:rsidR="00EA0A65" w:rsidRDefault="00EA0A65">
      <w:pPr>
        <w:rPr>
          <w:rFonts w:ascii="Arial Narrow" w:eastAsia="Arial Narrow" w:hAnsi="Arial Narrow" w:cs="Arial Narrow"/>
          <w:b/>
          <w:sz w:val="20"/>
          <w:szCs w:val="20"/>
        </w:rPr>
      </w:pPr>
    </w:p>
    <w:p w14:paraId="645E8521" w14:textId="77777777" w:rsidR="00EA0A65" w:rsidRDefault="00EA0A65">
      <w:pPr>
        <w:rPr>
          <w:rFonts w:ascii="Arial Narrow" w:eastAsia="Arial Narrow" w:hAnsi="Arial Narrow" w:cs="Arial Narrow"/>
          <w:b/>
          <w:sz w:val="20"/>
          <w:szCs w:val="20"/>
        </w:rPr>
      </w:pPr>
    </w:p>
    <w:p w14:paraId="192633E8" w14:textId="77777777" w:rsidR="00EA0A65" w:rsidRDefault="00EA0A65">
      <w:pPr>
        <w:rPr>
          <w:rFonts w:ascii="Arial Narrow" w:eastAsia="Arial Narrow" w:hAnsi="Arial Narrow" w:cs="Arial Narrow"/>
          <w:b/>
          <w:sz w:val="20"/>
          <w:szCs w:val="20"/>
        </w:rPr>
      </w:pPr>
    </w:p>
    <w:p w14:paraId="69A21ADA" w14:textId="77777777" w:rsidR="00EA0A65" w:rsidRDefault="00EA0A65">
      <w:pPr>
        <w:rPr>
          <w:rFonts w:ascii="Arial Narrow" w:eastAsia="Arial Narrow" w:hAnsi="Arial Narrow" w:cs="Arial Narrow"/>
          <w:b/>
          <w:sz w:val="20"/>
          <w:szCs w:val="20"/>
        </w:rPr>
      </w:pPr>
    </w:p>
    <w:p w14:paraId="0AED19A8" w14:textId="77777777" w:rsidR="00EA0A65" w:rsidRDefault="00EA0A65">
      <w:pPr>
        <w:rPr>
          <w:rFonts w:ascii="Arial Narrow" w:eastAsia="Arial Narrow" w:hAnsi="Arial Narrow" w:cs="Arial Narrow"/>
          <w:b/>
          <w:sz w:val="20"/>
          <w:szCs w:val="20"/>
        </w:rPr>
      </w:pPr>
    </w:p>
    <w:p w14:paraId="44FDEA31" w14:textId="77777777" w:rsidR="00EA0A65" w:rsidRDefault="002959E9">
      <w:pPr>
        <w:rPr>
          <w:rFonts w:ascii="Arial Narrow" w:eastAsia="Arial Narrow" w:hAnsi="Arial Narrow" w:cs="Arial Narrow"/>
          <w:b/>
          <w:sz w:val="20"/>
          <w:szCs w:val="20"/>
        </w:rPr>
      </w:pPr>
      <w:r>
        <w:br w:type="page"/>
      </w:r>
    </w:p>
    <w:p w14:paraId="5C0E416D" w14:textId="77777777" w:rsidR="00EA0A65" w:rsidRDefault="002959E9">
      <w:pPr>
        <w:pBdr>
          <w:bottom w:val="single" w:sz="4" w:space="1" w:color="000000"/>
        </w:pBdr>
        <w:ind w:left="-426" w:right="-567"/>
        <w:rPr>
          <w:rFonts w:ascii="Arial Narrow" w:eastAsia="Arial Narrow" w:hAnsi="Arial Narrow" w:cs="Arial Narrow"/>
          <w:b/>
          <w:sz w:val="20"/>
          <w:szCs w:val="20"/>
        </w:rPr>
      </w:pPr>
      <w:r>
        <w:rPr>
          <w:rFonts w:ascii="Arial Narrow" w:eastAsia="Arial Narrow" w:hAnsi="Arial Narrow" w:cs="Arial Narrow"/>
          <w:b/>
          <w:sz w:val="20"/>
          <w:szCs w:val="20"/>
        </w:rPr>
        <w:lastRenderedPageBreak/>
        <w:t>ANEXO II. Descripción de instituciones participantes.</w:t>
      </w:r>
    </w:p>
    <w:p w14:paraId="29F0D475" w14:textId="77777777" w:rsidR="00EA0A65" w:rsidRDefault="00EA0A65">
      <w:pPr>
        <w:pBdr>
          <w:top w:val="nil"/>
          <w:left w:val="nil"/>
          <w:bottom w:val="nil"/>
          <w:right w:val="nil"/>
          <w:between w:val="nil"/>
        </w:pBdr>
        <w:rPr>
          <w:rFonts w:ascii="Arial Narrow" w:eastAsia="Arial Narrow" w:hAnsi="Arial Narrow" w:cs="Arial Narrow"/>
          <w:b/>
          <w:color w:val="000000"/>
          <w:sz w:val="16"/>
          <w:szCs w:val="16"/>
        </w:rPr>
      </w:pPr>
    </w:p>
    <w:p w14:paraId="17134886" w14:textId="77777777" w:rsidR="00EA0A65" w:rsidRDefault="00EA0A65">
      <w:pPr>
        <w:widowControl w:val="0"/>
        <w:ind w:left="-567"/>
        <w:rPr>
          <w:rFonts w:ascii="Arial Narrow" w:eastAsia="Arial Narrow" w:hAnsi="Arial Narrow" w:cs="Arial Narrow"/>
          <w:sz w:val="16"/>
          <w:szCs w:val="16"/>
          <w:highlight w:val="yellow"/>
        </w:rPr>
      </w:pPr>
    </w:p>
    <w:tbl>
      <w:tblPr>
        <w:tblStyle w:val="a4"/>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371"/>
      </w:tblGrid>
      <w:tr w:rsidR="00EA0A65" w14:paraId="4B664A9E" w14:textId="77777777">
        <w:trPr>
          <w:trHeight w:val="220"/>
        </w:trPr>
        <w:tc>
          <w:tcPr>
            <w:tcW w:w="10207" w:type="dxa"/>
            <w:gridSpan w:val="2"/>
          </w:tcPr>
          <w:p w14:paraId="59D2031C"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Nombre de la institución:</w:t>
            </w:r>
          </w:p>
          <w:p w14:paraId="68CE3F7B"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EARTH INNOVATION INSTITUTE</w:t>
            </w:r>
          </w:p>
        </w:tc>
      </w:tr>
      <w:tr w:rsidR="00EA0A65" w14:paraId="4CBDE33B" w14:textId="77777777">
        <w:tc>
          <w:tcPr>
            <w:tcW w:w="10207" w:type="dxa"/>
            <w:gridSpan w:val="2"/>
          </w:tcPr>
          <w:p w14:paraId="2E496FAF"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Persona de contacto/ Cargo:</w:t>
            </w:r>
          </w:p>
          <w:p w14:paraId="524E4FB6"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Daniel Nepstad / Director Ejecutivo</w:t>
            </w:r>
          </w:p>
          <w:p w14:paraId="2154C95E"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Gustavo Suárez de Freitas/ Coordinador Programa Perú</w:t>
            </w:r>
          </w:p>
        </w:tc>
      </w:tr>
      <w:tr w:rsidR="00EA0A65" w:rsidRPr="0037402A" w14:paraId="4318B906" w14:textId="77777777">
        <w:tc>
          <w:tcPr>
            <w:tcW w:w="2836" w:type="dxa"/>
          </w:tcPr>
          <w:p w14:paraId="2BC31E3C"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Dirección física:</w:t>
            </w:r>
          </w:p>
          <w:p w14:paraId="776BA86E"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98 Battery Street, Suite 250, San Francisco, CA 94111</w:t>
            </w:r>
          </w:p>
          <w:p w14:paraId="78296C7C"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Miguel Dasso 134 Of. 402 San Isidro, Lima, Perú.</w:t>
            </w:r>
          </w:p>
        </w:tc>
        <w:tc>
          <w:tcPr>
            <w:tcW w:w="7371" w:type="dxa"/>
          </w:tcPr>
          <w:p w14:paraId="6833B9DF" w14:textId="77777777" w:rsidR="00EA0A65" w:rsidRPr="002959E9" w:rsidRDefault="002959E9">
            <w:pPr>
              <w:pBdr>
                <w:top w:val="nil"/>
                <w:left w:val="nil"/>
                <w:bottom w:val="nil"/>
                <w:right w:val="nil"/>
                <w:between w:val="nil"/>
              </w:pBdr>
              <w:rPr>
                <w:rFonts w:ascii="Arial Narrow" w:eastAsia="Arial Narrow" w:hAnsi="Arial Narrow" w:cs="Arial Narrow"/>
                <w:i/>
                <w:color w:val="000000"/>
                <w:sz w:val="16"/>
                <w:szCs w:val="16"/>
                <w:lang w:val="pt-BR"/>
              </w:rPr>
            </w:pPr>
            <w:r w:rsidRPr="002959E9">
              <w:rPr>
                <w:rFonts w:ascii="Arial Narrow" w:eastAsia="Arial Narrow" w:hAnsi="Arial Narrow" w:cs="Arial Narrow"/>
                <w:i/>
                <w:color w:val="000000"/>
                <w:sz w:val="16"/>
                <w:szCs w:val="16"/>
                <w:lang w:val="pt-BR"/>
              </w:rPr>
              <w:t xml:space="preserve">E-mail: </w:t>
            </w:r>
          </w:p>
          <w:p w14:paraId="236E7E59" w14:textId="70E975AB" w:rsidR="00EA0A65" w:rsidRPr="0018117A" w:rsidRDefault="00214307" w:rsidP="0018117A">
            <w:pPr>
              <w:rPr>
                <w:rFonts w:ascii="Arial Narrow" w:eastAsia="Arial Narrow" w:hAnsi="Arial Narrow" w:cs="Arial Narrow"/>
                <w:color w:val="0563C1"/>
                <w:sz w:val="16"/>
                <w:szCs w:val="16"/>
                <w:u w:val="single"/>
                <w:lang w:val="pt-BR"/>
              </w:rPr>
            </w:pPr>
            <w:hyperlink r:id="rId20" w:history="1">
              <w:r w:rsidR="0018117A" w:rsidRPr="0018117A">
                <w:rPr>
                  <w:rFonts w:eastAsia="Arial Narrow" w:cs="Arial Narrow"/>
                  <w:color w:val="0563C1"/>
                  <w:sz w:val="16"/>
                  <w:szCs w:val="16"/>
                  <w:lang w:val="pt-BR"/>
                </w:rPr>
                <w:t>dnepstad@earthinnovation.org</w:t>
              </w:r>
            </w:hyperlink>
          </w:p>
          <w:p w14:paraId="61692776" w14:textId="77777777" w:rsidR="0018117A" w:rsidRPr="00C30001" w:rsidRDefault="0018117A">
            <w:pPr>
              <w:pBdr>
                <w:top w:val="nil"/>
                <w:left w:val="nil"/>
                <w:bottom w:val="nil"/>
                <w:right w:val="nil"/>
                <w:between w:val="nil"/>
              </w:pBdr>
              <w:rPr>
                <w:sz w:val="16"/>
                <w:szCs w:val="16"/>
                <w:lang w:val="pt-BR"/>
              </w:rPr>
            </w:pPr>
          </w:p>
          <w:p w14:paraId="60F1EA1B" w14:textId="7C3D8457" w:rsidR="00EA0A65" w:rsidRPr="002959E9" w:rsidRDefault="00214307">
            <w:pPr>
              <w:pBdr>
                <w:top w:val="nil"/>
                <w:left w:val="nil"/>
                <w:bottom w:val="nil"/>
                <w:right w:val="nil"/>
                <w:between w:val="nil"/>
              </w:pBdr>
              <w:rPr>
                <w:rFonts w:ascii="Arial Narrow" w:eastAsia="Arial Narrow" w:hAnsi="Arial Narrow" w:cs="Arial Narrow"/>
                <w:color w:val="000000"/>
                <w:sz w:val="16"/>
                <w:szCs w:val="16"/>
                <w:lang w:val="pt-BR"/>
              </w:rPr>
            </w:pPr>
            <w:hyperlink r:id="rId21" w:history="1">
              <w:r w:rsidR="0018117A" w:rsidRPr="00FE22FB">
                <w:rPr>
                  <w:rStyle w:val="Hyperlink"/>
                  <w:rFonts w:ascii="Arial Narrow" w:eastAsia="Arial Narrow" w:hAnsi="Arial Narrow" w:cs="Arial Narrow"/>
                  <w:sz w:val="16"/>
                  <w:szCs w:val="16"/>
                  <w:lang w:val="pt-BR"/>
                </w:rPr>
                <w:t>gsuarezdefreitas@earthinnovation.org</w:t>
              </w:r>
            </w:hyperlink>
          </w:p>
          <w:p w14:paraId="3BAEFC7A" w14:textId="77777777" w:rsidR="00EA0A65" w:rsidRPr="002959E9" w:rsidRDefault="00EA0A65">
            <w:pPr>
              <w:pBdr>
                <w:top w:val="nil"/>
                <w:left w:val="nil"/>
                <w:bottom w:val="nil"/>
                <w:right w:val="nil"/>
                <w:between w:val="nil"/>
              </w:pBdr>
              <w:rPr>
                <w:rFonts w:ascii="Arial Narrow" w:eastAsia="Arial Narrow" w:hAnsi="Arial Narrow" w:cs="Arial Narrow"/>
                <w:i/>
                <w:color w:val="000000"/>
                <w:sz w:val="16"/>
                <w:szCs w:val="16"/>
                <w:lang w:val="pt-BR"/>
              </w:rPr>
            </w:pPr>
          </w:p>
        </w:tc>
      </w:tr>
      <w:tr w:rsidR="00EA0A65" w14:paraId="25625FD3" w14:textId="77777777">
        <w:tc>
          <w:tcPr>
            <w:tcW w:w="2836" w:type="dxa"/>
          </w:tcPr>
          <w:p w14:paraId="267EF9D1"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Teléfono / Celular:</w:t>
            </w:r>
          </w:p>
          <w:p w14:paraId="70428A35"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 (415) 449-9900</w:t>
            </w:r>
          </w:p>
          <w:p w14:paraId="43BD17CD"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(51) 996136927</w:t>
            </w:r>
          </w:p>
        </w:tc>
        <w:tc>
          <w:tcPr>
            <w:tcW w:w="7371" w:type="dxa"/>
          </w:tcPr>
          <w:p w14:paraId="4846F9C0"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 xml:space="preserve">Sitio web: </w:t>
            </w:r>
          </w:p>
          <w:p w14:paraId="65E81244" w14:textId="77777777" w:rsidR="00EA0A65" w:rsidRDefault="00214307">
            <w:pPr>
              <w:pBdr>
                <w:top w:val="nil"/>
                <w:left w:val="nil"/>
                <w:bottom w:val="nil"/>
                <w:right w:val="nil"/>
                <w:between w:val="nil"/>
              </w:pBdr>
              <w:rPr>
                <w:rFonts w:ascii="Arial Narrow" w:eastAsia="Arial Narrow" w:hAnsi="Arial Narrow" w:cs="Arial Narrow"/>
                <w:color w:val="000000"/>
                <w:sz w:val="16"/>
                <w:szCs w:val="16"/>
              </w:rPr>
            </w:pPr>
            <w:hyperlink r:id="rId22">
              <w:r w:rsidR="002959E9">
                <w:rPr>
                  <w:rFonts w:ascii="Arial Narrow" w:eastAsia="Arial Narrow" w:hAnsi="Arial Narrow" w:cs="Arial Narrow"/>
                  <w:color w:val="0563C1"/>
                  <w:sz w:val="16"/>
                  <w:szCs w:val="16"/>
                  <w:u w:val="single"/>
                </w:rPr>
                <w:t>www.earthinnovation.org</w:t>
              </w:r>
            </w:hyperlink>
          </w:p>
          <w:p w14:paraId="13119A8A" w14:textId="77777777" w:rsidR="00EA0A65" w:rsidRDefault="00EA0A65">
            <w:pPr>
              <w:pBdr>
                <w:top w:val="nil"/>
                <w:left w:val="nil"/>
                <w:bottom w:val="nil"/>
                <w:right w:val="nil"/>
                <w:between w:val="nil"/>
              </w:pBdr>
              <w:rPr>
                <w:rFonts w:ascii="Arial Narrow" w:eastAsia="Arial Narrow" w:hAnsi="Arial Narrow" w:cs="Arial Narrow"/>
                <w:color w:val="000000"/>
                <w:sz w:val="16"/>
                <w:szCs w:val="16"/>
              </w:rPr>
            </w:pPr>
          </w:p>
        </w:tc>
      </w:tr>
      <w:tr w:rsidR="00EA0A65" w14:paraId="6BFBCA89" w14:textId="77777777">
        <w:tc>
          <w:tcPr>
            <w:tcW w:w="10207" w:type="dxa"/>
            <w:gridSpan w:val="2"/>
            <w:shd w:val="clear" w:color="auto" w:fill="D9E2F3"/>
          </w:tcPr>
          <w:p w14:paraId="4A02E443" w14:textId="77777777" w:rsidR="00EA0A65" w:rsidRDefault="00EA0A65">
            <w:pPr>
              <w:pBdr>
                <w:top w:val="nil"/>
                <w:left w:val="nil"/>
                <w:bottom w:val="nil"/>
                <w:right w:val="nil"/>
                <w:between w:val="nil"/>
              </w:pBdr>
              <w:rPr>
                <w:rFonts w:ascii="Arial Narrow" w:eastAsia="Arial Narrow" w:hAnsi="Arial Narrow" w:cs="Arial Narrow"/>
                <w:b/>
                <w:color w:val="000000"/>
                <w:sz w:val="16"/>
                <w:szCs w:val="16"/>
              </w:rPr>
            </w:pPr>
          </w:p>
        </w:tc>
      </w:tr>
      <w:tr w:rsidR="00EA0A65" w14:paraId="45A49A22" w14:textId="77777777">
        <w:trPr>
          <w:trHeight w:val="3000"/>
        </w:trPr>
        <w:tc>
          <w:tcPr>
            <w:tcW w:w="2836" w:type="dxa"/>
          </w:tcPr>
          <w:p w14:paraId="3595CEB3"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i/>
                <w:color w:val="000000"/>
                <w:sz w:val="16"/>
                <w:szCs w:val="16"/>
              </w:rPr>
              <w:t>Regiones de interés:</w:t>
            </w:r>
            <w:r>
              <w:rPr>
                <w:rFonts w:ascii="Arial Narrow" w:eastAsia="Arial Narrow" w:hAnsi="Arial Narrow" w:cs="Arial Narrow"/>
                <w:b/>
                <w:color w:val="000000"/>
                <w:sz w:val="16"/>
                <w:szCs w:val="16"/>
              </w:rPr>
              <w:t xml:space="preserve"> </w:t>
            </w:r>
          </w:p>
          <w:p w14:paraId="4F277647" w14:textId="77777777" w:rsidR="00EA0A65" w:rsidRDefault="00EA0A65">
            <w:pPr>
              <w:pBdr>
                <w:top w:val="nil"/>
                <w:left w:val="nil"/>
                <w:bottom w:val="nil"/>
                <w:right w:val="nil"/>
                <w:between w:val="nil"/>
              </w:pBdr>
              <w:rPr>
                <w:rFonts w:ascii="Arial Narrow" w:eastAsia="Arial Narrow" w:hAnsi="Arial Narrow" w:cs="Arial Narrow"/>
                <w:b/>
                <w:color w:val="000000"/>
                <w:sz w:val="16"/>
                <w:szCs w:val="16"/>
              </w:rPr>
            </w:pPr>
          </w:p>
          <w:p w14:paraId="37F1660C"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Amazonas</w:t>
            </w:r>
          </w:p>
          <w:p w14:paraId="42E4B58C"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Huánuco</w:t>
            </w:r>
          </w:p>
          <w:p w14:paraId="5B1597DF"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Loreto</w:t>
            </w:r>
          </w:p>
          <w:p w14:paraId="667021F2"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Madre de Dios</w:t>
            </w:r>
          </w:p>
          <w:p w14:paraId="76D33C3E"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Piura</w:t>
            </w:r>
          </w:p>
          <w:p w14:paraId="20BB15FB"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San Martín</w:t>
            </w:r>
          </w:p>
          <w:p w14:paraId="4446F09C"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Ucayali</w:t>
            </w:r>
          </w:p>
          <w:p w14:paraId="708973E0" w14:textId="77777777" w:rsidR="00EA0A65" w:rsidRDefault="00EA0A65">
            <w:pPr>
              <w:pBdr>
                <w:top w:val="nil"/>
                <w:left w:val="nil"/>
                <w:bottom w:val="nil"/>
                <w:right w:val="nil"/>
                <w:between w:val="nil"/>
              </w:pBdr>
              <w:rPr>
                <w:rFonts w:ascii="Arial Narrow" w:eastAsia="Arial Narrow" w:hAnsi="Arial Narrow" w:cs="Arial Narrow"/>
                <w:color w:val="000000"/>
                <w:sz w:val="16"/>
                <w:szCs w:val="16"/>
              </w:rPr>
            </w:pPr>
          </w:p>
        </w:tc>
        <w:tc>
          <w:tcPr>
            <w:tcW w:w="7371" w:type="dxa"/>
          </w:tcPr>
          <w:p w14:paraId="642F4518"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Líneas de trabajo (marcar todas las que corresponda):</w:t>
            </w:r>
          </w:p>
          <w:p w14:paraId="047A9924" w14:textId="77777777" w:rsidR="00EA0A65" w:rsidRDefault="00EA0A65">
            <w:pPr>
              <w:pBdr>
                <w:top w:val="nil"/>
                <w:left w:val="nil"/>
                <w:bottom w:val="nil"/>
                <w:right w:val="nil"/>
                <w:between w:val="nil"/>
              </w:pBdr>
              <w:rPr>
                <w:rFonts w:ascii="Arial Narrow" w:eastAsia="Arial Narrow" w:hAnsi="Arial Narrow" w:cs="Arial Narrow"/>
                <w:i/>
                <w:color w:val="000000"/>
                <w:sz w:val="16"/>
                <w:szCs w:val="16"/>
              </w:rPr>
            </w:pPr>
          </w:p>
          <w:p w14:paraId="6E51B15F"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(X ) Agricultura libre de deforestación, sistemas agroforestales</w:t>
            </w:r>
          </w:p>
          <w:p w14:paraId="4F0E8BA9" w14:textId="77777777" w:rsidR="00EA0A65" w:rsidRPr="002959E9" w:rsidRDefault="002959E9">
            <w:pPr>
              <w:pBdr>
                <w:top w:val="nil"/>
                <w:left w:val="nil"/>
                <w:bottom w:val="nil"/>
                <w:right w:val="nil"/>
                <w:between w:val="nil"/>
              </w:pBdr>
              <w:rPr>
                <w:rFonts w:ascii="Arial Narrow" w:eastAsia="Arial Narrow" w:hAnsi="Arial Narrow" w:cs="Arial Narrow"/>
                <w:b/>
                <w:color w:val="000000"/>
                <w:sz w:val="16"/>
                <w:szCs w:val="16"/>
                <w:lang w:val="pt-BR"/>
              </w:rPr>
            </w:pPr>
            <w:r w:rsidRPr="002959E9">
              <w:rPr>
                <w:rFonts w:ascii="Arial Narrow" w:eastAsia="Arial Narrow" w:hAnsi="Arial Narrow" w:cs="Arial Narrow"/>
                <w:color w:val="000000"/>
                <w:sz w:val="16"/>
                <w:szCs w:val="16"/>
                <w:lang w:val="pt-BR"/>
              </w:rPr>
              <w:t>(X ) Áreas protegidas, zonas de conservación</w:t>
            </w:r>
          </w:p>
          <w:p w14:paraId="7C10BFDD"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(X ) Gestión de paisajes sostenibles, sistemas productivos sostenibles</w:t>
            </w:r>
          </w:p>
          <w:p w14:paraId="299D6996"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 Proyectos con comunidades nativas y pobladores locales</w:t>
            </w:r>
          </w:p>
          <w:p w14:paraId="16E87357"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 Proyectos REDD+</w:t>
            </w:r>
          </w:p>
          <w:p w14:paraId="6E9D8DE5"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(X ) Financiamiento (público, privado)</w:t>
            </w:r>
          </w:p>
          <w:p w14:paraId="2D597A5C"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   ) Restauración, recuperación de áreas degradadas, reforestación</w:t>
            </w:r>
          </w:p>
          <w:p w14:paraId="5CB7F21D"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 xml:space="preserve">(   ) Manejo de bosques, madera, productos diferentes a la madera </w:t>
            </w:r>
          </w:p>
          <w:p w14:paraId="17D02272"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(X ) Políticas públicas</w:t>
            </w:r>
          </w:p>
          <w:p w14:paraId="26C63613"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 Gestión pública</w:t>
            </w:r>
          </w:p>
          <w:p w14:paraId="1D153565"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 Planificación, Procesos participativos</w:t>
            </w:r>
          </w:p>
          <w:p w14:paraId="51AE29E6"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 Monitoreo de cobertura, sistemas de información geográfica</w:t>
            </w:r>
          </w:p>
          <w:p w14:paraId="218A3DF7"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 Análisis de causas de la deforestación, degradación</w:t>
            </w:r>
          </w:p>
          <w:p w14:paraId="4F77E54D"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color w:val="000000"/>
                <w:sz w:val="16"/>
                <w:szCs w:val="16"/>
              </w:rPr>
              <w:t>(X ) Otros.</w:t>
            </w:r>
            <w:r>
              <w:rPr>
                <w:rFonts w:ascii="Arial Narrow" w:eastAsia="Arial Narrow" w:hAnsi="Arial Narrow" w:cs="Arial Narrow"/>
                <w:i/>
                <w:color w:val="000000"/>
                <w:sz w:val="16"/>
                <w:szCs w:val="16"/>
              </w:rPr>
              <w:t xml:space="preserve"> Precisar: </w:t>
            </w:r>
            <w:r>
              <w:rPr>
                <w:rFonts w:ascii="Arial Narrow" w:eastAsia="Arial Narrow" w:hAnsi="Arial Narrow" w:cs="Arial Narrow"/>
                <w:color w:val="000000"/>
                <w:sz w:val="16"/>
                <w:szCs w:val="16"/>
              </w:rPr>
              <w:t>Monitoreo del proceso hacia LEDR (Plataforma Producir Proteger) como parte de aplicación metodológica de TPS (Territorial Performance System)</w:t>
            </w:r>
          </w:p>
        </w:tc>
      </w:tr>
      <w:tr w:rsidR="00EA0A65" w14:paraId="32A2526D" w14:textId="77777777">
        <w:trPr>
          <w:trHeight w:val="200"/>
        </w:trPr>
        <w:tc>
          <w:tcPr>
            <w:tcW w:w="10207" w:type="dxa"/>
            <w:gridSpan w:val="2"/>
            <w:shd w:val="clear" w:color="auto" w:fill="D9E2F3"/>
          </w:tcPr>
          <w:p w14:paraId="56B9D80D" w14:textId="77777777" w:rsidR="00EA0A65" w:rsidRDefault="00EA0A65">
            <w:pPr>
              <w:pBdr>
                <w:top w:val="nil"/>
                <w:left w:val="nil"/>
                <w:bottom w:val="nil"/>
                <w:right w:val="nil"/>
                <w:between w:val="nil"/>
              </w:pBdr>
              <w:rPr>
                <w:rFonts w:ascii="Arial Narrow" w:eastAsia="Arial Narrow" w:hAnsi="Arial Narrow" w:cs="Arial Narrow"/>
                <w:color w:val="000000"/>
                <w:sz w:val="16"/>
                <w:szCs w:val="16"/>
              </w:rPr>
            </w:pPr>
          </w:p>
        </w:tc>
      </w:tr>
      <w:tr w:rsidR="00EA0A65" w14:paraId="11237397" w14:textId="77777777">
        <w:trPr>
          <w:trHeight w:val="200"/>
        </w:trPr>
        <w:tc>
          <w:tcPr>
            <w:tcW w:w="10207" w:type="dxa"/>
            <w:gridSpan w:val="2"/>
          </w:tcPr>
          <w:p w14:paraId="1840E210"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Experiencia en la región del proyecto. Describir brevemente.</w:t>
            </w:r>
          </w:p>
          <w:p w14:paraId="0C2D37B6" w14:textId="77777777" w:rsidR="00EA0A65" w:rsidRDefault="00EA0A65">
            <w:pPr>
              <w:pBdr>
                <w:top w:val="nil"/>
                <w:left w:val="nil"/>
                <w:bottom w:val="nil"/>
                <w:right w:val="nil"/>
                <w:between w:val="nil"/>
              </w:pBdr>
              <w:rPr>
                <w:rFonts w:ascii="Arial Narrow" w:eastAsia="Arial Narrow" w:hAnsi="Arial Narrow" w:cs="Arial Narrow"/>
                <w:i/>
                <w:color w:val="000000"/>
                <w:sz w:val="16"/>
                <w:szCs w:val="16"/>
              </w:rPr>
            </w:pPr>
          </w:p>
          <w:p w14:paraId="3DBF07ED"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EII viene trabajando en el Perú con las regiones miembros del GCF TF en promover desarrollo rural bajo en emisiones, en el marco de dos proyectos en ejecución y uno concluido:</w:t>
            </w:r>
          </w:p>
          <w:p w14:paraId="649FDB86" w14:textId="77777777" w:rsidR="00EA0A65" w:rsidRDefault="002959E9">
            <w:pPr>
              <w:numPr>
                <w:ilvl w:val="0"/>
                <w:numId w:val="13"/>
              </w:numPr>
              <w:pBdr>
                <w:top w:val="nil"/>
                <w:left w:val="nil"/>
                <w:bottom w:val="nil"/>
                <w:right w:val="nil"/>
                <w:between w:val="nil"/>
              </w:pBdr>
              <w:rPr>
                <w:color w:val="000000"/>
                <w:sz w:val="16"/>
                <w:szCs w:val="16"/>
              </w:rPr>
            </w:pPr>
            <w:r>
              <w:rPr>
                <w:rFonts w:ascii="Arial Narrow" w:eastAsia="Arial Narrow" w:hAnsi="Arial Narrow" w:cs="Arial Narrow"/>
                <w:color w:val="000000"/>
                <w:sz w:val="16"/>
                <w:szCs w:val="16"/>
              </w:rPr>
              <w:t>Proyecto IKI “Implementando Estrategias para una transición a escala regional hacia un desarrollo rural bajo en emisiones en Indonesia, Perú, México, Colombia y Kenia”.</w:t>
            </w:r>
          </w:p>
          <w:p w14:paraId="63B58802" w14:textId="77777777" w:rsidR="00EA0A65" w:rsidRDefault="002959E9">
            <w:pPr>
              <w:numPr>
                <w:ilvl w:val="0"/>
                <w:numId w:val="13"/>
              </w:numPr>
              <w:pBdr>
                <w:top w:val="nil"/>
                <w:left w:val="nil"/>
                <w:bottom w:val="nil"/>
                <w:right w:val="nil"/>
                <w:between w:val="nil"/>
              </w:pBdr>
              <w:rPr>
                <w:color w:val="000000"/>
                <w:sz w:val="16"/>
                <w:szCs w:val="16"/>
              </w:rPr>
            </w:pPr>
            <w:r>
              <w:rPr>
                <w:rFonts w:ascii="Arial Narrow" w:eastAsia="Arial Narrow" w:hAnsi="Arial Narrow" w:cs="Arial Narrow"/>
                <w:color w:val="000000"/>
                <w:sz w:val="16"/>
                <w:szCs w:val="16"/>
              </w:rPr>
              <w:t>Proyecto NICFI “Construyendo puentes entre las políticas locales, REDD+ y las iniciativas de cadenas de suministros sostenibles: Fase 3 de la Iniciativa Bosques, Fincas y Finanzas”</w:t>
            </w:r>
          </w:p>
          <w:p w14:paraId="462F96E2" w14:textId="77777777" w:rsidR="00EA0A65" w:rsidRDefault="002959E9">
            <w:pPr>
              <w:numPr>
                <w:ilvl w:val="0"/>
                <w:numId w:val="13"/>
              </w:numPr>
              <w:pBdr>
                <w:top w:val="nil"/>
                <w:left w:val="nil"/>
                <w:bottom w:val="nil"/>
                <w:right w:val="nil"/>
                <w:between w:val="nil"/>
              </w:pBdr>
              <w:rPr>
                <w:i/>
                <w:color w:val="000000"/>
                <w:sz w:val="16"/>
                <w:szCs w:val="16"/>
              </w:rPr>
            </w:pPr>
            <w:r>
              <w:rPr>
                <w:rFonts w:ascii="Arial Narrow" w:eastAsia="Arial Narrow" w:hAnsi="Arial Narrow" w:cs="Arial Narrow"/>
                <w:color w:val="000000"/>
                <w:sz w:val="16"/>
                <w:szCs w:val="16"/>
              </w:rPr>
              <w:t xml:space="preserve">Proyecto NORAD/WWF "Apoyo a la Implementación de la Declaración Conjunta de Intención sobre REDD+ de Perú, Noruega y Alemania". Durante 18 meses, concluyendo en junio 30 de 2017, se participó en este proyecto conjunto con Mecanismos de Desarrollo Alternos -MDA y Forest Trends. Parte del resultado son tres publicaciones sobre la adaptación y aplicación en el Perú de la aproximación de producción – protección – inclusión.  </w:t>
            </w:r>
          </w:p>
          <w:p w14:paraId="2ABC33FE"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color w:val="000000"/>
                <w:sz w:val="16"/>
                <w:szCs w:val="16"/>
              </w:rPr>
              <w:t xml:space="preserve">Se viene trabajando con San Martín y Amazonas el proceso de elaboración de una hoja de ruta hacia DRBE, que será el punto de partida para las actividades a ser financiadas por NICFI/PNUD. En Amazonas, Huánuco, Piura, Loreto y Madre de Dios el trabajo se ha iniciado más lentamente, con talleres iniciales sobre la materia. El equipo de EII en Perú tiene larga experiencia en el trabajo con los gobiernos regionales amazónicos y con el gobierno nacional. </w:t>
            </w:r>
          </w:p>
        </w:tc>
      </w:tr>
      <w:tr w:rsidR="00EA0A65" w14:paraId="25A2158D" w14:textId="77777777">
        <w:trPr>
          <w:trHeight w:val="200"/>
        </w:trPr>
        <w:tc>
          <w:tcPr>
            <w:tcW w:w="2836" w:type="dxa"/>
            <w:vMerge w:val="restart"/>
          </w:tcPr>
          <w:p w14:paraId="181612F1"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Experiencia en la materia del proyecto</w:t>
            </w:r>
          </w:p>
          <w:p w14:paraId="21E16C0A"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(proyectos, investigaciones previas, publicaciones)</w:t>
            </w:r>
          </w:p>
        </w:tc>
        <w:tc>
          <w:tcPr>
            <w:tcW w:w="7371" w:type="dxa"/>
          </w:tcPr>
          <w:p w14:paraId="5FFA6FDB" w14:textId="77777777" w:rsidR="00EA0A65" w:rsidRDefault="002959E9">
            <w:pPr>
              <w:numPr>
                <w:ilvl w:val="0"/>
                <w:numId w:val="14"/>
              </w:numPr>
              <w:pBdr>
                <w:top w:val="nil"/>
                <w:left w:val="nil"/>
                <w:bottom w:val="nil"/>
                <w:right w:val="nil"/>
                <w:between w:val="nil"/>
              </w:pBdr>
              <w:ind w:left="175" w:hanging="28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Programa de Iniciativas de Políticas REDD+, para apoyar gobiernos subnacionales (estados, regiones, provincias) ubicados en regiones de bosques tropicales y templados, para desarrollar estrategias jurisdiccionales REDD+ y promover la inclusión de diversos actores, en particular los pequeños productores rurales y los pueblos indígenas, en la planificación del desarrollo rural. A través de su papel como asesor técnico del Grupo de Trabajo de los Gobernadores por el Clima y los Bosques  EII trabaja para promover aproximaciones jurisdiccionales a REDD+ entre los estados miembros -seis de los cuales son regiones amazónicas del Perú.</w:t>
            </w:r>
          </w:p>
        </w:tc>
      </w:tr>
      <w:tr w:rsidR="00EA0A65" w14:paraId="16D3FEFE" w14:textId="77777777">
        <w:trPr>
          <w:trHeight w:val="200"/>
        </w:trPr>
        <w:tc>
          <w:tcPr>
            <w:tcW w:w="2836" w:type="dxa"/>
            <w:vMerge/>
          </w:tcPr>
          <w:p w14:paraId="562198C4"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371" w:type="dxa"/>
          </w:tcPr>
          <w:p w14:paraId="61EE692C" w14:textId="77777777" w:rsidR="00EA0A65" w:rsidRDefault="002959E9">
            <w:pPr>
              <w:numPr>
                <w:ilvl w:val="0"/>
                <w:numId w:val="14"/>
              </w:numPr>
              <w:pBdr>
                <w:top w:val="nil"/>
                <w:left w:val="nil"/>
                <w:bottom w:val="nil"/>
                <w:right w:val="nil"/>
                <w:between w:val="nil"/>
              </w:pBdr>
              <w:ind w:left="175" w:hanging="283"/>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Iniciativa de Bosques, Fincas y Finanzas , la cual busca conectar las iniciativas de cadenas de abastecimiento sostenible con las políticas nacionales, las instituciones de financiamiento agropecuario y las finanzas climáticas globales, para promover el desarrollo rural bajo en emisiones (DRBE) . En el Perú se viene incorporando este enfoque en las regiones amazónicas, a través de impulsar la adopción del enfoque de producción -  protección (incrementar la productividad para reducir la expansión agropecuaria que amenaza los bosques) y de inclusión en el desarrollo rural. </w:t>
            </w:r>
          </w:p>
          <w:p w14:paraId="1245B240" w14:textId="77777777" w:rsidR="00EA0A65" w:rsidRDefault="002959E9">
            <w:pPr>
              <w:pBdr>
                <w:top w:val="nil"/>
                <w:left w:val="nil"/>
                <w:bottom w:val="nil"/>
                <w:right w:val="nil"/>
                <w:between w:val="nil"/>
              </w:pBdr>
              <w:ind w:left="175" w:hanging="142"/>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Actualmente se ejecuta el Proyecto “Construyendo puentes entre las políticas locales, REDD+ y las iniciativas de cadenas de suministros sostenibles: Fase 3 de la Iniciativa Bosques, Fincas y Finanzas”, con recursos de NICFI.</w:t>
            </w:r>
          </w:p>
        </w:tc>
      </w:tr>
      <w:tr w:rsidR="00EA0A65" w14:paraId="10A73F04" w14:textId="77777777">
        <w:trPr>
          <w:trHeight w:val="200"/>
        </w:trPr>
        <w:tc>
          <w:tcPr>
            <w:tcW w:w="2836" w:type="dxa"/>
            <w:vMerge/>
          </w:tcPr>
          <w:p w14:paraId="5DEA2386"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371" w:type="dxa"/>
          </w:tcPr>
          <w:p w14:paraId="7A61AFEE" w14:textId="77777777" w:rsidR="00EA0A65" w:rsidRDefault="002959E9">
            <w:pPr>
              <w:numPr>
                <w:ilvl w:val="0"/>
                <w:numId w:val="14"/>
              </w:numPr>
              <w:pBdr>
                <w:top w:val="nil"/>
                <w:left w:val="nil"/>
                <w:bottom w:val="nil"/>
                <w:right w:val="nil"/>
                <w:between w:val="nil"/>
              </w:pBdr>
              <w:ind w:left="175" w:hanging="283"/>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Proyecto IKI “Implementando Estrategias para una transición a escala regional hacia un desarrollo rural bajo en emisiones en Indonesia, Perú, México, Colombia y Kenia”. En el Perú viene apoyando una aproximación regional amazónica hacia el DRBE, con articulación con el sector privado. </w:t>
            </w:r>
          </w:p>
        </w:tc>
      </w:tr>
      <w:tr w:rsidR="00EA0A65" w14:paraId="0DB65D94" w14:textId="77777777">
        <w:trPr>
          <w:trHeight w:val="200"/>
        </w:trPr>
        <w:tc>
          <w:tcPr>
            <w:tcW w:w="2836" w:type="dxa"/>
            <w:vMerge/>
          </w:tcPr>
          <w:p w14:paraId="7B29322C"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371" w:type="dxa"/>
          </w:tcPr>
          <w:p w14:paraId="7676CB40"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u w:val="single"/>
              </w:rPr>
              <w:t>Publicaciones específicas sobre Perú</w:t>
            </w:r>
            <w:r>
              <w:rPr>
                <w:rFonts w:ascii="Arial Narrow" w:eastAsia="Arial Narrow" w:hAnsi="Arial Narrow" w:cs="Arial Narrow"/>
                <w:color w:val="000000"/>
                <w:sz w:val="16"/>
                <w:szCs w:val="16"/>
              </w:rPr>
              <w:t>:</w:t>
            </w:r>
          </w:p>
          <w:p w14:paraId="46604D76" w14:textId="77777777" w:rsidR="00EA0A65" w:rsidRPr="002959E9" w:rsidRDefault="002959E9">
            <w:pPr>
              <w:pBdr>
                <w:top w:val="nil"/>
                <w:left w:val="nil"/>
                <w:bottom w:val="nil"/>
                <w:right w:val="nil"/>
                <w:between w:val="nil"/>
              </w:pBdr>
              <w:rPr>
                <w:rFonts w:ascii="Arial Narrow" w:eastAsia="Arial Narrow" w:hAnsi="Arial Narrow" w:cs="Arial Narrow"/>
                <w:color w:val="000000"/>
                <w:sz w:val="16"/>
                <w:szCs w:val="16"/>
                <w:lang w:val="pt-BR"/>
              </w:rPr>
            </w:pPr>
            <w:r>
              <w:rPr>
                <w:rFonts w:ascii="Arial Narrow" w:eastAsia="Arial Narrow" w:hAnsi="Arial Narrow" w:cs="Arial Narrow"/>
                <w:color w:val="000000"/>
                <w:sz w:val="16"/>
                <w:szCs w:val="16"/>
              </w:rPr>
              <w:t xml:space="preserve">1. Danielle King, Frank Hicks, Gena Gammie, Víctor Galarreta, Larry Szott,  Daniel Coronel, Luis Miguel Ormeño y Monica Leal (2016).Hacia un Enfoque Protección-Producción en Perú: Elementos y lecciones de la experiencia global. </w:t>
            </w:r>
            <w:r w:rsidRPr="002959E9">
              <w:rPr>
                <w:rFonts w:ascii="Arial Narrow" w:eastAsia="Arial Narrow" w:hAnsi="Arial Narrow" w:cs="Arial Narrow"/>
                <w:color w:val="000000"/>
                <w:sz w:val="16"/>
                <w:szCs w:val="16"/>
                <w:lang w:val="pt-BR"/>
              </w:rPr>
              <w:t xml:space="preserve">MDA, EII, FT. 2017. </w:t>
            </w:r>
          </w:p>
          <w:p w14:paraId="77888167"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sidRPr="002959E9">
              <w:rPr>
                <w:rFonts w:ascii="Arial Narrow" w:eastAsia="Arial Narrow" w:hAnsi="Arial Narrow" w:cs="Arial Narrow"/>
                <w:color w:val="000000"/>
                <w:sz w:val="16"/>
                <w:szCs w:val="16"/>
                <w:lang w:val="pt-BR"/>
              </w:rPr>
              <w:t xml:space="preserve">2. L.T. Szott, L.M. Ormeño, G. Suárez de Freitas, V. Galarreta, R. Edwards, I. Alcántara, D. Coronel, O. Saavedra, M. Leal, E. Mendoza (2017). </w:t>
            </w:r>
            <w:r>
              <w:rPr>
                <w:rFonts w:ascii="Arial Narrow" w:eastAsia="Arial Narrow" w:hAnsi="Arial Narrow" w:cs="Arial Narrow"/>
                <w:color w:val="000000"/>
                <w:sz w:val="16"/>
                <w:szCs w:val="16"/>
              </w:rPr>
              <w:t>El Enfoque Producción-Protección en el contexto peruano. MDA, FT, EII</w:t>
            </w:r>
          </w:p>
          <w:p w14:paraId="4AD94EF1"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sidRPr="002959E9">
              <w:rPr>
                <w:rFonts w:ascii="Arial Narrow" w:eastAsia="Arial Narrow" w:hAnsi="Arial Narrow" w:cs="Arial Narrow"/>
                <w:color w:val="000000"/>
                <w:sz w:val="16"/>
                <w:szCs w:val="16"/>
                <w:lang w:val="en-US"/>
              </w:rPr>
              <w:t xml:space="preserve">2. Lawrence Szott, Gustavo Suárez de Freitas, Victor Galarreta,  Daniel Coronel, Frank Hicks, Rupert Edwards, Josh Gregory (2017). A Financial Strategy for the Production-Protection  Compact in the Peruvian Amazon. </w:t>
            </w:r>
            <w:r>
              <w:rPr>
                <w:rFonts w:ascii="Arial Narrow" w:eastAsia="Arial Narrow" w:hAnsi="Arial Narrow" w:cs="Arial Narrow"/>
                <w:color w:val="000000"/>
                <w:sz w:val="16"/>
                <w:szCs w:val="16"/>
              </w:rPr>
              <w:t>EII. FT. MDA.</w:t>
            </w:r>
          </w:p>
        </w:tc>
      </w:tr>
      <w:tr w:rsidR="00EA0A65" w14:paraId="49028A5A" w14:textId="77777777">
        <w:trPr>
          <w:trHeight w:val="340"/>
        </w:trPr>
        <w:tc>
          <w:tcPr>
            <w:tcW w:w="2836" w:type="dxa"/>
            <w:vMerge/>
          </w:tcPr>
          <w:p w14:paraId="2830AB11"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371" w:type="dxa"/>
          </w:tcPr>
          <w:p w14:paraId="6E1F7CC5"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Diversas otras publicaciones en: www.earthinnovation.org</w:t>
            </w:r>
          </w:p>
        </w:tc>
      </w:tr>
      <w:tr w:rsidR="00EA0A65" w14:paraId="04377E61" w14:textId="77777777">
        <w:trPr>
          <w:trHeight w:val="200"/>
        </w:trPr>
        <w:tc>
          <w:tcPr>
            <w:tcW w:w="10207" w:type="dxa"/>
            <w:gridSpan w:val="2"/>
            <w:shd w:val="clear" w:color="auto" w:fill="D9E2F3"/>
          </w:tcPr>
          <w:p w14:paraId="0182710C" w14:textId="77777777" w:rsidR="00EA0A65" w:rsidRDefault="00EA0A65">
            <w:pPr>
              <w:pBdr>
                <w:top w:val="nil"/>
                <w:left w:val="nil"/>
                <w:bottom w:val="nil"/>
                <w:right w:val="nil"/>
                <w:between w:val="nil"/>
              </w:pBdr>
              <w:jc w:val="center"/>
              <w:rPr>
                <w:rFonts w:ascii="Arial Narrow" w:eastAsia="Arial Narrow" w:hAnsi="Arial Narrow" w:cs="Arial Narrow"/>
                <w:color w:val="000000"/>
                <w:sz w:val="16"/>
                <w:szCs w:val="16"/>
              </w:rPr>
            </w:pPr>
          </w:p>
        </w:tc>
      </w:tr>
      <w:tr w:rsidR="00EA0A65" w14:paraId="42114874" w14:textId="77777777">
        <w:trPr>
          <w:trHeight w:val="200"/>
        </w:trPr>
        <w:tc>
          <w:tcPr>
            <w:tcW w:w="10207" w:type="dxa"/>
            <w:gridSpan w:val="2"/>
          </w:tcPr>
          <w:p w14:paraId="5FF7F860"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Otra información relevante</w:t>
            </w:r>
          </w:p>
          <w:p w14:paraId="4700557F" w14:textId="77777777" w:rsidR="00EA0A65" w:rsidRDefault="002959E9">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Earth Innovation Institute es un instituto sin fines de lucro dedicado a la investigación aplicada y al desarrollo de políticas públicas que impulsen el desarrollo rural climáticamente amigable, a través de enfoques innovadores a la agricultura, manejo de bosques y pesquerías sostenibles en regiones tropicales del mundo. Su trabajo se enfoca en cuatro caminos críticos para apoyar el cambio: 1) evidencia científica como base para el proceso de diseño de políticas; 2) alianzas y asociaciones para influenciar un pensamiento más amplio sobre mercados, políticas y  desarrollo sostenible; 3) sistemas de gobernanza transparentes y participativos para proteger el ambiente y los derechos de los pueblos y personas dependientes de los recursos naturales; 4) alineamiento de las políticas, mercados y finanzas para intensificar la transición de un desarrollo tendencial (business-as-usual) hacia un desarrollo rural bajo en emisiones en regiones de bosques tropicales.</w:t>
            </w:r>
          </w:p>
          <w:p w14:paraId="72DCC2D3"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p w14:paraId="1A2B02C1"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Además de los programas y proyectos mencionados arriba, EII lidera procesos relevantes con diversas organizaciones en diferentes países: </w:t>
            </w:r>
          </w:p>
          <w:p w14:paraId="7F156161"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r>
              <w:rPr>
                <w:rFonts w:ascii="Arial Narrow" w:eastAsia="Arial Narrow" w:hAnsi="Arial Narrow" w:cs="Arial Narrow"/>
                <w:color w:val="000000"/>
                <w:sz w:val="16"/>
                <w:szCs w:val="16"/>
              </w:rPr>
              <w:tab/>
              <w:t xml:space="preserve">La Alianza por los Trópicos Sostenibles (ATS) es una alianza de siete organizaciones que buscan desarrollar una aproximación común para promover el desarrollo rural bajo en emisiones. Como parte de la misión de la ATS, exploramos los retos y oportunidades para lograr mayores beneficios para las poblaciones indígenas y tradicionales en el contexto de programas integrados de desarrollo bajo en emisiones en 10 jurisdicciones subnacionales. </w:t>
            </w:r>
          </w:p>
          <w:p w14:paraId="7245BA13" w14:textId="77777777" w:rsidR="00EA0A65" w:rsidRDefault="00EA0A65">
            <w:pPr>
              <w:pBdr>
                <w:top w:val="nil"/>
                <w:left w:val="nil"/>
                <w:bottom w:val="nil"/>
                <w:right w:val="nil"/>
                <w:between w:val="nil"/>
              </w:pBdr>
              <w:rPr>
                <w:rFonts w:ascii="Arial Narrow" w:eastAsia="Arial Narrow" w:hAnsi="Arial Narrow" w:cs="Arial Narrow"/>
                <w:color w:val="000000"/>
                <w:sz w:val="16"/>
                <w:szCs w:val="16"/>
              </w:rPr>
            </w:pPr>
          </w:p>
          <w:p w14:paraId="78006435"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r>
              <w:rPr>
                <w:rFonts w:ascii="Arial Narrow" w:eastAsia="Arial Narrow" w:hAnsi="Arial Narrow" w:cs="Arial Narrow"/>
                <w:color w:val="000000"/>
                <w:sz w:val="16"/>
                <w:szCs w:val="16"/>
              </w:rPr>
              <w:tab/>
              <w:t xml:space="preserve">El Consorcio de Medios de Vida basados en los Bosques, una alianza de nueve organizaciones indígenas (la Coordinadora de Organizaciones de la Cuenca amazónica – COICA; la Coordinadora de las Organizaciones Indígenas  de la Amazonia Brasileña -COIAB), la Red Mexicana de Productores Campesinos y Forestales; y la Alianza Mesoamericana de los Pueblos y los Bosques -AMPB); instituciones de investigación y grupos sin fines de lucro que trabajan en Brasil, Perú y Colombia, Cetro América y México. Tiene un programa multianual, que busca acelerar la inclusión de indígenas y de comunidades basadas en los bosques, en las estrategias de mitigación de cambio climático en América Latina, promoviendo reconocimiento y retribución por la reducción de emisiones en jurisdicciones seleccionadas. </w:t>
            </w:r>
          </w:p>
        </w:tc>
      </w:tr>
    </w:tbl>
    <w:p w14:paraId="2C156614" w14:textId="77777777" w:rsidR="00EA0A65" w:rsidRDefault="00EA0A65">
      <w:pPr>
        <w:pBdr>
          <w:top w:val="nil"/>
          <w:left w:val="nil"/>
          <w:bottom w:val="nil"/>
          <w:right w:val="nil"/>
          <w:between w:val="nil"/>
        </w:pBdr>
        <w:rPr>
          <w:rFonts w:ascii="Arial Narrow" w:eastAsia="Arial Narrow" w:hAnsi="Arial Narrow" w:cs="Arial Narrow"/>
          <w:b/>
          <w:color w:val="000000"/>
          <w:sz w:val="16"/>
          <w:szCs w:val="16"/>
        </w:rPr>
      </w:pPr>
    </w:p>
    <w:p w14:paraId="4BF9E23C" w14:textId="77777777" w:rsidR="00EA0A65" w:rsidRDefault="00EA0A65">
      <w:pPr>
        <w:pBdr>
          <w:top w:val="nil"/>
          <w:left w:val="nil"/>
          <w:bottom w:val="nil"/>
          <w:right w:val="nil"/>
          <w:between w:val="nil"/>
        </w:pBdr>
        <w:rPr>
          <w:rFonts w:ascii="Arial Narrow" w:eastAsia="Arial Narrow" w:hAnsi="Arial Narrow" w:cs="Arial Narrow"/>
          <w:b/>
          <w:color w:val="000000"/>
          <w:sz w:val="16"/>
          <w:szCs w:val="16"/>
        </w:rPr>
      </w:pPr>
    </w:p>
    <w:p w14:paraId="4C68F0E3" w14:textId="77777777" w:rsidR="00EA0A65" w:rsidRDefault="00EA0A65">
      <w:pPr>
        <w:pBdr>
          <w:top w:val="nil"/>
          <w:left w:val="nil"/>
          <w:bottom w:val="nil"/>
          <w:right w:val="nil"/>
          <w:between w:val="nil"/>
        </w:pBdr>
        <w:rPr>
          <w:rFonts w:ascii="Arial Narrow" w:eastAsia="Arial Narrow" w:hAnsi="Arial Narrow" w:cs="Arial Narrow"/>
          <w:b/>
          <w:color w:val="000000"/>
          <w:sz w:val="16"/>
          <w:szCs w:val="16"/>
        </w:rPr>
      </w:pPr>
    </w:p>
    <w:p w14:paraId="70EE0D2D" w14:textId="77777777" w:rsidR="00EA0A65" w:rsidRDefault="00EA0A65">
      <w:pPr>
        <w:pBdr>
          <w:top w:val="nil"/>
          <w:left w:val="nil"/>
          <w:bottom w:val="nil"/>
          <w:right w:val="nil"/>
          <w:between w:val="nil"/>
        </w:pBdr>
        <w:rPr>
          <w:rFonts w:ascii="Arial Narrow" w:eastAsia="Arial Narrow" w:hAnsi="Arial Narrow" w:cs="Arial Narrow"/>
          <w:b/>
          <w:color w:val="000000"/>
          <w:sz w:val="16"/>
          <w:szCs w:val="16"/>
        </w:rPr>
      </w:pPr>
    </w:p>
    <w:tbl>
      <w:tblPr>
        <w:tblStyle w:val="a5"/>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142"/>
        <w:gridCol w:w="7512"/>
      </w:tblGrid>
      <w:tr w:rsidR="00EA0A65" w14:paraId="46D4A007" w14:textId="77777777">
        <w:trPr>
          <w:trHeight w:val="340"/>
        </w:trPr>
        <w:tc>
          <w:tcPr>
            <w:tcW w:w="10065" w:type="dxa"/>
            <w:gridSpan w:val="3"/>
            <w:tcBorders>
              <w:top w:val="single" w:sz="4" w:space="0" w:color="000000"/>
              <w:left w:val="single" w:sz="4" w:space="0" w:color="000000"/>
              <w:bottom w:val="single" w:sz="4" w:space="0" w:color="000000"/>
              <w:right w:val="single" w:sz="4" w:space="0" w:color="000000"/>
            </w:tcBorders>
          </w:tcPr>
          <w:p w14:paraId="777C79F2"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Nombre de la institución:</w:t>
            </w:r>
          </w:p>
          <w:p w14:paraId="7D5F29D4" w14:textId="77777777" w:rsidR="00EA0A65" w:rsidRDefault="002959E9">
            <w:pPr>
              <w:pBdr>
                <w:top w:val="nil"/>
                <w:left w:val="nil"/>
                <w:bottom w:val="nil"/>
                <w:right w:val="nil"/>
                <w:between w:val="nil"/>
              </w:pBd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Centro Internacional de Investigación Agroforestal</w:t>
            </w:r>
          </w:p>
        </w:tc>
      </w:tr>
      <w:tr w:rsidR="00EA0A65" w14:paraId="77341D01" w14:textId="77777777">
        <w:tc>
          <w:tcPr>
            <w:tcW w:w="10065" w:type="dxa"/>
            <w:gridSpan w:val="3"/>
            <w:tcBorders>
              <w:top w:val="single" w:sz="4" w:space="0" w:color="000000"/>
              <w:left w:val="single" w:sz="4" w:space="0" w:color="000000"/>
              <w:bottom w:val="single" w:sz="4" w:space="0" w:color="000000"/>
              <w:right w:val="single" w:sz="4" w:space="0" w:color="000000"/>
            </w:tcBorders>
          </w:tcPr>
          <w:p w14:paraId="660C09AD"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Persona de contacto/ Cargo:</w:t>
            </w:r>
          </w:p>
          <w:p w14:paraId="76DC2994"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Valentina Robiglio</w:t>
            </w:r>
          </w:p>
        </w:tc>
      </w:tr>
      <w:tr w:rsidR="00EA0A65" w:rsidRPr="0037402A" w14:paraId="6A3D08B4" w14:textId="77777777">
        <w:tc>
          <w:tcPr>
            <w:tcW w:w="2553" w:type="dxa"/>
            <w:gridSpan w:val="2"/>
            <w:tcBorders>
              <w:top w:val="single" w:sz="4" w:space="0" w:color="000000"/>
              <w:left w:val="single" w:sz="4" w:space="0" w:color="000000"/>
              <w:bottom w:val="single" w:sz="4" w:space="0" w:color="000000"/>
              <w:right w:val="single" w:sz="4" w:space="0" w:color="000000"/>
            </w:tcBorders>
          </w:tcPr>
          <w:p w14:paraId="2549B483"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Dirección física:</w:t>
            </w:r>
          </w:p>
          <w:p w14:paraId="179ED6E4"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Av. La Molina 1895, La Molina, Lima</w:t>
            </w:r>
          </w:p>
        </w:tc>
        <w:tc>
          <w:tcPr>
            <w:tcW w:w="7512" w:type="dxa"/>
            <w:tcBorders>
              <w:top w:val="single" w:sz="4" w:space="0" w:color="000000"/>
              <w:left w:val="single" w:sz="4" w:space="0" w:color="000000"/>
              <w:bottom w:val="single" w:sz="4" w:space="0" w:color="000000"/>
              <w:right w:val="single" w:sz="4" w:space="0" w:color="000000"/>
            </w:tcBorders>
          </w:tcPr>
          <w:p w14:paraId="43A69F60" w14:textId="77777777" w:rsidR="00EA0A65" w:rsidRPr="002959E9" w:rsidRDefault="002959E9">
            <w:pPr>
              <w:pBdr>
                <w:top w:val="nil"/>
                <w:left w:val="nil"/>
                <w:bottom w:val="nil"/>
                <w:right w:val="nil"/>
                <w:between w:val="nil"/>
              </w:pBdr>
              <w:rPr>
                <w:rFonts w:ascii="Arial Narrow" w:eastAsia="Arial Narrow" w:hAnsi="Arial Narrow" w:cs="Arial Narrow"/>
                <w:i/>
                <w:color w:val="000000"/>
                <w:sz w:val="16"/>
                <w:szCs w:val="16"/>
                <w:lang w:val="pt-BR"/>
              </w:rPr>
            </w:pPr>
            <w:r w:rsidRPr="002959E9">
              <w:rPr>
                <w:rFonts w:ascii="Arial Narrow" w:eastAsia="Arial Narrow" w:hAnsi="Arial Narrow" w:cs="Arial Narrow"/>
                <w:i/>
                <w:color w:val="000000"/>
                <w:sz w:val="16"/>
                <w:szCs w:val="16"/>
                <w:lang w:val="pt-BR"/>
              </w:rPr>
              <w:t xml:space="preserve">E-mail: </w:t>
            </w:r>
            <w:hyperlink r:id="rId23">
              <w:r w:rsidRPr="002959E9">
                <w:rPr>
                  <w:rFonts w:ascii="Arial Narrow" w:eastAsia="Arial Narrow" w:hAnsi="Arial Narrow" w:cs="Arial Narrow"/>
                  <w:i/>
                  <w:color w:val="0563C1"/>
                  <w:sz w:val="16"/>
                  <w:szCs w:val="16"/>
                  <w:u w:val="single"/>
                  <w:lang w:val="pt-BR"/>
                </w:rPr>
                <w:t>v.robiglio@cgiar.org</w:t>
              </w:r>
            </w:hyperlink>
            <w:r w:rsidRPr="002959E9">
              <w:rPr>
                <w:rFonts w:ascii="Arial Narrow" w:eastAsia="Arial Narrow" w:hAnsi="Arial Narrow" w:cs="Arial Narrow"/>
                <w:i/>
                <w:color w:val="000000"/>
                <w:sz w:val="16"/>
                <w:szCs w:val="16"/>
                <w:lang w:val="pt-BR"/>
              </w:rPr>
              <w:t xml:space="preserve"> </w:t>
            </w:r>
          </w:p>
        </w:tc>
      </w:tr>
      <w:tr w:rsidR="00EA0A65" w:rsidRPr="0037402A" w14:paraId="7CC8A860" w14:textId="77777777">
        <w:tc>
          <w:tcPr>
            <w:tcW w:w="2553" w:type="dxa"/>
            <w:gridSpan w:val="2"/>
            <w:tcBorders>
              <w:top w:val="single" w:sz="4" w:space="0" w:color="000000"/>
              <w:left w:val="single" w:sz="4" w:space="0" w:color="000000"/>
              <w:bottom w:val="single" w:sz="4" w:space="0" w:color="000000"/>
              <w:right w:val="single" w:sz="4" w:space="0" w:color="000000"/>
            </w:tcBorders>
          </w:tcPr>
          <w:p w14:paraId="4283D1A2"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Teléfono / Celular:</w:t>
            </w:r>
          </w:p>
          <w:p w14:paraId="560E1170"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3496017 Anexo 2166</w:t>
            </w:r>
          </w:p>
        </w:tc>
        <w:tc>
          <w:tcPr>
            <w:tcW w:w="7512" w:type="dxa"/>
            <w:tcBorders>
              <w:top w:val="single" w:sz="4" w:space="0" w:color="000000"/>
              <w:left w:val="single" w:sz="4" w:space="0" w:color="000000"/>
              <w:bottom w:val="single" w:sz="4" w:space="0" w:color="000000"/>
              <w:right w:val="single" w:sz="4" w:space="0" w:color="000000"/>
            </w:tcBorders>
          </w:tcPr>
          <w:p w14:paraId="74BFCA81" w14:textId="77777777" w:rsidR="00EA0A65" w:rsidRPr="002959E9" w:rsidRDefault="002959E9">
            <w:pPr>
              <w:pBdr>
                <w:top w:val="nil"/>
                <w:left w:val="nil"/>
                <w:bottom w:val="nil"/>
                <w:right w:val="nil"/>
                <w:between w:val="nil"/>
              </w:pBdr>
              <w:rPr>
                <w:rFonts w:ascii="Arial Narrow" w:eastAsia="Arial Narrow" w:hAnsi="Arial Narrow" w:cs="Arial Narrow"/>
                <w:i/>
                <w:color w:val="000000"/>
                <w:sz w:val="16"/>
                <w:szCs w:val="16"/>
                <w:lang w:val="en-US"/>
              </w:rPr>
            </w:pPr>
            <w:r w:rsidRPr="002959E9">
              <w:rPr>
                <w:rFonts w:ascii="Arial Narrow" w:eastAsia="Arial Narrow" w:hAnsi="Arial Narrow" w:cs="Arial Narrow"/>
                <w:i/>
                <w:color w:val="000000"/>
                <w:sz w:val="16"/>
                <w:szCs w:val="16"/>
                <w:lang w:val="en-US"/>
              </w:rPr>
              <w:t xml:space="preserve">Sitio web: </w:t>
            </w:r>
            <w:hyperlink r:id="rId24">
              <w:r w:rsidRPr="002959E9">
                <w:rPr>
                  <w:rFonts w:ascii="Arial Narrow" w:eastAsia="Arial Narrow" w:hAnsi="Arial Narrow" w:cs="Arial Narrow"/>
                  <w:i/>
                  <w:color w:val="0563C1"/>
                  <w:sz w:val="16"/>
                  <w:szCs w:val="16"/>
                  <w:u w:val="single"/>
                  <w:lang w:val="en-US"/>
                </w:rPr>
                <w:t>www.worldagroforestrycentre.org</w:t>
              </w:r>
            </w:hyperlink>
            <w:r w:rsidRPr="002959E9">
              <w:rPr>
                <w:rFonts w:ascii="Arial Narrow" w:eastAsia="Arial Narrow" w:hAnsi="Arial Narrow" w:cs="Arial Narrow"/>
                <w:i/>
                <w:color w:val="000000"/>
                <w:sz w:val="16"/>
                <w:szCs w:val="16"/>
                <w:lang w:val="en-US"/>
              </w:rPr>
              <w:t xml:space="preserve"> </w:t>
            </w:r>
          </w:p>
        </w:tc>
      </w:tr>
      <w:tr w:rsidR="00EA0A65" w:rsidRPr="0037402A" w14:paraId="7B5CA398" w14:textId="77777777">
        <w:tc>
          <w:tcPr>
            <w:tcW w:w="10065" w:type="dxa"/>
            <w:gridSpan w:val="3"/>
            <w:tcBorders>
              <w:top w:val="single" w:sz="4" w:space="0" w:color="000000"/>
              <w:left w:val="single" w:sz="4" w:space="0" w:color="000000"/>
              <w:bottom w:val="single" w:sz="4" w:space="0" w:color="000000"/>
              <w:right w:val="single" w:sz="4" w:space="0" w:color="000000"/>
            </w:tcBorders>
            <w:shd w:val="clear" w:color="auto" w:fill="D9E2F3"/>
          </w:tcPr>
          <w:p w14:paraId="38F07245" w14:textId="77777777" w:rsidR="00EA0A65" w:rsidRPr="002959E9" w:rsidRDefault="00EA0A65">
            <w:pPr>
              <w:pBdr>
                <w:top w:val="nil"/>
                <w:left w:val="nil"/>
                <w:bottom w:val="nil"/>
                <w:right w:val="nil"/>
                <w:between w:val="nil"/>
              </w:pBdr>
              <w:rPr>
                <w:rFonts w:ascii="Arial Narrow" w:eastAsia="Arial Narrow" w:hAnsi="Arial Narrow" w:cs="Arial Narrow"/>
                <w:b/>
                <w:color w:val="000000"/>
                <w:sz w:val="16"/>
                <w:szCs w:val="16"/>
                <w:lang w:val="en-US"/>
              </w:rPr>
            </w:pPr>
          </w:p>
        </w:tc>
      </w:tr>
      <w:tr w:rsidR="00EA0A65" w14:paraId="268FB169" w14:textId="77777777">
        <w:trPr>
          <w:trHeight w:val="2880"/>
        </w:trPr>
        <w:tc>
          <w:tcPr>
            <w:tcW w:w="2553" w:type="dxa"/>
            <w:gridSpan w:val="2"/>
            <w:tcBorders>
              <w:top w:val="single" w:sz="4" w:space="0" w:color="000000"/>
              <w:left w:val="single" w:sz="4" w:space="0" w:color="000000"/>
              <w:bottom w:val="single" w:sz="4" w:space="0" w:color="000000"/>
              <w:right w:val="single" w:sz="4" w:space="0" w:color="000000"/>
            </w:tcBorders>
          </w:tcPr>
          <w:p w14:paraId="2BFCF8F4"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i/>
                <w:color w:val="000000"/>
                <w:sz w:val="16"/>
                <w:szCs w:val="16"/>
              </w:rPr>
              <w:t>Regiones de interés:</w:t>
            </w:r>
            <w:r>
              <w:rPr>
                <w:rFonts w:ascii="Arial Narrow" w:eastAsia="Arial Narrow" w:hAnsi="Arial Narrow" w:cs="Arial Narrow"/>
                <w:b/>
                <w:color w:val="000000"/>
                <w:sz w:val="16"/>
                <w:szCs w:val="16"/>
              </w:rPr>
              <w:t xml:space="preserve"> </w:t>
            </w:r>
          </w:p>
          <w:p w14:paraId="22E77080" w14:textId="77777777" w:rsidR="00EA0A65" w:rsidRDefault="00EA0A65">
            <w:pPr>
              <w:pBdr>
                <w:top w:val="nil"/>
                <w:left w:val="nil"/>
                <w:bottom w:val="nil"/>
                <w:right w:val="nil"/>
                <w:between w:val="nil"/>
              </w:pBdr>
              <w:rPr>
                <w:rFonts w:ascii="Arial Narrow" w:eastAsia="Arial Narrow" w:hAnsi="Arial Narrow" w:cs="Arial Narrow"/>
                <w:b/>
                <w:color w:val="000000"/>
                <w:sz w:val="16"/>
                <w:szCs w:val="16"/>
              </w:rPr>
            </w:pPr>
          </w:p>
          <w:p w14:paraId="23D39965"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Amazonas</w:t>
            </w:r>
          </w:p>
          <w:p w14:paraId="07B088B1"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Huánuco</w:t>
            </w:r>
          </w:p>
          <w:p w14:paraId="1A78AF57"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 Loreto</w:t>
            </w:r>
          </w:p>
          <w:p w14:paraId="22EB698F"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Madre de Dios</w:t>
            </w:r>
          </w:p>
          <w:p w14:paraId="3C3D5B55"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 Piura</w:t>
            </w:r>
          </w:p>
          <w:p w14:paraId="18E59131"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San Martín</w:t>
            </w:r>
          </w:p>
          <w:p w14:paraId="39FFB8F4"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Ucayali</w:t>
            </w:r>
          </w:p>
          <w:p w14:paraId="22672C4E" w14:textId="77777777" w:rsidR="00EA0A65" w:rsidRDefault="00EA0A65">
            <w:pPr>
              <w:pBdr>
                <w:top w:val="nil"/>
                <w:left w:val="nil"/>
                <w:bottom w:val="nil"/>
                <w:right w:val="nil"/>
                <w:between w:val="nil"/>
              </w:pBdr>
              <w:rPr>
                <w:rFonts w:ascii="Arial Narrow" w:eastAsia="Arial Narrow" w:hAnsi="Arial Narrow" w:cs="Arial Narrow"/>
                <w:color w:val="000000"/>
                <w:sz w:val="16"/>
                <w:szCs w:val="16"/>
              </w:rPr>
            </w:pPr>
          </w:p>
        </w:tc>
        <w:tc>
          <w:tcPr>
            <w:tcW w:w="7512" w:type="dxa"/>
            <w:tcBorders>
              <w:top w:val="single" w:sz="4" w:space="0" w:color="000000"/>
              <w:left w:val="single" w:sz="4" w:space="0" w:color="000000"/>
              <w:bottom w:val="single" w:sz="4" w:space="0" w:color="000000"/>
              <w:right w:val="single" w:sz="4" w:space="0" w:color="000000"/>
            </w:tcBorders>
          </w:tcPr>
          <w:p w14:paraId="6B1B60A2"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Líneas de trabajo (marcar todas las que corresponda):</w:t>
            </w:r>
          </w:p>
          <w:p w14:paraId="14571ED1" w14:textId="77777777" w:rsidR="00EA0A65" w:rsidRDefault="00EA0A65">
            <w:pPr>
              <w:pBdr>
                <w:top w:val="nil"/>
                <w:left w:val="nil"/>
                <w:bottom w:val="nil"/>
                <w:right w:val="nil"/>
                <w:between w:val="nil"/>
              </w:pBdr>
              <w:rPr>
                <w:rFonts w:ascii="Arial Narrow" w:eastAsia="Arial Narrow" w:hAnsi="Arial Narrow" w:cs="Arial Narrow"/>
                <w:i/>
                <w:color w:val="000000"/>
                <w:sz w:val="16"/>
                <w:szCs w:val="16"/>
              </w:rPr>
            </w:pPr>
          </w:p>
          <w:p w14:paraId="6D45E40E"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(X) Agricultura libre de deforestación, sistemas agroforestales</w:t>
            </w:r>
          </w:p>
          <w:p w14:paraId="2D4AECC4"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   ) Áreas protegidas, zonas de conservación</w:t>
            </w:r>
          </w:p>
          <w:p w14:paraId="2E69E276"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(X) Gestión de paisajes sostenibles, sistemas productivos sostenibles</w:t>
            </w:r>
          </w:p>
          <w:p w14:paraId="2F2198BE"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 Proyectos con comunidades nativas y pobladores locales</w:t>
            </w:r>
          </w:p>
          <w:p w14:paraId="36ED7CA1"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 Proyectos REDD+</w:t>
            </w:r>
          </w:p>
          <w:p w14:paraId="4FD2EA87"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   ) Financiamiento (público, privado)</w:t>
            </w:r>
          </w:p>
          <w:p w14:paraId="697C262A"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(X) Restauración, recuperación de áreas degradadas, reforestación</w:t>
            </w:r>
          </w:p>
          <w:p w14:paraId="5AD11364"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 xml:space="preserve">(   ) Manejo de bosques, madera, productos diferentes a la madera </w:t>
            </w:r>
          </w:p>
          <w:p w14:paraId="21E1C004" w14:textId="77777777" w:rsidR="00EA0A65" w:rsidRDefault="002959E9">
            <w:pPr>
              <w:pBdr>
                <w:top w:val="nil"/>
                <w:left w:val="nil"/>
                <w:bottom w:val="nil"/>
                <w:right w:val="nil"/>
                <w:between w:val="nil"/>
              </w:pBdr>
              <w:rPr>
                <w:rFonts w:ascii="Arial Narrow" w:eastAsia="Arial Narrow" w:hAnsi="Arial Narrow" w:cs="Arial Narrow"/>
                <w:b/>
                <w:color w:val="000000"/>
                <w:sz w:val="16"/>
                <w:szCs w:val="16"/>
              </w:rPr>
            </w:pPr>
            <w:r>
              <w:rPr>
                <w:rFonts w:ascii="Arial Narrow" w:eastAsia="Arial Narrow" w:hAnsi="Arial Narrow" w:cs="Arial Narrow"/>
                <w:color w:val="000000"/>
                <w:sz w:val="16"/>
                <w:szCs w:val="16"/>
              </w:rPr>
              <w:t>(   ) Políticas públicas</w:t>
            </w:r>
          </w:p>
          <w:p w14:paraId="6C902760"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 Gestión pública</w:t>
            </w:r>
          </w:p>
          <w:p w14:paraId="71438A7A"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Planificación, Procesos participativos</w:t>
            </w:r>
          </w:p>
          <w:p w14:paraId="47246D38"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Monitoreo de cobertura, sistemas de información geográfica</w:t>
            </w:r>
          </w:p>
          <w:p w14:paraId="5B7EE3C5"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 Análisis de causas de la deforestación, degradación</w:t>
            </w:r>
          </w:p>
          <w:p w14:paraId="2DF4E205"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color w:val="000000"/>
                <w:sz w:val="16"/>
                <w:szCs w:val="16"/>
              </w:rPr>
              <w:t>(   ) Otros.</w:t>
            </w:r>
            <w:r>
              <w:rPr>
                <w:rFonts w:ascii="Arial Narrow" w:eastAsia="Arial Narrow" w:hAnsi="Arial Narrow" w:cs="Arial Narrow"/>
                <w:i/>
                <w:color w:val="000000"/>
                <w:sz w:val="16"/>
                <w:szCs w:val="16"/>
              </w:rPr>
              <w:t xml:space="preserve"> Precisar:</w:t>
            </w:r>
          </w:p>
        </w:tc>
      </w:tr>
      <w:tr w:rsidR="00EA0A65" w14:paraId="1A633B10" w14:textId="77777777">
        <w:trPr>
          <w:trHeight w:val="200"/>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E2F3"/>
          </w:tcPr>
          <w:p w14:paraId="7195C995" w14:textId="77777777" w:rsidR="00EA0A65" w:rsidRDefault="00EA0A65">
            <w:pPr>
              <w:pBdr>
                <w:top w:val="nil"/>
                <w:left w:val="nil"/>
                <w:bottom w:val="nil"/>
                <w:right w:val="nil"/>
                <w:between w:val="nil"/>
              </w:pBdr>
              <w:rPr>
                <w:rFonts w:ascii="Arial Narrow" w:eastAsia="Arial Narrow" w:hAnsi="Arial Narrow" w:cs="Arial Narrow"/>
                <w:color w:val="000000"/>
                <w:sz w:val="16"/>
                <w:szCs w:val="16"/>
              </w:rPr>
            </w:pPr>
          </w:p>
        </w:tc>
      </w:tr>
      <w:tr w:rsidR="00EA0A65" w14:paraId="07C42636" w14:textId="77777777">
        <w:trPr>
          <w:trHeight w:val="200"/>
        </w:trPr>
        <w:tc>
          <w:tcPr>
            <w:tcW w:w="10065" w:type="dxa"/>
            <w:gridSpan w:val="3"/>
            <w:tcBorders>
              <w:top w:val="single" w:sz="4" w:space="0" w:color="000000"/>
              <w:left w:val="single" w:sz="4" w:space="0" w:color="000000"/>
              <w:bottom w:val="single" w:sz="4" w:space="0" w:color="000000"/>
              <w:right w:val="single" w:sz="4" w:space="0" w:color="000000"/>
            </w:tcBorders>
          </w:tcPr>
          <w:p w14:paraId="6BDD97DF"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Experiencia en la región del proyecto. Describir brevemente.</w:t>
            </w:r>
          </w:p>
          <w:p w14:paraId="2F1835A8" w14:textId="77777777" w:rsidR="00EA0A65" w:rsidRDefault="002959E9">
            <w:pPr>
              <w:pBdr>
                <w:top w:val="nil"/>
                <w:left w:val="nil"/>
                <w:bottom w:val="nil"/>
                <w:right w:val="nil"/>
                <w:between w:val="nil"/>
              </w:pBdr>
              <w:jc w:val="both"/>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Conocimiento de los pequeños productores, sistemas productivos en áreas de frontera de deforestación y sus estrategias de medios de vida. Relación de estas dinámicas en los cambios espacio-temporales de la cobertura y usos de la tierra, incluyendo análisis de redes de los drivers en Ucayali y San Martín.</w:t>
            </w:r>
          </w:p>
          <w:p w14:paraId="4ECF3A62" w14:textId="77777777" w:rsidR="00EA0A65" w:rsidRDefault="002959E9">
            <w:pPr>
              <w:pBdr>
                <w:top w:val="nil"/>
                <w:left w:val="nil"/>
                <w:bottom w:val="nil"/>
                <w:right w:val="nil"/>
                <w:between w:val="nil"/>
              </w:pBdr>
              <w:jc w:val="both"/>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Cesión en Uso para Sistemas Agroforestales: elementos habilitantes para su implementación en campo en Ucayali y San Martín.</w:t>
            </w:r>
          </w:p>
          <w:p w14:paraId="7EFF9EF5" w14:textId="77777777" w:rsidR="00EA0A65" w:rsidRDefault="002959E9">
            <w:pPr>
              <w:pBdr>
                <w:top w:val="nil"/>
                <w:left w:val="nil"/>
                <w:bottom w:val="nil"/>
                <w:right w:val="nil"/>
                <w:between w:val="nil"/>
              </w:pBdr>
              <w:jc w:val="both"/>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Conducción y facilitación de procesos participativos multi-actor y multi-nivel de toma de decisión para la planificación del desarrollo del territorio bajo en emisiones, incluyendo estimaciones de captura de Carbono, y para integrar un enfoque de restauración del paisaje forestal degradado en la planificación en Ucayali.</w:t>
            </w:r>
          </w:p>
          <w:p w14:paraId="2F8229A5" w14:textId="77777777" w:rsidR="00EA0A65" w:rsidRDefault="002959E9">
            <w:pPr>
              <w:pBdr>
                <w:top w:val="nil"/>
                <w:left w:val="nil"/>
                <w:bottom w:val="nil"/>
                <w:right w:val="nil"/>
                <w:between w:val="nil"/>
              </w:pBdr>
              <w:jc w:val="both"/>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Sistemas productivos sostenibles y su vulnerabilidad al cambio climático en San Martín, Cajamarca y Amazonas.</w:t>
            </w:r>
          </w:p>
          <w:p w14:paraId="2F847689" w14:textId="77777777" w:rsidR="00EA0A65" w:rsidRDefault="002959E9">
            <w:pPr>
              <w:pBdr>
                <w:top w:val="nil"/>
                <w:left w:val="nil"/>
                <w:bottom w:val="nil"/>
                <w:right w:val="nil"/>
                <w:between w:val="nil"/>
              </w:pBdr>
              <w:jc w:val="both"/>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Indicadores de salud de la tierra para determinar degradación del paisaje con muestras de campo y teledetección en Madre de Dios y Ucayali.</w:t>
            </w:r>
          </w:p>
        </w:tc>
      </w:tr>
      <w:tr w:rsidR="00EA0A65" w14:paraId="07A6CEF9" w14:textId="77777777">
        <w:trPr>
          <w:trHeight w:val="200"/>
        </w:trPr>
        <w:tc>
          <w:tcPr>
            <w:tcW w:w="2553" w:type="dxa"/>
            <w:gridSpan w:val="2"/>
            <w:vMerge w:val="restart"/>
            <w:tcBorders>
              <w:top w:val="single" w:sz="4" w:space="0" w:color="000000"/>
              <w:left w:val="single" w:sz="4" w:space="0" w:color="000000"/>
              <w:bottom w:val="single" w:sz="4" w:space="0" w:color="000000"/>
              <w:right w:val="single" w:sz="4" w:space="0" w:color="000000"/>
            </w:tcBorders>
          </w:tcPr>
          <w:p w14:paraId="0AFAA130"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Experiencia en la materia del proyecto</w:t>
            </w:r>
          </w:p>
          <w:p w14:paraId="4C06716C"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Pr>
                <w:rFonts w:ascii="Arial Narrow" w:eastAsia="Arial Narrow" w:hAnsi="Arial Narrow" w:cs="Arial Narrow"/>
                <w:i/>
                <w:color w:val="000000"/>
                <w:sz w:val="16"/>
                <w:szCs w:val="16"/>
              </w:rPr>
              <w:t>(proyectos, investigaciones previas, publicaciones)</w:t>
            </w:r>
          </w:p>
        </w:tc>
        <w:tc>
          <w:tcPr>
            <w:tcW w:w="7512" w:type="dxa"/>
            <w:tcBorders>
              <w:top w:val="single" w:sz="4" w:space="0" w:color="000000"/>
              <w:left w:val="single" w:sz="4" w:space="0" w:color="000000"/>
              <w:bottom w:val="single" w:sz="4" w:space="0" w:color="000000"/>
              <w:right w:val="single" w:sz="4" w:space="0" w:color="000000"/>
            </w:tcBorders>
          </w:tcPr>
          <w:p w14:paraId="2E3A24E9" w14:textId="77777777" w:rsidR="00EA0A65" w:rsidRDefault="002959E9">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Robiglio, V., Reyes, M, Suber, M., Valverde, J. 2018. La Cesión en Uso para Sistemas Agroforestales (En progreso). ICRAF: Oficina Regional para América Latina,</w:t>
            </w:r>
          </w:p>
        </w:tc>
      </w:tr>
      <w:tr w:rsidR="00EA0A65" w14:paraId="70E88C45" w14:textId="77777777">
        <w:trPr>
          <w:trHeight w:val="200"/>
        </w:trPr>
        <w:tc>
          <w:tcPr>
            <w:tcW w:w="2553" w:type="dxa"/>
            <w:gridSpan w:val="2"/>
            <w:vMerge/>
            <w:tcBorders>
              <w:top w:val="single" w:sz="4" w:space="0" w:color="000000"/>
              <w:left w:val="single" w:sz="4" w:space="0" w:color="000000"/>
              <w:bottom w:val="single" w:sz="4" w:space="0" w:color="000000"/>
              <w:right w:val="single" w:sz="4" w:space="0" w:color="000000"/>
            </w:tcBorders>
          </w:tcPr>
          <w:p w14:paraId="255ECF25"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512" w:type="dxa"/>
            <w:tcBorders>
              <w:top w:val="single" w:sz="4" w:space="0" w:color="000000"/>
              <w:left w:val="single" w:sz="4" w:space="0" w:color="000000"/>
              <w:bottom w:val="single" w:sz="4" w:space="0" w:color="000000"/>
              <w:right w:val="single" w:sz="4" w:space="0" w:color="000000"/>
            </w:tcBorders>
          </w:tcPr>
          <w:p w14:paraId="413D8A1F"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sidRPr="002959E9">
              <w:rPr>
                <w:rFonts w:ascii="Arial Narrow" w:eastAsia="Arial Narrow" w:hAnsi="Arial Narrow" w:cs="Arial Narrow"/>
                <w:color w:val="000000"/>
                <w:sz w:val="16"/>
                <w:szCs w:val="16"/>
                <w:lang w:val="en-US"/>
              </w:rPr>
              <w:t xml:space="preserve">Robiglio, V., and Baca, M. 2017. </w:t>
            </w:r>
            <w:r>
              <w:rPr>
                <w:rFonts w:ascii="Arial Narrow" w:eastAsia="Arial Narrow" w:hAnsi="Arial Narrow" w:cs="Arial Narrow"/>
                <w:color w:val="000000"/>
                <w:sz w:val="16"/>
                <w:szCs w:val="16"/>
              </w:rPr>
              <w:t xml:space="preserve">Guía Técnica de Caficultura Sostenible Adaptada al Cambio Climático. Proyecto Café Clima. ICRAF Oficina Regional para América Latina. </w:t>
            </w:r>
          </w:p>
        </w:tc>
      </w:tr>
      <w:tr w:rsidR="00EA0A65" w14:paraId="342398BD" w14:textId="77777777">
        <w:trPr>
          <w:trHeight w:val="200"/>
        </w:trPr>
        <w:tc>
          <w:tcPr>
            <w:tcW w:w="2553" w:type="dxa"/>
            <w:gridSpan w:val="2"/>
            <w:vMerge/>
            <w:tcBorders>
              <w:top w:val="single" w:sz="4" w:space="0" w:color="000000"/>
              <w:left w:val="single" w:sz="4" w:space="0" w:color="000000"/>
              <w:bottom w:val="single" w:sz="4" w:space="0" w:color="000000"/>
              <w:right w:val="single" w:sz="4" w:space="0" w:color="000000"/>
            </w:tcBorders>
          </w:tcPr>
          <w:p w14:paraId="245A1812"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512" w:type="dxa"/>
            <w:tcBorders>
              <w:top w:val="single" w:sz="4" w:space="0" w:color="000000"/>
              <w:left w:val="single" w:sz="4" w:space="0" w:color="000000"/>
              <w:bottom w:val="single" w:sz="4" w:space="0" w:color="000000"/>
              <w:right w:val="single" w:sz="4" w:space="0" w:color="000000"/>
            </w:tcBorders>
          </w:tcPr>
          <w:p w14:paraId="2F5A3EAF"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Robiglio, V, Baca, M, Donovan, J, Bunn, C, Reyes, M, Gonzáles, D, Sánchez, C. 2017. Impacto del cambio climático sobre la cadena de valor de café en el Perú. ICRAF Oficina Regional para América Latina. Lima, Perú &amp; CIAT Centro Internacional de Agricultura Tropical, Cali, Colombia</w:t>
            </w:r>
          </w:p>
        </w:tc>
      </w:tr>
      <w:tr w:rsidR="00EA0A65" w14:paraId="776938D8" w14:textId="77777777">
        <w:trPr>
          <w:trHeight w:val="200"/>
        </w:trPr>
        <w:tc>
          <w:tcPr>
            <w:tcW w:w="2553" w:type="dxa"/>
            <w:gridSpan w:val="2"/>
            <w:vMerge/>
            <w:tcBorders>
              <w:top w:val="single" w:sz="4" w:space="0" w:color="000000"/>
              <w:left w:val="single" w:sz="4" w:space="0" w:color="000000"/>
              <w:bottom w:val="single" w:sz="4" w:space="0" w:color="000000"/>
              <w:right w:val="single" w:sz="4" w:space="0" w:color="000000"/>
            </w:tcBorders>
          </w:tcPr>
          <w:p w14:paraId="54A76A58"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512" w:type="dxa"/>
            <w:tcBorders>
              <w:top w:val="single" w:sz="4" w:space="0" w:color="000000"/>
              <w:left w:val="single" w:sz="4" w:space="0" w:color="000000"/>
              <w:bottom w:val="single" w:sz="4" w:space="0" w:color="000000"/>
              <w:right w:val="single" w:sz="4" w:space="0" w:color="000000"/>
            </w:tcBorders>
          </w:tcPr>
          <w:p w14:paraId="35A78A16"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sidRPr="002959E9">
              <w:rPr>
                <w:rFonts w:ascii="Arial Narrow" w:eastAsia="Arial Narrow" w:hAnsi="Arial Narrow" w:cs="Arial Narrow"/>
                <w:color w:val="000000"/>
                <w:sz w:val="16"/>
                <w:szCs w:val="16"/>
                <w:lang w:val="pt-BR"/>
              </w:rPr>
              <w:t xml:space="preserve">Kindt, R, Miccolis, A, Robiglio, V, Reyes, M, Rodrigues Marques, E, Cornelius, J. 2017. </w:t>
            </w:r>
            <w:r w:rsidRPr="002959E9">
              <w:rPr>
                <w:rFonts w:ascii="Arial Narrow" w:eastAsia="Arial Narrow" w:hAnsi="Arial Narrow" w:cs="Arial Narrow"/>
                <w:color w:val="000000"/>
                <w:sz w:val="16"/>
                <w:szCs w:val="16"/>
                <w:lang w:val="en-US"/>
              </w:rPr>
              <w:t xml:space="preserve">Advancing The Restoration of Degraded Smallholder Landscape Mosaics. A contribution to the IUCN project "Knowledge and Tools for Forest Landscape Restoration project (Know-for-FLR)". </w:t>
            </w:r>
            <w:r>
              <w:rPr>
                <w:rFonts w:ascii="Arial Narrow" w:eastAsia="Arial Narrow" w:hAnsi="Arial Narrow" w:cs="Arial Narrow"/>
                <w:color w:val="000000"/>
                <w:sz w:val="16"/>
                <w:szCs w:val="16"/>
              </w:rPr>
              <w:t>Final Report (</w:t>
            </w:r>
            <w:r>
              <w:rPr>
                <w:rFonts w:ascii="Arial Narrow" w:eastAsia="Arial Narrow" w:hAnsi="Arial Narrow" w:cs="Arial Narrow"/>
                <w:i/>
                <w:color w:val="000000"/>
                <w:sz w:val="16"/>
                <w:szCs w:val="16"/>
              </w:rPr>
              <w:t>Unpublished</w:t>
            </w:r>
            <w:r>
              <w:rPr>
                <w:rFonts w:ascii="Arial Narrow" w:eastAsia="Arial Narrow" w:hAnsi="Arial Narrow" w:cs="Arial Narrow"/>
                <w:color w:val="000000"/>
                <w:sz w:val="16"/>
                <w:szCs w:val="16"/>
              </w:rPr>
              <w:t>) ICRAF: Latin America Regional Office.</w:t>
            </w:r>
          </w:p>
        </w:tc>
      </w:tr>
      <w:tr w:rsidR="00EA0A65" w14:paraId="085021F4" w14:textId="77777777">
        <w:trPr>
          <w:trHeight w:val="200"/>
        </w:trPr>
        <w:tc>
          <w:tcPr>
            <w:tcW w:w="2553" w:type="dxa"/>
            <w:gridSpan w:val="2"/>
            <w:vMerge/>
            <w:tcBorders>
              <w:top w:val="single" w:sz="4" w:space="0" w:color="000000"/>
              <w:left w:val="single" w:sz="4" w:space="0" w:color="000000"/>
              <w:bottom w:val="single" w:sz="4" w:space="0" w:color="000000"/>
              <w:right w:val="single" w:sz="4" w:space="0" w:color="000000"/>
            </w:tcBorders>
          </w:tcPr>
          <w:p w14:paraId="1AB6A1EB"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512" w:type="dxa"/>
            <w:tcBorders>
              <w:top w:val="single" w:sz="4" w:space="0" w:color="000000"/>
              <w:left w:val="single" w:sz="4" w:space="0" w:color="000000"/>
              <w:bottom w:val="single" w:sz="4" w:space="0" w:color="000000"/>
              <w:right w:val="single" w:sz="4" w:space="0" w:color="000000"/>
            </w:tcBorders>
          </w:tcPr>
          <w:p w14:paraId="6B6E7A21"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sidRPr="002959E9">
              <w:rPr>
                <w:rFonts w:ascii="Arial Narrow" w:eastAsia="Arial Narrow" w:hAnsi="Arial Narrow" w:cs="Arial Narrow"/>
                <w:color w:val="000000"/>
                <w:sz w:val="16"/>
                <w:szCs w:val="16"/>
                <w:lang w:val="en-US"/>
              </w:rPr>
              <w:t xml:space="preserve">Robiglio, V, and Reyes, M. 2016. Restoration through formalization? Assessing the potential of Peru’s Agroforestry Concessions scheme to contribute to restoration in agricultural frontiers in the Amazon region. </w:t>
            </w:r>
            <w:r>
              <w:rPr>
                <w:rFonts w:ascii="Arial Narrow" w:eastAsia="Arial Narrow" w:hAnsi="Arial Narrow" w:cs="Arial Narrow"/>
                <w:i/>
                <w:color w:val="000000"/>
                <w:sz w:val="16"/>
                <w:szCs w:val="16"/>
              </w:rPr>
              <w:t>World Development Perspectives,</w:t>
            </w:r>
            <w:r>
              <w:rPr>
                <w:rFonts w:ascii="Arial Narrow" w:eastAsia="Arial Narrow" w:hAnsi="Arial Narrow" w:cs="Arial Narrow"/>
                <w:color w:val="000000"/>
                <w:sz w:val="16"/>
                <w:szCs w:val="16"/>
              </w:rPr>
              <w:t xml:space="preserve"> 3</w:t>
            </w:r>
            <w:r>
              <w:rPr>
                <w:rFonts w:ascii="Arial Narrow" w:eastAsia="Arial Narrow" w:hAnsi="Arial Narrow" w:cs="Arial Narrow"/>
                <w:b/>
                <w:color w:val="000000"/>
                <w:sz w:val="16"/>
                <w:szCs w:val="16"/>
              </w:rPr>
              <w:t>,</w:t>
            </w:r>
            <w:r>
              <w:rPr>
                <w:rFonts w:ascii="Arial Narrow" w:eastAsia="Arial Narrow" w:hAnsi="Arial Narrow" w:cs="Arial Narrow"/>
                <w:color w:val="000000"/>
                <w:sz w:val="16"/>
                <w:szCs w:val="16"/>
              </w:rPr>
              <w:t xml:space="preserve"> 42-46</w:t>
            </w:r>
          </w:p>
        </w:tc>
      </w:tr>
      <w:tr w:rsidR="00EA0A65" w14:paraId="2EB97FAD" w14:textId="77777777">
        <w:trPr>
          <w:trHeight w:val="200"/>
        </w:trPr>
        <w:tc>
          <w:tcPr>
            <w:tcW w:w="2553" w:type="dxa"/>
            <w:gridSpan w:val="2"/>
            <w:vMerge/>
            <w:tcBorders>
              <w:top w:val="single" w:sz="4" w:space="0" w:color="000000"/>
              <w:left w:val="single" w:sz="4" w:space="0" w:color="000000"/>
              <w:bottom w:val="single" w:sz="4" w:space="0" w:color="000000"/>
              <w:right w:val="single" w:sz="4" w:space="0" w:color="000000"/>
            </w:tcBorders>
          </w:tcPr>
          <w:p w14:paraId="053338BA"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512" w:type="dxa"/>
            <w:tcBorders>
              <w:top w:val="single" w:sz="4" w:space="0" w:color="000000"/>
              <w:left w:val="single" w:sz="4" w:space="0" w:color="000000"/>
              <w:bottom w:val="single" w:sz="4" w:space="0" w:color="000000"/>
              <w:right w:val="single" w:sz="4" w:space="0" w:color="000000"/>
            </w:tcBorders>
          </w:tcPr>
          <w:p w14:paraId="1913FC0F"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Robiglio, V, Reyes, M, Castro, E. 2015. Diagnóstico de los pequeños productores en la Amazonía Peruana. ICRAF: Oficina Regional de América Latina.</w:t>
            </w:r>
          </w:p>
        </w:tc>
      </w:tr>
      <w:tr w:rsidR="00EA0A65" w14:paraId="05480043" w14:textId="77777777">
        <w:trPr>
          <w:trHeight w:val="200"/>
        </w:trPr>
        <w:tc>
          <w:tcPr>
            <w:tcW w:w="2553" w:type="dxa"/>
            <w:gridSpan w:val="2"/>
            <w:vMerge/>
            <w:tcBorders>
              <w:top w:val="single" w:sz="4" w:space="0" w:color="000000"/>
              <w:left w:val="single" w:sz="4" w:space="0" w:color="000000"/>
              <w:bottom w:val="single" w:sz="4" w:space="0" w:color="000000"/>
              <w:right w:val="single" w:sz="4" w:space="0" w:color="000000"/>
            </w:tcBorders>
          </w:tcPr>
          <w:p w14:paraId="1D63DA7B"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1AC150DD"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sidRPr="002959E9">
              <w:rPr>
                <w:rFonts w:ascii="Arial Narrow" w:eastAsia="Arial Narrow" w:hAnsi="Arial Narrow" w:cs="Arial Narrow"/>
                <w:color w:val="000000"/>
                <w:sz w:val="16"/>
                <w:szCs w:val="16"/>
                <w:lang w:val="en-US"/>
              </w:rPr>
              <w:t xml:space="preserve">Vågen, T., Robiglio, V., Lobeck, M., Okia, C., Kindt, R. &amp; Opiyo, E. 2015. The Potential for Forest Landscape Restoration in Degraded Farmlands (WP2). Filling knowledge gaps on the restoration of degraded smallholder landscape mosaics. </w:t>
            </w:r>
            <w:r>
              <w:rPr>
                <w:rFonts w:ascii="Arial Narrow" w:eastAsia="Arial Narrow" w:hAnsi="Arial Narrow" w:cs="Arial Narrow"/>
                <w:color w:val="000000"/>
                <w:sz w:val="16"/>
                <w:szCs w:val="16"/>
              </w:rPr>
              <w:t>World Agroforestry Centre (ICRAF).</w:t>
            </w:r>
          </w:p>
        </w:tc>
      </w:tr>
      <w:tr w:rsidR="00EA0A65" w14:paraId="0F017EF0" w14:textId="77777777">
        <w:trPr>
          <w:trHeight w:val="200"/>
        </w:trPr>
        <w:tc>
          <w:tcPr>
            <w:tcW w:w="2553" w:type="dxa"/>
            <w:gridSpan w:val="2"/>
            <w:vMerge/>
            <w:tcBorders>
              <w:top w:val="single" w:sz="4" w:space="0" w:color="000000"/>
              <w:left w:val="single" w:sz="4" w:space="0" w:color="000000"/>
              <w:bottom w:val="single" w:sz="4" w:space="0" w:color="000000"/>
              <w:right w:val="single" w:sz="4" w:space="0" w:color="000000"/>
            </w:tcBorders>
          </w:tcPr>
          <w:p w14:paraId="363EB2E1"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1E611F7B" w14:textId="77777777" w:rsidR="00EA0A65" w:rsidRDefault="002959E9">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Iniciativa de Monitoreo Socio Ecológico de la Amazonía Occidental (IMSAO) Sentinel Landscape.</w:t>
            </w:r>
          </w:p>
        </w:tc>
      </w:tr>
      <w:tr w:rsidR="00EA0A65" w14:paraId="73930326" w14:textId="77777777">
        <w:trPr>
          <w:trHeight w:val="200"/>
        </w:trPr>
        <w:tc>
          <w:tcPr>
            <w:tcW w:w="2553" w:type="dxa"/>
            <w:gridSpan w:val="2"/>
            <w:vMerge/>
            <w:tcBorders>
              <w:top w:val="single" w:sz="4" w:space="0" w:color="000000"/>
              <w:left w:val="single" w:sz="4" w:space="0" w:color="000000"/>
              <w:bottom w:val="single" w:sz="4" w:space="0" w:color="000000"/>
              <w:right w:val="single" w:sz="4" w:space="0" w:color="000000"/>
            </w:tcBorders>
          </w:tcPr>
          <w:p w14:paraId="476F7B14" w14:textId="77777777" w:rsidR="00EA0A65"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1AD18975" w14:textId="77777777" w:rsidR="00EA0A65" w:rsidRDefault="002959E9">
            <w:pPr>
              <w:pBdr>
                <w:top w:val="nil"/>
                <w:left w:val="nil"/>
                <w:bottom w:val="nil"/>
                <w:right w:val="nil"/>
                <w:between w:val="nil"/>
              </w:pBdr>
              <w:rPr>
                <w:rFonts w:ascii="Arial Narrow" w:eastAsia="Arial Narrow" w:hAnsi="Arial Narrow" w:cs="Arial Narrow"/>
                <w:i/>
                <w:color w:val="000000"/>
                <w:sz w:val="16"/>
                <w:szCs w:val="16"/>
              </w:rPr>
            </w:pPr>
            <w:r w:rsidRPr="002959E9">
              <w:rPr>
                <w:rFonts w:ascii="Arial Narrow" w:eastAsia="Arial Narrow" w:hAnsi="Arial Narrow" w:cs="Arial Narrow"/>
                <w:color w:val="000000"/>
                <w:sz w:val="16"/>
                <w:szCs w:val="16"/>
                <w:lang w:val="en-US"/>
              </w:rPr>
              <w:t xml:space="preserve">Robiglio, V., White, D. &amp; Silva, C. 2013. Landscape approaches to emission reduction at multiple scales, the REALU project in Peru. </w:t>
            </w:r>
            <w:r>
              <w:rPr>
                <w:rFonts w:ascii="Arial Narrow" w:eastAsia="Arial Narrow" w:hAnsi="Arial Narrow" w:cs="Arial Narrow"/>
                <w:color w:val="000000"/>
                <w:sz w:val="16"/>
                <w:szCs w:val="16"/>
              </w:rPr>
              <w:t>Lima: ICRAF Latin America.</w:t>
            </w:r>
          </w:p>
        </w:tc>
      </w:tr>
      <w:tr w:rsidR="00EA0A65" w14:paraId="6DA815DD" w14:textId="77777777">
        <w:trPr>
          <w:trHeight w:val="600"/>
        </w:trPr>
        <w:tc>
          <w:tcPr>
            <w:tcW w:w="10065" w:type="dxa"/>
            <w:gridSpan w:val="3"/>
            <w:tcBorders>
              <w:left w:val="nil"/>
              <w:right w:val="nil"/>
            </w:tcBorders>
          </w:tcPr>
          <w:p w14:paraId="69ECCB1A" w14:textId="77777777" w:rsidR="00EA0A65" w:rsidRDefault="00EA0A65">
            <w:pPr>
              <w:pBdr>
                <w:top w:val="nil"/>
                <w:left w:val="nil"/>
                <w:bottom w:val="nil"/>
                <w:right w:val="nil"/>
                <w:between w:val="nil"/>
              </w:pBdr>
              <w:rPr>
                <w:rFonts w:ascii="Arial Narrow" w:eastAsia="Arial Narrow" w:hAnsi="Arial Narrow" w:cs="Arial Narrow"/>
                <w:i/>
                <w:color w:val="000000"/>
                <w:sz w:val="18"/>
                <w:szCs w:val="18"/>
              </w:rPr>
            </w:pPr>
          </w:p>
          <w:p w14:paraId="3C389FDA" w14:textId="77777777" w:rsidR="00EA0A65" w:rsidRDefault="00EA0A65">
            <w:pPr>
              <w:pBdr>
                <w:top w:val="nil"/>
                <w:left w:val="nil"/>
                <w:bottom w:val="nil"/>
                <w:right w:val="nil"/>
                <w:between w:val="nil"/>
              </w:pBdr>
              <w:rPr>
                <w:rFonts w:ascii="Arial Narrow" w:eastAsia="Arial Narrow" w:hAnsi="Arial Narrow" w:cs="Arial Narrow"/>
                <w:i/>
                <w:color w:val="000000"/>
                <w:sz w:val="18"/>
                <w:szCs w:val="18"/>
              </w:rPr>
            </w:pPr>
          </w:p>
          <w:p w14:paraId="63594E40" w14:textId="77777777" w:rsidR="00EA0A65" w:rsidRDefault="00EA0A65">
            <w:pPr>
              <w:pBdr>
                <w:top w:val="nil"/>
                <w:left w:val="nil"/>
                <w:bottom w:val="nil"/>
                <w:right w:val="nil"/>
                <w:between w:val="nil"/>
              </w:pBdr>
              <w:rPr>
                <w:rFonts w:ascii="Arial Narrow" w:eastAsia="Arial Narrow" w:hAnsi="Arial Narrow" w:cs="Arial Narrow"/>
                <w:i/>
                <w:color w:val="000000"/>
                <w:sz w:val="18"/>
                <w:szCs w:val="18"/>
              </w:rPr>
            </w:pPr>
          </w:p>
          <w:p w14:paraId="741BE834" w14:textId="77777777" w:rsidR="00EA0A65" w:rsidRDefault="00EA0A65">
            <w:pPr>
              <w:pBdr>
                <w:top w:val="nil"/>
                <w:left w:val="nil"/>
                <w:bottom w:val="nil"/>
                <w:right w:val="nil"/>
                <w:between w:val="nil"/>
              </w:pBdr>
              <w:rPr>
                <w:rFonts w:ascii="Arial Narrow" w:eastAsia="Arial Narrow" w:hAnsi="Arial Narrow" w:cs="Arial Narrow"/>
                <w:i/>
                <w:color w:val="000000"/>
                <w:sz w:val="18"/>
                <w:szCs w:val="18"/>
              </w:rPr>
            </w:pPr>
          </w:p>
        </w:tc>
      </w:tr>
      <w:tr w:rsidR="00EA0A65" w:rsidRPr="00225CC0" w14:paraId="2032D272" w14:textId="77777777">
        <w:trPr>
          <w:trHeight w:val="600"/>
        </w:trPr>
        <w:tc>
          <w:tcPr>
            <w:tcW w:w="10065" w:type="dxa"/>
            <w:gridSpan w:val="3"/>
          </w:tcPr>
          <w:p w14:paraId="645BAC9B"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Nombre de la institución:</w:t>
            </w:r>
          </w:p>
          <w:p w14:paraId="2BF990C0"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b/>
                <w:color w:val="000000"/>
                <w:sz w:val="16"/>
                <w:szCs w:val="16"/>
              </w:rPr>
              <w:t>Asociación Peruana para la Conservación de la Naturaleza - APECO</w:t>
            </w:r>
          </w:p>
        </w:tc>
      </w:tr>
      <w:tr w:rsidR="00EA0A65" w:rsidRPr="00225CC0" w14:paraId="4CD902AC" w14:textId="77777777">
        <w:tc>
          <w:tcPr>
            <w:tcW w:w="10065" w:type="dxa"/>
            <w:gridSpan w:val="3"/>
          </w:tcPr>
          <w:p w14:paraId="58C017D5"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Persona de contacto/ Cargo:</w:t>
            </w:r>
          </w:p>
          <w:p w14:paraId="5C5F3DF7"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b/>
                <w:color w:val="000000"/>
                <w:sz w:val="16"/>
                <w:szCs w:val="16"/>
              </w:rPr>
              <w:t>Mariella Leo – Presidenta</w:t>
            </w:r>
          </w:p>
        </w:tc>
      </w:tr>
      <w:tr w:rsidR="00EA0A65" w:rsidRPr="00225CC0" w14:paraId="7ADC0F45" w14:textId="77777777">
        <w:tc>
          <w:tcPr>
            <w:tcW w:w="2411" w:type="dxa"/>
          </w:tcPr>
          <w:p w14:paraId="3C486770"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Dirección física:</w:t>
            </w:r>
          </w:p>
          <w:p w14:paraId="40B4FD31"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Parque José de Acosta 187 - Magdalena</w:t>
            </w:r>
          </w:p>
          <w:p w14:paraId="7A6221E8" w14:textId="77777777" w:rsidR="00EA0A65" w:rsidRPr="00225CC0" w:rsidRDefault="00EA0A65">
            <w:pPr>
              <w:pBdr>
                <w:top w:val="nil"/>
                <w:left w:val="nil"/>
                <w:bottom w:val="nil"/>
                <w:right w:val="nil"/>
                <w:between w:val="nil"/>
              </w:pBdr>
              <w:rPr>
                <w:rFonts w:ascii="Arial Narrow" w:eastAsia="Arial Narrow" w:hAnsi="Arial Narrow" w:cs="Arial Narrow"/>
                <w:i/>
                <w:color w:val="000000"/>
                <w:sz w:val="16"/>
                <w:szCs w:val="16"/>
              </w:rPr>
            </w:pPr>
          </w:p>
        </w:tc>
        <w:tc>
          <w:tcPr>
            <w:tcW w:w="7654" w:type="dxa"/>
            <w:gridSpan w:val="2"/>
          </w:tcPr>
          <w:p w14:paraId="21BBAAB5"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lang w:val="pt-BR"/>
              </w:rPr>
            </w:pPr>
            <w:r w:rsidRPr="00225CC0">
              <w:rPr>
                <w:rFonts w:ascii="Arial Narrow" w:eastAsia="Arial Narrow" w:hAnsi="Arial Narrow" w:cs="Arial Narrow"/>
                <w:i/>
                <w:color w:val="000000"/>
                <w:sz w:val="16"/>
                <w:szCs w:val="16"/>
                <w:lang w:val="pt-BR"/>
              </w:rPr>
              <w:t xml:space="preserve">E-mail: </w:t>
            </w:r>
          </w:p>
          <w:p w14:paraId="3790AB1C" w14:textId="77777777" w:rsidR="00EA0A65" w:rsidRPr="00225CC0" w:rsidRDefault="00214307">
            <w:pPr>
              <w:pBdr>
                <w:top w:val="nil"/>
                <w:left w:val="nil"/>
                <w:bottom w:val="nil"/>
                <w:right w:val="nil"/>
                <w:between w:val="nil"/>
              </w:pBdr>
              <w:rPr>
                <w:rFonts w:ascii="Arial Narrow" w:eastAsia="Arial Narrow" w:hAnsi="Arial Narrow" w:cs="Arial Narrow"/>
                <w:i/>
                <w:color w:val="000000"/>
                <w:sz w:val="16"/>
                <w:szCs w:val="16"/>
                <w:lang w:val="pt-BR"/>
              </w:rPr>
            </w:pPr>
            <w:hyperlink r:id="rId25">
              <w:r w:rsidR="002959E9" w:rsidRPr="00225CC0">
                <w:rPr>
                  <w:rFonts w:ascii="Arial Narrow" w:eastAsia="Arial Narrow" w:hAnsi="Arial Narrow" w:cs="Arial Narrow"/>
                  <w:i/>
                  <w:color w:val="0563C1"/>
                  <w:sz w:val="16"/>
                  <w:szCs w:val="16"/>
                  <w:u w:val="single"/>
                  <w:lang w:val="pt-BR"/>
                </w:rPr>
                <w:t>mleo@apeco.org.pe</w:t>
              </w:r>
            </w:hyperlink>
          </w:p>
          <w:p w14:paraId="44012458" w14:textId="77777777" w:rsidR="00EA0A65" w:rsidRPr="00225CC0" w:rsidRDefault="00214307">
            <w:pPr>
              <w:pBdr>
                <w:top w:val="nil"/>
                <w:left w:val="nil"/>
                <w:bottom w:val="nil"/>
                <w:right w:val="nil"/>
                <w:between w:val="nil"/>
              </w:pBdr>
              <w:rPr>
                <w:rFonts w:ascii="Arial Narrow" w:eastAsia="Arial Narrow" w:hAnsi="Arial Narrow" w:cs="Arial Narrow"/>
                <w:i/>
                <w:color w:val="000000"/>
                <w:sz w:val="16"/>
                <w:szCs w:val="16"/>
              </w:rPr>
            </w:pPr>
            <w:hyperlink r:id="rId26">
              <w:r w:rsidR="002959E9" w:rsidRPr="00225CC0">
                <w:rPr>
                  <w:rFonts w:ascii="Arial Narrow" w:eastAsia="Arial Narrow" w:hAnsi="Arial Narrow" w:cs="Arial Narrow"/>
                  <w:i/>
                  <w:color w:val="0563C1"/>
                  <w:sz w:val="16"/>
                  <w:szCs w:val="16"/>
                  <w:u w:val="single"/>
                </w:rPr>
                <w:t>apeco@apeco.org.pe</w:t>
              </w:r>
            </w:hyperlink>
          </w:p>
        </w:tc>
      </w:tr>
      <w:tr w:rsidR="00EA0A65" w:rsidRPr="0037402A" w14:paraId="2E5E635E" w14:textId="77777777">
        <w:tc>
          <w:tcPr>
            <w:tcW w:w="2411" w:type="dxa"/>
          </w:tcPr>
          <w:p w14:paraId="6742B8F5"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Teléfono / Celular:</w:t>
            </w:r>
          </w:p>
          <w:p w14:paraId="05BE889E"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999 851018</w:t>
            </w:r>
          </w:p>
          <w:p w14:paraId="798BC14E"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989 372387</w:t>
            </w:r>
          </w:p>
        </w:tc>
        <w:tc>
          <w:tcPr>
            <w:tcW w:w="7654" w:type="dxa"/>
            <w:gridSpan w:val="2"/>
          </w:tcPr>
          <w:p w14:paraId="0183B81D"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lang w:val="en-US"/>
              </w:rPr>
            </w:pPr>
            <w:r w:rsidRPr="00225CC0">
              <w:rPr>
                <w:rFonts w:ascii="Arial Narrow" w:eastAsia="Arial Narrow" w:hAnsi="Arial Narrow" w:cs="Arial Narrow"/>
                <w:i/>
                <w:color w:val="000000"/>
                <w:sz w:val="16"/>
                <w:szCs w:val="16"/>
                <w:lang w:val="en-US"/>
              </w:rPr>
              <w:t xml:space="preserve">Sitio web: </w:t>
            </w:r>
          </w:p>
          <w:p w14:paraId="353ADDDE" w14:textId="77777777" w:rsidR="00EA0A65" w:rsidRPr="00225CC0" w:rsidRDefault="00214307">
            <w:pPr>
              <w:pBdr>
                <w:top w:val="nil"/>
                <w:left w:val="nil"/>
                <w:bottom w:val="nil"/>
                <w:right w:val="nil"/>
                <w:between w:val="nil"/>
              </w:pBdr>
              <w:rPr>
                <w:rFonts w:ascii="Arial Narrow" w:eastAsia="Arial Narrow" w:hAnsi="Arial Narrow" w:cs="Arial Narrow"/>
                <w:i/>
                <w:color w:val="000000"/>
                <w:sz w:val="16"/>
                <w:szCs w:val="16"/>
                <w:lang w:val="en-US"/>
              </w:rPr>
            </w:pPr>
            <w:hyperlink r:id="rId27">
              <w:r w:rsidR="002959E9" w:rsidRPr="00225CC0">
                <w:rPr>
                  <w:rFonts w:ascii="Arial Narrow" w:eastAsia="Arial Narrow" w:hAnsi="Arial Narrow" w:cs="Arial Narrow"/>
                  <w:i/>
                  <w:color w:val="0563C1"/>
                  <w:sz w:val="16"/>
                  <w:szCs w:val="16"/>
                  <w:u w:val="single"/>
                  <w:lang w:val="en-US"/>
                </w:rPr>
                <w:t>www.apeco.org.pe</w:t>
              </w:r>
            </w:hyperlink>
          </w:p>
        </w:tc>
      </w:tr>
      <w:tr w:rsidR="00EA0A65" w:rsidRPr="0037402A" w14:paraId="6836932E" w14:textId="77777777">
        <w:tc>
          <w:tcPr>
            <w:tcW w:w="10065" w:type="dxa"/>
            <w:gridSpan w:val="3"/>
            <w:shd w:val="clear" w:color="auto" w:fill="D9E2F3"/>
          </w:tcPr>
          <w:p w14:paraId="7616EAB2" w14:textId="77777777" w:rsidR="00EA0A65" w:rsidRPr="00225CC0" w:rsidRDefault="00EA0A65">
            <w:pPr>
              <w:pBdr>
                <w:top w:val="nil"/>
                <w:left w:val="nil"/>
                <w:bottom w:val="nil"/>
                <w:right w:val="nil"/>
                <w:between w:val="nil"/>
              </w:pBdr>
              <w:rPr>
                <w:rFonts w:ascii="Arial Narrow" w:eastAsia="Arial Narrow" w:hAnsi="Arial Narrow" w:cs="Arial Narrow"/>
                <w:b/>
                <w:color w:val="000000"/>
                <w:sz w:val="16"/>
                <w:szCs w:val="16"/>
                <w:lang w:val="en-US"/>
              </w:rPr>
            </w:pPr>
          </w:p>
        </w:tc>
      </w:tr>
      <w:tr w:rsidR="00EA0A65" w:rsidRPr="00225CC0" w14:paraId="5FDFB401" w14:textId="77777777">
        <w:trPr>
          <w:trHeight w:val="3740"/>
        </w:trPr>
        <w:tc>
          <w:tcPr>
            <w:tcW w:w="2411" w:type="dxa"/>
          </w:tcPr>
          <w:p w14:paraId="10B92C26"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i/>
                <w:color w:val="000000"/>
                <w:sz w:val="16"/>
                <w:szCs w:val="16"/>
              </w:rPr>
              <w:t>Regiones de interés:</w:t>
            </w:r>
            <w:r w:rsidRPr="00225CC0">
              <w:rPr>
                <w:rFonts w:ascii="Arial Narrow" w:eastAsia="Arial Narrow" w:hAnsi="Arial Narrow" w:cs="Arial Narrow"/>
                <w:b/>
                <w:color w:val="000000"/>
                <w:sz w:val="16"/>
                <w:szCs w:val="16"/>
              </w:rPr>
              <w:t xml:space="preserve"> </w:t>
            </w:r>
          </w:p>
          <w:p w14:paraId="2ADF5884" w14:textId="77777777" w:rsidR="00EA0A65" w:rsidRPr="00225CC0" w:rsidRDefault="00EA0A65">
            <w:pPr>
              <w:pBdr>
                <w:top w:val="nil"/>
                <w:left w:val="nil"/>
                <w:bottom w:val="nil"/>
                <w:right w:val="nil"/>
                <w:between w:val="nil"/>
              </w:pBdr>
              <w:rPr>
                <w:rFonts w:ascii="Arial Narrow" w:eastAsia="Arial Narrow" w:hAnsi="Arial Narrow" w:cs="Arial Narrow"/>
                <w:b/>
                <w:color w:val="000000"/>
                <w:sz w:val="16"/>
                <w:szCs w:val="16"/>
              </w:rPr>
            </w:pPr>
          </w:p>
          <w:p w14:paraId="555387F5"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X ) Amazonas</w:t>
            </w:r>
          </w:p>
          <w:p w14:paraId="0093B134"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Huánuco</w:t>
            </w:r>
          </w:p>
          <w:p w14:paraId="3D01BA49"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Loreto</w:t>
            </w:r>
          </w:p>
          <w:p w14:paraId="06544450"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Madre de Dios</w:t>
            </w:r>
          </w:p>
          <w:p w14:paraId="69CD5C12"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Piura</w:t>
            </w:r>
          </w:p>
          <w:p w14:paraId="0652026C"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San Martín</w:t>
            </w:r>
          </w:p>
          <w:p w14:paraId="1333A195"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Ucayali</w:t>
            </w:r>
          </w:p>
          <w:p w14:paraId="3ECA9B62" w14:textId="77777777" w:rsidR="00EA0A65" w:rsidRPr="00225CC0" w:rsidRDefault="00EA0A65">
            <w:pPr>
              <w:pBdr>
                <w:top w:val="nil"/>
                <w:left w:val="nil"/>
                <w:bottom w:val="nil"/>
                <w:right w:val="nil"/>
                <w:between w:val="nil"/>
              </w:pBdr>
              <w:rPr>
                <w:rFonts w:ascii="Arial Narrow" w:eastAsia="Arial Narrow" w:hAnsi="Arial Narrow" w:cs="Arial Narrow"/>
                <w:color w:val="000000"/>
                <w:sz w:val="16"/>
                <w:szCs w:val="16"/>
              </w:rPr>
            </w:pPr>
          </w:p>
        </w:tc>
        <w:tc>
          <w:tcPr>
            <w:tcW w:w="7654" w:type="dxa"/>
            <w:gridSpan w:val="2"/>
          </w:tcPr>
          <w:p w14:paraId="7DB7D8A9"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Líneas de trabajo (marcar todas las que corresponda):</w:t>
            </w:r>
          </w:p>
          <w:p w14:paraId="10FFD856" w14:textId="77777777" w:rsidR="00EA0A65" w:rsidRPr="00225CC0" w:rsidRDefault="00EA0A65">
            <w:pPr>
              <w:pBdr>
                <w:top w:val="nil"/>
                <w:left w:val="nil"/>
                <w:bottom w:val="nil"/>
                <w:right w:val="nil"/>
                <w:between w:val="nil"/>
              </w:pBdr>
              <w:rPr>
                <w:rFonts w:ascii="Arial Narrow" w:eastAsia="Arial Narrow" w:hAnsi="Arial Narrow" w:cs="Arial Narrow"/>
                <w:i/>
                <w:color w:val="000000"/>
                <w:sz w:val="16"/>
                <w:szCs w:val="16"/>
              </w:rPr>
            </w:pPr>
          </w:p>
          <w:p w14:paraId="421B2858"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(X) Agricultura libre de deforestación, sistemas agroforestales</w:t>
            </w:r>
          </w:p>
          <w:p w14:paraId="26E78E4A"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lang w:val="pt-BR"/>
              </w:rPr>
            </w:pPr>
            <w:r w:rsidRPr="00225CC0">
              <w:rPr>
                <w:rFonts w:ascii="Arial Narrow" w:eastAsia="Arial Narrow" w:hAnsi="Arial Narrow" w:cs="Arial Narrow"/>
                <w:color w:val="000000"/>
                <w:sz w:val="16"/>
                <w:szCs w:val="16"/>
                <w:lang w:val="pt-BR"/>
              </w:rPr>
              <w:t>(X) Áreas protegidas, zonas de conservación</w:t>
            </w:r>
          </w:p>
          <w:p w14:paraId="1C4A69F4"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   ) Gestión de paisajes sostenibles, sistemas productivos sostenibles</w:t>
            </w:r>
          </w:p>
          <w:p w14:paraId="6DCF6A8A"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 Proyectos con comunidades nativas y pobladores locales</w:t>
            </w:r>
          </w:p>
          <w:p w14:paraId="4937131D"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Proyectos REDD+</w:t>
            </w:r>
          </w:p>
          <w:p w14:paraId="60E5176D"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   ) Financiamiento (público, privado)</w:t>
            </w:r>
          </w:p>
          <w:p w14:paraId="4FC08CE9"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(X) Restauración, recuperación de áreas degradadas, reforestación</w:t>
            </w:r>
          </w:p>
          <w:p w14:paraId="28EA9818"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 xml:space="preserve">(   ) Manejo de bosques, madera, productos diferentes a la madera </w:t>
            </w:r>
          </w:p>
          <w:p w14:paraId="4AD99534"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   ) Políticas públicas</w:t>
            </w:r>
          </w:p>
          <w:p w14:paraId="183DC67B"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Gestión pública</w:t>
            </w:r>
          </w:p>
          <w:p w14:paraId="14F42751"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Planificación, procesos participativos</w:t>
            </w:r>
          </w:p>
          <w:p w14:paraId="7594FE9A"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Monitoreo de cobertura, sistemas de información geográfica</w:t>
            </w:r>
          </w:p>
          <w:p w14:paraId="6FF85247"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Análisis de causas de la deforestación, degradación</w:t>
            </w:r>
          </w:p>
          <w:p w14:paraId="24796335"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color w:val="000000"/>
                <w:sz w:val="16"/>
                <w:szCs w:val="16"/>
              </w:rPr>
              <w:t>(X) Otros.</w:t>
            </w:r>
            <w:r w:rsidRPr="00225CC0">
              <w:rPr>
                <w:rFonts w:ascii="Arial Narrow" w:eastAsia="Arial Narrow" w:hAnsi="Arial Narrow" w:cs="Arial Narrow"/>
                <w:i/>
                <w:color w:val="000000"/>
                <w:sz w:val="16"/>
                <w:szCs w:val="16"/>
              </w:rPr>
              <w:t xml:space="preserve"> Precisar: </w:t>
            </w:r>
            <w:r w:rsidRPr="00225CC0">
              <w:rPr>
                <w:rFonts w:ascii="Arial Narrow" w:eastAsia="Arial Narrow" w:hAnsi="Arial Narrow" w:cs="Arial Narrow"/>
                <w:color w:val="000000"/>
                <w:sz w:val="16"/>
                <w:szCs w:val="16"/>
              </w:rPr>
              <w:t>Investigación, Educación Ambiental, Difusión e Interpretación y Museología).</w:t>
            </w:r>
          </w:p>
        </w:tc>
      </w:tr>
      <w:tr w:rsidR="00EA0A65" w:rsidRPr="00225CC0" w14:paraId="1B01E647" w14:textId="77777777">
        <w:trPr>
          <w:trHeight w:val="200"/>
        </w:trPr>
        <w:tc>
          <w:tcPr>
            <w:tcW w:w="10065" w:type="dxa"/>
            <w:gridSpan w:val="3"/>
            <w:shd w:val="clear" w:color="auto" w:fill="D9E2F3"/>
          </w:tcPr>
          <w:p w14:paraId="24097CB5" w14:textId="77777777" w:rsidR="00EA0A65" w:rsidRPr="00225CC0" w:rsidRDefault="00EA0A65">
            <w:pPr>
              <w:pBdr>
                <w:top w:val="nil"/>
                <w:left w:val="nil"/>
                <w:bottom w:val="nil"/>
                <w:right w:val="nil"/>
                <w:between w:val="nil"/>
              </w:pBdr>
              <w:rPr>
                <w:rFonts w:ascii="Arial Narrow" w:eastAsia="Arial Narrow" w:hAnsi="Arial Narrow" w:cs="Arial Narrow"/>
                <w:color w:val="000000"/>
                <w:sz w:val="16"/>
                <w:szCs w:val="16"/>
              </w:rPr>
            </w:pPr>
          </w:p>
        </w:tc>
      </w:tr>
      <w:tr w:rsidR="00EA0A65" w:rsidRPr="00225CC0" w14:paraId="4B4322D0" w14:textId="77777777">
        <w:trPr>
          <w:trHeight w:val="200"/>
        </w:trPr>
        <w:tc>
          <w:tcPr>
            <w:tcW w:w="10065" w:type="dxa"/>
            <w:gridSpan w:val="3"/>
          </w:tcPr>
          <w:p w14:paraId="32EBDFF3"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Experiencia en la región del proyecto. Describir brevemente.</w:t>
            </w:r>
          </w:p>
          <w:p w14:paraId="1DFB42EC"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APECO trabaja en la hoy región Amazonas desde hace 35 años. Cuenta con oficina en la ciudad de Chachapoyas (2007 – al presente) desde donde ha administrado los diferentes proyectos conducidos en la Cordillera de Colán (SN Cordillera de Colán, RC Chayu Nain, ACP Copallín, CC Cerro EL Adobe,), Condorcanqui (ZR Santiago Comaina, RC Tuntanain), Chachapoyas y Luya (ACP Tilacancha, ACP Huaylla Belén Colcamar) y Rodríguez de Mendoza (propuesta ACR Vista Alegre Omia). Trabaja con las comunidades awajún beneficiarias de la RCCN impulsando el cacao agroforestal, así como procesos de planificación participativa y educación ambiental intercultural. Cuenta con un convenio marco de colaboración con el GOREAM.</w:t>
            </w:r>
          </w:p>
        </w:tc>
      </w:tr>
      <w:tr w:rsidR="00EA0A65" w:rsidRPr="00225CC0" w14:paraId="453C3104" w14:textId="77777777">
        <w:trPr>
          <w:trHeight w:val="200"/>
        </w:trPr>
        <w:tc>
          <w:tcPr>
            <w:tcW w:w="2411" w:type="dxa"/>
            <w:vMerge w:val="restart"/>
          </w:tcPr>
          <w:p w14:paraId="699B5F8D"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Experiencia en la materia del proyecto</w:t>
            </w:r>
          </w:p>
          <w:p w14:paraId="08AD83D6"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(proyectos, investigaciones previas, publicaciones)</w:t>
            </w:r>
          </w:p>
        </w:tc>
        <w:tc>
          <w:tcPr>
            <w:tcW w:w="7654" w:type="dxa"/>
            <w:gridSpan w:val="2"/>
          </w:tcPr>
          <w:p w14:paraId="03A75388" w14:textId="77777777" w:rsidR="00EA0A65" w:rsidRPr="00225CC0" w:rsidRDefault="002959E9">
            <w:pPr>
              <w:pBdr>
                <w:top w:val="nil"/>
                <w:left w:val="nil"/>
                <w:bottom w:val="nil"/>
                <w:right w:val="nil"/>
                <w:between w:val="nil"/>
              </w:pBdr>
              <w:ind w:left="720"/>
              <w:jc w:val="both"/>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Análisis y monitoreo de la deforestación de la Cordillera de Colán</w:t>
            </w:r>
          </w:p>
        </w:tc>
      </w:tr>
      <w:tr w:rsidR="00EA0A65" w:rsidRPr="00225CC0" w14:paraId="542F899D" w14:textId="77777777">
        <w:trPr>
          <w:trHeight w:val="200"/>
        </w:trPr>
        <w:tc>
          <w:tcPr>
            <w:tcW w:w="2411" w:type="dxa"/>
            <w:vMerge/>
          </w:tcPr>
          <w:p w14:paraId="31315187" w14:textId="77777777" w:rsidR="00EA0A65" w:rsidRPr="00225CC0"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654" w:type="dxa"/>
            <w:gridSpan w:val="2"/>
          </w:tcPr>
          <w:p w14:paraId="4C11712C" w14:textId="77777777" w:rsidR="00EA0A65" w:rsidRPr="00225CC0" w:rsidRDefault="002959E9">
            <w:pPr>
              <w:pBdr>
                <w:top w:val="nil"/>
                <w:left w:val="nil"/>
                <w:bottom w:val="nil"/>
                <w:right w:val="nil"/>
                <w:between w:val="nil"/>
              </w:pBdr>
              <w:ind w:left="720"/>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Establecimiento de áreas protegidas (ACP, CC, ACR, ANP)</w:t>
            </w:r>
          </w:p>
        </w:tc>
      </w:tr>
      <w:tr w:rsidR="00EA0A65" w:rsidRPr="00225CC0" w14:paraId="5D05AAEB" w14:textId="77777777">
        <w:trPr>
          <w:trHeight w:val="200"/>
        </w:trPr>
        <w:tc>
          <w:tcPr>
            <w:tcW w:w="2411" w:type="dxa"/>
            <w:vMerge/>
          </w:tcPr>
          <w:p w14:paraId="3EBF23B4" w14:textId="77777777" w:rsidR="00EA0A65" w:rsidRPr="00225CC0"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654" w:type="dxa"/>
            <w:gridSpan w:val="2"/>
          </w:tcPr>
          <w:p w14:paraId="45C977CC" w14:textId="77777777" w:rsidR="00EA0A65" w:rsidRPr="00225CC0" w:rsidRDefault="002959E9">
            <w:pPr>
              <w:pBdr>
                <w:top w:val="nil"/>
                <w:left w:val="nil"/>
                <w:bottom w:val="nil"/>
                <w:right w:val="nil"/>
                <w:between w:val="nil"/>
              </w:pBdr>
              <w:ind w:left="720"/>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Actividades habilitantes como la agroforestería y ganadería estabulada</w:t>
            </w:r>
          </w:p>
        </w:tc>
      </w:tr>
      <w:tr w:rsidR="00EA0A65" w:rsidRPr="00225CC0" w14:paraId="2E66F4E0" w14:textId="77777777">
        <w:trPr>
          <w:trHeight w:val="200"/>
        </w:trPr>
        <w:tc>
          <w:tcPr>
            <w:tcW w:w="10065" w:type="dxa"/>
            <w:gridSpan w:val="3"/>
            <w:shd w:val="clear" w:color="auto" w:fill="D9E2F3"/>
          </w:tcPr>
          <w:p w14:paraId="3D7AE318" w14:textId="77777777" w:rsidR="00EA0A65" w:rsidRPr="00225CC0" w:rsidRDefault="00EA0A65">
            <w:pPr>
              <w:pBdr>
                <w:top w:val="nil"/>
                <w:left w:val="nil"/>
                <w:bottom w:val="nil"/>
                <w:right w:val="nil"/>
                <w:between w:val="nil"/>
              </w:pBdr>
              <w:jc w:val="center"/>
              <w:rPr>
                <w:rFonts w:ascii="Arial Narrow" w:eastAsia="Arial Narrow" w:hAnsi="Arial Narrow" w:cs="Arial Narrow"/>
                <w:color w:val="000000"/>
                <w:sz w:val="16"/>
                <w:szCs w:val="16"/>
              </w:rPr>
            </w:pPr>
          </w:p>
        </w:tc>
      </w:tr>
      <w:tr w:rsidR="00EA0A65" w:rsidRPr="00225CC0" w14:paraId="2315E34A" w14:textId="77777777">
        <w:trPr>
          <w:trHeight w:val="580"/>
        </w:trPr>
        <w:tc>
          <w:tcPr>
            <w:tcW w:w="10065" w:type="dxa"/>
            <w:gridSpan w:val="3"/>
          </w:tcPr>
          <w:p w14:paraId="3ECCF118"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Otra información relevante</w:t>
            </w:r>
          </w:p>
          <w:p w14:paraId="5749F6A4"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xml:space="preserve">En la primera convocatoria de este proyecto, en colaboración con el ARA, se elaboró y envío la propuesta </w:t>
            </w:r>
            <w:r w:rsidRPr="00225CC0">
              <w:rPr>
                <w:rFonts w:ascii="Arial Narrow" w:eastAsia="Arial Narrow" w:hAnsi="Arial Narrow" w:cs="Arial Narrow"/>
                <w:i/>
                <w:color w:val="000000"/>
                <w:sz w:val="16"/>
                <w:szCs w:val="16"/>
              </w:rPr>
              <w:t>Allocation of conservation rights to mitigate deforestation in the Amazonas Region (State), Peru</w:t>
            </w:r>
            <w:r w:rsidRPr="00225CC0">
              <w:rPr>
                <w:rFonts w:ascii="Arial Narrow" w:eastAsia="Arial Narrow" w:hAnsi="Arial Narrow" w:cs="Arial Narrow"/>
                <w:color w:val="000000"/>
                <w:sz w:val="16"/>
                <w:szCs w:val="16"/>
              </w:rPr>
              <w:t xml:space="preserve">, que aborda temas de interés de esta segunda convocatoria. </w:t>
            </w:r>
          </w:p>
          <w:p w14:paraId="4B87D203" w14:textId="77777777" w:rsidR="00EA0A65" w:rsidRPr="00225CC0" w:rsidRDefault="002959E9">
            <w:pPr>
              <w:pBdr>
                <w:top w:val="nil"/>
                <w:left w:val="nil"/>
                <w:bottom w:val="nil"/>
                <w:right w:val="nil"/>
                <w:between w:val="nil"/>
              </w:pBdr>
              <w:ind w:left="720"/>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xml:space="preserve">Fortalecimiento del ARA y otras oficinas para la asignación de derechos de conservación </w:t>
            </w:r>
          </w:p>
          <w:p w14:paraId="34908E2A" w14:textId="77777777" w:rsidR="00EA0A65" w:rsidRPr="00225CC0" w:rsidRDefault="002959E9">
            <w:pPr>
              <w:pBdr>
                <w:top w:val="nil"/>
                <w:left w:val="nil"/>
                <w:bottom w:val="nil"/>
                <w:right w:val="nil"/>
                <w:between w:val="nil"/>
              </w:pBdr>
              <w:ind w:left="720"/>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Mejora de normas y procesos para la asignación de derechos de conservación</w:t>
            </w:r>
          </w:p>
          <w:p w14:paraId="28AAA944" w14:textId="77777777" w:rsidR="00EA0A65" w:rsidRPr="00225CC0" w:rsidRDefault="002959E9">
            <w:pPr>
              <w:pBdr>
                <w:top w:val="nil"/>
                <w:left w:val="nil"/>
                <w:bottom w:val="nil"/>
                <w:right w:val="nil"/>
                <w:between w:val="nil"/>
              </w:pBdr>
              <w:ind w:left="720"/>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Incremento de la participación de las organizaciones indígenas en la asignación de derechos</w:t>
            </w:r>
          </w:p>
          <w:p w14:paraId="362C5E89" w14:textId="77777777" w:rsidR="00EA0A65" w:rsidRPr="00225CC0" w:rsidRDefault="002959E9">
            <w:pPr>
              <w:pBdr>
                <w:top w:val="nil"/>
                <w:left w:val="nil"/>
                <w:bottom w:val="nil"/>
                <w:right w:val="nil"/>
                <w:between w:val="nil"/>
              </w:pBdr>
              <w:ind w:left="720"/>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Incremento de la superficie con asignación de derechos de conservación en las zonas prioritarias del SICRE</w:t>
            </w:r>
          </w:p>
          <w:p w14:paraId="5F337686" w14:textId="77777777" w:rsidR="00EA0A65" w:rsidRPr="00225CC0" w:rsidRDefault="002959E9">
            <w:pPr>
              <w:pBdr>
                <w:top w:val="nil"/>
                <w:left w:val="nil"/>
                <w:bottom w:val="nil"/>
                <w:right w:val="nil"/>
                <w:between w:val="nil"/>
              </w:pBdr>
              <w:ind w:left="720"/>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Actividades piloto para el manejo y conservación de los derechos de conservación actuales (piloto de control de deforestación y de incendios forestales).</w:t>
            </w:r>
          </w:p>
          <w:p w14:paraId="5456DAD4"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Esta propuesta fue previamente revisada por el equipo del GFC y sus observaciones fueron incorporadas en la versión final enviada.  La propuesta contó con carta de apoyo de la RED AMA.</w:t>
            </w:r>
          </w:p>
        </w:tc>
      </w:tr>
      <w:tr w:rsidR="00EA0A65" w:rsidRPr="00225CC0" w14:paraId="0F35F8EE" w14:textId="77777777">
        <w:trPr>
          <w:trHeight w:val="200"/>
        </w:trPr>
        <w:tc>
          <w:tcPr>
            <w:tcW w:w="10065" w:type="dxa"/>
            <w:gridSpan w:val="3"/>
            <w:shd w:val="clear" w:color="auto" w:fill="D9E2F3"/>
          </w:tcPr>
          <w:p w14:paraId="19BD536B" w14:textId="77777777" w:rsidR="00EA0A65" w:rsidRPr="00225CC0" w:rsidRDefault="00EA0A65">
            <w:pPr>
              <w:pBdr>
                <w:top w:val="nil"/>
                <w:left w:val="nil"/>
                <w:bottom w:val="nil"/>
                <w:right w:val="nil"/>
                <w:between w:val="nil"/>
              </w:pBdr>
              <w:rPr>
                <w:rFonts w:ascii="Calibri" w:eastAsia="Calibri" w:hAnsi="Calibri" w:cs="Calibri"/>
                <w:color w:val="000000"/>
                <w:sz w:val="16"/>
                <w:szCs w:val="16"/>
              </w:rPr>
            </w:pPr>
          </w:p>
        </w:tc>
      </w:tr>
    </w:tbl>
    <w:p w14:paraId="249B79C3" w14:textId="474F818B" w:rsidR="00EA0A65" w:rsidRDefault="00EA0A65">
      <w:pPr>
        <w:ind w:left="-851"/>
        <w:rPr>
          <w:rFonts w:ascii="Arial Narrow" w:eastAsia="Arial Narrow" w:hAnsi="Arial Narrow" w:cs="Arial Narrow"/>
          <w:sz w:val="16"/>
          <w:szCs w:val="16"/>
        </w:rPr>
      </w:pPr>
    </w:p>
    <w:p w14:paraId="50297CB9" w14:textId="62A2AD21" w:rsidR="00225CC0" w:rsidRDefault="00225CC0">
      <w:pPr>
        <w:ind w:left="-851"/>
        <w:rPr>
          <w:rFonts w:ascii="Arial Narrow" w:eastAsia="Arial Narrow" w:hAnsi="Arial Narrow" w:cs="Arial Narrow"/>
          <w:sz w:val="16"/>
          <w:szCs w:val="16"/>
        </w:rPr>
      </w:pPr>
    </w:p>
    <w:p w14:paraId="15D8C8B9" w14:textId="38990CBE" w:rsidR="00225CC0" w:rsidRDefault="00225CC0">
      <w:pPr>
        <w:ind w:left="-851"/>
        <w:rPr>
          <w:rFonts w:ascii="Arial Narrow" w:eastAsia="Arial Narrow" w:hAnsi="Arial Narrow" w:cs="Arial Narrow"/>
          <w:sz w:val="16"/>
          <w:szCs w:val="16"/>
        </w:rPr>
      </w:pPr>
    </w:p>
    <w:p w14:paraId="628A9CF4" w14:textId="7AB424DD" w:rsidR="00225CC0" w:rsidRDefault="00225CC0">
      <w:pPr>
        <w:ind w:left="-851"/>
        <w:rPr>
          <w:rFonts w:ascii="Arial Narrow" w:eastAsia="Arial Narrow" w:hAnsi="Arial Narrow" w:cs="Arial Narrow"/>
          <w:sz w:val="16"/>
          <w:szCs w:val="16"/>
        </w:rPr>
      </w:pPr>
    </w:p>
    <w:p w14:paraId="6BF72586" w14:textId="77777777" w:rsidR="00225CC0" w:rsidRPr="00225CC0" w:rsidRDefault="00225CC0">
      <w:pPr>
        <w:ind w:left="-851"/>
        <w:rPr>
          <w:rFonts w:ascii="Arial Narrow" w:eastAsia="Arial Narrow" w:hAnsi="Arial Narrow" w:cs="Arial Narrow"/>
          <w:sz w:val="16"/>
          <w:szCs w:val="16"/>
        </w:rPr>
      </w:pPr>
    </w:p>
    <w:tbl>
      <w:tblPr>
        <w:tblStyle w:val="a6"/>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56"/>
        <w:gridCol w:w="7229"/>
      </w:tblGrid>
      <w:tr w:rsidR="00EA0A65" w:rsidRPr="00225CC0" w14:paraId="1E5E03A2" w14:textId="77777777">
        <w:trPr>
          <w:trHeight w:val="560"/>
        </w:trPr>
        <w:tc>
          <w:tcPr>
            <w:tcW w:w="10207" w:type="dxa"/>
            <w:gridSpan w:val="3"/>
          </w:tcPr>
          <w:p w14:paraId="7B9AE343"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lastRenderedPageBreak/>
              <w:t>Nombre de la institución:</w:t>
            </w:r>
          </w:p>
          <w:p w14:paraId="000D6EBD"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b/>
                <w:color w:val="000000"/>
                <w:sz w:val="16"/>
                <w:szCs w:val="16"/>
              </w:rPr>
              <w:t>Nature and Culture International</w:t>
            </w:r>
          </w:p>
        </w:tc>
      </w:tr>
      <w:tr w:rsidR="00EA0A65" w:rsidRPr="00225CC0" w14:paraId="1BB1FD07" w14:textId="77777777">
        <w:tc>
          <w:tcPr>
            <w:tcW w:w="10207" w:type="dxa"/>
            <w:gridSpan w:val="3"/>
          </w:tcPr>
          <w:p w14:paraId="17BE0F75"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Persona de contacto/ Cargo:</w:t>
            </w:r>
          </w:p>
          <w:p w14:paraId="7163C60E"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Oscar Enrique Franco Pardo-Figueroa</w:t>
            </w:r>
          </w:p>
        </w:tc>
      </w:tr>
      <w:tr w:rsidR="00EA0A65" w:rsidRPr="00225CC0" w14:paraId="7A458F1F" w14:textId="77777777">
        <w:tc>
          <w:tcPr>
            <w:tcW w:w="2978" w:type="dxa"/>
            <w:gridSpan w:val="2"/>
          </w:tcPr>
          <w:p w14:paraId="1644A56D"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Dirección física:</w:t>
            </w:r>
          </w:p>
          <w:p w14:paraId="628AFCB2"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color w:val="000000"/>
                <w:sz w:val="16"/>
                <w:szCs w:val="16"/>
              </w:rPr>
              <w:t xml:space="preserve">Calle Las Orquídeas MZ K,  Lote 21 - Urb. Santa María del Pinar, Piura </w:t>
            </w:r>
            <w:r w:rsidRPr="00225CC0">
              <w:rPr>
                <w:rFonts w:ascii="Arial Narrow" w:eastAsia="Arial Narrow" w:hAnsi="Arial Narrow" w:cs="Arial Narrow"/>
                <w:color w:val="000000"/>
                <w:sz w:val="16"/>
                <w:szCs w:val="16"/>
                <w:highlight w:val="white"/>
              </w:rPr>
              <w:t>- Perú</w:t>
            </w:r>
          </w:p>
        </w:tc>
        <w:tc>
          <w:tcPr>
            <w:tcW w:w="7229" w:type="dxa"/>
          </w:tcPr>
          <w:p w14:paraId="090D180D"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 xml:space="preserve">E-mail: </w:t>
            </w:r>
          </w:p>
          <w:p w14:paraId="566066F7" w14:textId="77777777" w:rsidR="00EA0A65" w:rsidRPr="00225CC0" w:rsidRDefault="00214307">
            <w:pPr>
              <w:pBdr>
                <w:top w:val="nil"/>
                <w:left w:val="nil"/>
                <w:bottom w:val="nil"/>
                <w:right w:val="nil"/>
                <w:between w:val="nil"/>
              </w:pBdr>
              <w:rPr>
                <w:rFonts w:ascii="Arial Narrow" w:eastAsia="Arial Narrow" w:hAnsi="Arial Narrow" w:cs="Arial Narrow"/>
                <w:color w:val="000000"/>
                <w:sz w:val="16"/>
                <w:szCs w:val="16"/>
              </w:rPr>
            </w:pPr>
            <w:hyperlink r:id="rId28">
              <w:r w:rsidR="002959E9" w:rsidRPr="00225CC0">
                <w:rPr>
                  <w:rFonts w:ascii="Arial Narrow" w:eastAsia="Arial Narrow" w:hAnsi="Arial Narrow" w:cs="Arial Narrow"/>
                  <w:color w:val="0563C1"/>
                  <w:sz w:val="16"/>
                  <w:szCs w:val="16"/>
                  <w:u w:val="single"/>
                </w:rPr>
                <w:t>ofranco@naturalezaycultura.org</w:t>
              </w:r>
            </w:hyperlink>
          </w:p>
          <w:p w14:paraId="4B5AED11" w14:textId="77777777" w:rsidR="00EA0A65" w:rsidRPr="00225CC0" w:rsidRDefault="00EA0A65">
            <w:pPr>
              <w:pBdr>
                <w:top w:val="nil"/>
                <w:left w:val="nil"/>
                <w:bottom w:val="nil"/>
                <w:right w:val="nil"/>
                <w:between w:val="nil"/>
              </w:pBdr>
              <w:rPr>
                <w:rFonts w:ascii="Arial Narrow" w:eastAsia="Arial Narrow" w:hAnsi="Arial Narrow" w:cs="Arial Narrow"/>
                <w:i/>
                <w:color w:val="000000"/>
                <w:sz w:val="16"/>
                <w:szCs w:val="16"/>
              </w:rPr>
            </w:pPr>
          </w:p>
        </w:tc>
      </w:tr>
      <w:tr w:rsidR="00EA0A65" w:rsidRPr="0037402A" w14:paraId="25F1E837" w14:textId="77777777">
        <w:tc>
          <w:tcPr>
            <w:tcW w:w="2978" w:type="dxa"/>
            <w:gridSpan w:val="2"/>
          </w:tcPr>
          <w:p w14:paraId="59909252"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Teléfono / Celular:</w:t>
            </w:r>
          </w:p>
          <w:p w14:paraId="1A4A2996"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highlight w:val="white"/>
              </w:rPr>
              <w:t>073 33 3694/ 989 121 469</w:t>
            </w:r>
          </w:p>
          <w:p w14:paraId="2A2A1225" w14:textId="77777777" w:rsidR="00EA0A65" w:rsidRPr="00225CC0" w:rsidRDefault="00EA0A65">
            <w:pPr>
              <w:pBdr>
                <w:top w:val="nil"/>
                <w:left w:val="nil"/>
                <w:bottom w:val="nil"/>
                <w:right w:val="nil"/>
                <w:between w:val="nil"/>
              </w:pBdr>
              <w:rPr>
                <w:rFonts w:ascii="Arial Narrow" w:eastAsia="Arial Narrow" w:hAnsi="Arial Narrow" w:cs="Arial Narrow"/>
                <w:color w:val="000000"/>
                <w:sz w:val="16"/>
                <w:szCs w:val="16"/>
              </w:rPr>
            </w:pPr>
          </w:p>
        </w:tc>
        <w:tc>
          <w:tcPr>
            <w:tcW w:w="7229" w:type="dxa"/>
          </w:tcPr>
          <w:p w14:paraId="2B06E731"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lang w:val="en-US"/>
              </w:rPr>
            </w:pPr>
            <w:r w:rsidRPr="00225CC0">
              <w:rPr>
                <w:rFonts w:ascii="Arial Narrow" w:eastAsia="Arial Narrow" w:hAnsi="Arial Narrow" w:cs="Arial Narrow"/>
                <w:i/>
                <w:color w:val="000000"/>
                <w:sz w:val="16"/>
                <w:szCs w:val="16"/>
                <w:lang w:val="en-US"/>
              </w:rPr>
              <w:t xml:space="preserve">Sitio web: </w:t>
            </w:r>
          </w:p>
          <w:p w14:paraId="42DFFCCC" w14:textId="77777777" w:rsidR="00EA0A65" w:rsidRPr="00225CC0" w:rsidRDefault="00214307">
            <w:pPr>
              <w:pBdr>
                <w:top w:val="nil"/>
                <w:left w:val="nil"/>
                <w:bottom w:val="nil"/>
                <w:right w:val="nil"/>
                <w:between w:val="nil"/>
              </w:pBdr>
              <w:rPr>
                <w:rFonts w:ascii="Arial Narrow" w:eastAsia="Arial Narrow" w:hAnsi="Arial Narrow" w:cs="Arial Narrow"/>
                <w:i/>
                <w:color w:val="000000"/>
                <w:sz w:val="16"/>
                <w:szCs w:val="16"/>
                <w:lang w:val="en-US"/>
              </w:rPr>
            </w:pPr>
            <w:hyperlink r:id="rId29">
              <w:r w:rsidR="002959E9" w:rsidRPr="00225CC0">
                <w:rPr>
                  <w:rFonts w:ascii="Arial Narrow" w:eastAsia="Arial Narrow" w:hAnsi="Arial Narrow" w:cs="Arial Narrow"/>
                  <w:color w:val="0563C1"/>
                  <w:sz w:val="16"/>
                  <w:szCs w:val="16"/>
                  <w:u w:val="single"/>
                  <w:lang w:val="en-US"/>
                </w:rPr>
                <w:t>www.naturalezaycultura.org</w:t>
              </w:r>
            </w:hyperlink>
          </w:p>
        </w:tc>
      </w:tr>
      <w:tr w:rsidR="00EA0A65" w:rsidRPr="0037402A" w14:paraId="0C68C4A2" w14:textId="77777777">
        <w:tc>
          <w:tcPr>
            <w:tcW w:w="10207" w:type="dxa"/>
            <w:gridSpan w:val="3"/>
            <w:shd w:val="clear" w:color="auto" w:fill="D9E2F3"/>
          </w:tcPr>
          <w:p w14:paraId="4C66521B" w14:textId="77777777" w:rsidR="00EA0A65" w:rsidRPr="00225CC0" w:rsidRDefault="00EA0A65">
            <w:pPr>
              <w:pBdr>
                <w:top w:val="nil"/>
                <w:left w:val="nil"/>
                <w:bottom w:val="nil"/>
                <w:right w:val="nil"/>
                <w:between w:val="nil"/>
              </w:pBdr>
              <w:rPr>
                <w:rFonts w:ascii="Arial Narrow" w:eastAsia="Arial Narrow" w:hAnsi="Arial Narrow" w:cs="Arial Narrow"/>
                <w:b/>
                <w:color w:val="000000"/>
                <w:sz w:val="16"/>
                <w:szCs w:val="16"/>
                <w:lang w:val="en-US"/>
              </w:rPr>
            </w:pPr>
          </w:p>
        </w:tc>
      </w:tr>
      <w:tr w:rsidR="00EA0A65" w:rsidRPr="00225CC0" w14:paraId="3695626E" w14:textId="77777777">
        <w:trPr>
          <w:trHeight w:val="3320"/>
        </w:trPr>
        <w:tc>
          <w:tcPr>
            <w:tcW w:w="2122" w:type="dxa"/>
          </w:tcPr>
          <w:p w14:paraId="2A4C20C4"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i/>
                <w:color w:val="000000"/>
                <w:sz w:val="16"/>
                <w:szCs w:val="16"/>
              </w:rPr>
              <w:t>Regiones de interés:</w:t>
            </w:r>
            <w:r w:rsidRPr="00225CC0">
              <w:rPr>
                <w:rFonts w:ascii="Arial Narrow" w:eastAsia="Arial Narrow" w:hAnsi="Arial Narrow" w:cs="Arial Narrow"/>
                <w:b/>
                <w:color w:val="000000"/>
                <w:sz w:val="16"/>
                <w:szCs w:val="16"/>
              </w:rPr>
              <w:t xml:space="preserve"> </w:t>
            </w:r>
          </w:p>
          <w:p w14:paraId="4591D598" w14:textId="77777777" w:rsidR="00EA0A65" w:rsidRPr="00225CC0" w:rsidRDefault="00EA0A65">
            <w:pPr>
              <w:pBdr>
                <w:top w:val="nil"/>
                <w:left w:val="nil"/>
                <w:bottom w:val="nil"/>
                <w:right w:val="nil"/>
                <w:between w:val="nil"/>
              </w:pBdr>
              <w:rPr>
                <w:rFonts w:ascii="Arial Narrow" w:eastAsia="Arial Narrow" w:hAnsi="Arial Narrow" w:cs="Arial Narrow"/>
                <w:b/>
                <w:color w:val="000000"/>
                <w:sz w:val="16"/>
                <w:szCs w:val="16"/>
              </w:rPr>
            </w:pPr>
          </w:p>
          <w:p w14:paraId="06BC129F"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Amazonas</w:t>
            </w:r>
          </w:p>
          <w:p w14:paraId="78230E89"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Huánuco</w:t>
            </w:r>
          </w:p>
          <w:p w14:paraId="73F1A77C"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Loreto</w:t>
            </w:r>
          </w:p>
          <w:p w14:paraId="18B33ADB"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Madre de Dios</w:t>
            </w:r>
          </w:p>
          <w:p w14:paraId="2EE5B24F"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Piura</w:t>
            </w:r>
          </w:p>
          <w:p w14:paraId="3CF656DE"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San Martín</w:t>
            </w:r>
          </w:p>
          <w:p w14:paraId="516F5824"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Ucayali</w:t>
            </w:r>
          </w:p>
          <w:p w14:paraId="37954095" w14:textId="77777777" w:rsidR="00EA0A65" w:rsidRPr="00225CC0" w:rsidRDefault="00EA0A65">
            <w:pPr>
              <w:pBdr>
                <w:top w:val="nil"/>
                <w:left w:val="nil"/>
                <w:bottom w:val="nil"/>
                <w:right w:val="nil"/>
                <w:between w:val="nil"/>
              </w:pBdr>
              <w:rPr>
                <w:rFonts w:ascii="Arial Narrow" w:eastAsia="Arial Narrow" w:hAnsi="Arial Narrow" w:cs="Arial Narrow"/>
                <w:color w:val="000000"/>
                <w:sz w:val="16"/>
                <w:szCs w:val="16"/>
              </w:rPr>
            </w:pPr>
          </w:p>
        </w:tc>
        <w:tc>
          <w:tcPr>
            <w:tcW w:w="8085" w:type="dxa"/>
            <w:gridSpan w:val="2"/>
          </w:tcPr>
          <w:p w14:paraId="73DB765B"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Líneas de trabajo (marcar todas las que corresponda):</w:t>
            </w:r>
          </w:p>
          <w:p w14:paraId="45588648" w14:textId="77777777" w:rsidR="00EA0A65" w:rsidRPr="00225CC0" w:rsidRDefault="00EA0A65">
            <w:pPr>
              <w:pBdr>
                <w:top w:val="nil"/>
                <w:left w:val="nil"/>
                <w:bottom w:val="nil"/>
                <w:right w:val="nil"/>
                <w:between w:val="nil"/>
              </w:pBdr>
              <w:rPr>
                <w:rFonts w:ascii="Arial Narrow" w:eastAsia="Arial Narrow" w:hAnsi="Arial Narrow" w:cs="Arial Narrow"/>
                <w:i/>
                <w:color w:val="000000"/>
                <w:sz w:val="16"/>
                <w:szCs w:val="16"/>
              </w:rPr>
            </w:pPr>
          </w:p>
          <w:p w14:paraId="7024507E"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(x) Agricultura libre de deforestación, sistemas agroforestales</w:t>
            </w:r>
          </w:p>
          <w:p w14:paraId="3C30F7E5"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lang w:val="pt-BR"/>
              </w:rPr>
            </w:pPr>
            <w:r w:rsidRPr="00225CC0">
              <w:rPr>
                <w:rFonts w:ascii="Arial Narrow" w:eastAsia="Arial Narrow" w:hAnsi="Arial Narrow" w:cs="Arial Narrow"/>
                <w:color w:val="000000"/>
                <w:sz w:val="16"/>
                <w:szCs w:val="16"/>
                <w:lang w:val="pt-BR"/>
              </w:rPr>
              <w:t>(x) Áreas protegidas, zonas de conservación</w:t>
            </w:r>
          </w:p>
          <w:p w14:paraId="3DA2EB6D"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(x) Gestión de paisajes sostenibles, sistemas productivos sostenibles</w:t>
            </w:r>
          </w:p>
          <w:p w14:paraId="2E2E8945"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Proyectos con comunidades nativas y pobladores locales</w:t>
            </w:r>
          </w:p>
          <w:p w14:paraId="4A54D948"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(x) Proyectos REDD+</w:t>
            </w:r>
          </w:p>
          <w:p w14:paraId="3420885B"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(x) Financiamiento (público, privado)</w:t>
            </w:r>
          </w:p>
          <w:p w14:paraId="5F1BE5CC"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(x) Restauración, recuperación de áreas degradadas, reforestación</w:t>
            </w:r>
          </w:p>
          <w:p w14:paraId="4C4B9BAD"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 xml:space="preserve">(x) Manejo de bosques, madera, productos diferentes a la madera </w:t>
            </w:r>
          </w:p>
          <w:p w14:paraId="0BA00A27" w14:textId="77777777" w:rsidR="00EA0A65" w:rsidRPr="00225CC0" w:rsidRDefault="002959E9">
            <w:pPr>
              <w:pBdr>
                <w:top w:val="nil"/>
                <w:left w:val="nil"/>
                <w:bottom w:val="nil"/>
                <w:right w:val="nil"/>
                <w:between w:val="nil"/>
              </w:pBdr>
              <w:rPr>
                <w:rFonts w:ascii="Arial Narrow" w:eastAsia="Arial Narrow" w:hAnsi="Arial Narrow" w:cs="Arial Narrow"/>
                <w:b/>
                <w:color w:val="000000"/>
                <w:sz w:val="16"/>
                <w:szCs w:val="16"/>
              </w:rPr>
            </w:pPr>
            <w:r w:rsidRPr="00225CC0">
              <w:rPr>
                <w:rFonts w:ascii="Arial Narrow" w:eastAsia="Arial Narrow" w:hAnsi="Arial Narrow" w:cs="Arial Narrow"/>
                <w:color w:val="000000"/>
                <w:sz w:val="16"/>
                <w:szCs w:val="16"/>
              </w:rPr>
              <w:t>(  ) Políticas públicas</w:t>
            </w:r>
          </w:p>
          <w:p w14:paraId="15B22687"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Gestión pública</w:t>
            </w:r>
          </w:p>
          <w:p w14:paraId="6E7CD0E6"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Planificación, Procesos participativos</w:t>
            </w:r>
          </w:p>
          <w:p w14:paraId="4566E8D0"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Monitoreo de cobertura, sistemas de información geográfica</w:t>
            </w:r>
          </w:p>
          <w:p w14:paraId="17FE44B6" w14:textId="77777777" w:rsidR="00EA0A65" w:rsidRPr="00225CC0" w:rsidRDefault="002959E9">
            <w:p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 Análisis de causas de la deforestación, degradación</w:t>
            </w:r>
          </w:p>
          <w:p w14:paraId="109EC918"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color w:val="000000"/>
                <w:sz w:val="16"/>
                <w:szCs w:val="16"/>
              </w:rPr>
              <w:t>(  ) Otros.</w:t>
            </w:r>
            <w:r w:rsidRPr="00225CC0">
              <w:rPr>
                <w:rFonts w:ascii="Arial Narrow" w:eastAsia="Arial Narrow" w:hAnsi="Arial Narrow" w:cs="Arial Narrow"/>
                <w:i/>
                <w:color w:val="000000"/>
                <w:sz w:val="16"/>
                <w:szCs w:val="16"/>
              </w:rPr>
              <w:t xml:space="preserve"> Precisar:</w:t>
            </w:r>
          </w:p>
        </w:tc>
      </w:tr>
      <w:tr w:rsidR="00EA0A65" w:rsidRPr="00225CC0" w14:paraId="0F9459FD" w14:textId="77777777">
        <w:trPr>
          <w:trHeight w:val="200"/>
        </w:trPr>
        <w:tc>
          <w:tcPr>
            <w:tcW w:w="10207" w:type="dxa"/>
            <w:gridSpan w:val="3"/>
            <w:shd w:val="clear" w:color="auto" w:fill="D9E2F3"/>
          </w:tcPr>
          <w:p w14:paraId="1BEDDF18" w14:textId="77777777" w:rsidR="00EA0A65" w:rsidRPr="00225CC0" w:rsidRDefault="00EA0A65">
            <w:pPr>
              <w:pBdr>
                <w:top w:val="nil"/>
                <w:left w:val="nil"/>
                <w:bottom w:val="nil"/>
                <w:right w:val="nil"/>
                <w:between w:val="nil"/>
              </w:pBdr>
              <w:rPr>
                <w:rFonts w:ascii="Arial Narrow" w:eastAsia="Arial Narrow" w:hAnsi="Arial Narrow" w:cs="Arial Narrow"/>
                <w:color w:val="000000"/>
                <w:sz w:val="16"/>
                <w:szCs w:val="16"/>
              </w:rPr>
            </w:pPr>
          </w:p>
        </w:tc>
      </w:tr>
      <w:tr w:rsidR="00EA0A65" w:rsidRPr="00225CC0" w14:paraId="7353A0E5" w14:textId="77777777">
        <w:trPr>
          <w:trHeight w:val="200"/>
        </w:trPr>
        <w:tc>
          <w:tcPr>
            <w:tcW w:w="10207" w:type="dxa"/>
            <w:gridSpan w:val="3"/>
          </w:tcPr>
          <w:p w14:paraId="494CF036"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Experiencia en la región del proyecto. Describir brevemente.</w:t>
            </w:r>
          </w:p>
          <w:p w14:paraId="27A83564" w14:textId="77777777" w:rsidR="00EA0A65" w:rsidRPr="00225CC0" w:rsidRDefault="00EA0A65">
            <w:pPr>
              <w:pBdr>
                <w:top w:val="nil"/>
                <w:left w:val="nil"/>
                <w:bottom w:val="nil"/>
                <w:right w:val="nil"/>
                <w:between w:val="nil"/>
              </w:pBdr>
              <w:rPr>
                <w:rFonts w:ascii="Arial Narrow" w:eastAsia="Arial Narrow" w:hAnsi="Arial Narrow" w:cs="Arial Narrow"/>
                <w:i/>
                <w:color w:val="000000"/>
                <w:sz w:val="16"/>
                <w:szCs w:val="16"/>
              </w:rPr>
            </w:pPr>
          </w:p>
          <w:p w14:paraId="7B14F4C6" w14:textId="77777777" w:rsidR="00EA0A65" w:rsidRPr="00225CC0" w:rsidRDefault="002959E9">
            <w:pPr>
              <w:jc w:val="both"/>
              <w:rPr>
                <w:rFonts w:ascii="Arial Narrow" w:eastAsia="Arial Narrow" w:hAnsi="Arial Narrow" w:cs="Arial Narrow"/>
                <w:sz w:val="16"/>
                <w:szCs w:val="16"/>
              </w:rPr>
            </w:pPr>
            <w:r w:rsidRPr="00225CC0">
              <w:rPr>
                <w:rFonts w:ascii="Arial Narrow" w:eastAsia="Arial Narrow" w:hAnsi="Arial Narrow" w:cs="Arial Narrow"/>
                <w:b/>
                <w:sz w:val="16"/>
                <w:szCs w:val="16"/>
              </w:rPr>
              <w:t>En Amazonas</w:t>
            </w:r>
            <w:r w:rsidRPr="00225CC0">
              <w:rPr>
                <w:rFonts w:ascii="Arial Narrow" w:eastAsia="Arial Narrow" w:hAnsi="Arial Narrow" w:cs="Arial Narrow"/>
                <w:sz w:val="16"/>
                <w:szCs w:val="16"/>
              </w:rPr>
              <w:t xml:space="preserve">, </w:t>
            </w:r>
            <w:r w:rsidRPr="00225CC0">
              <w:rPr>
                <w:rFonts w:ascii="Arial Narrow" w:eastAsia="Arial Narrow" w:hAnsi="Arial Narrow" w:cs="Arial Narrow"/>
                <w:sz w:val="16"/>
                <w:szCs w:val="16"/>
                <w:highlight w:val="white"/>
              </w:rPr>
              <w:t xml:space="preserve">NCI tiene presencia desde el 2007, cuando se firmó un convenio con </w:t>
            </w:r>
            <w:r w:rsidRPr="00225CC0">
              <w:rPr>
                <w:rFonts w:ascii="Arial Narrow" w:eastAsia="Arial Narrow" w:hAnsi="Arial Narrow" w:cs="Arial Narrow"/>
                <w:sz w:val="16"/>
                <w:szCs w:val="16"/>
              </w:rPr>
              <w:t xml:space="preserve">el IIAP, que estuvo vigente hasta el 2011. Desde ese momento nuestra presencia se fortaleció con el establecimiento de una oficina propia. Hasta la fecha, hemos colaborado en la creación de 9 áreas de conservación, que suman un total de 202,512 ha: ACP Comunal Llamapampa-La Jalca, ACP Bosque de Palmeras de la Comunidad Campesina Taulia-Molinopampa, ACP Cavernas de Leo, ACP San Pedro de Chuquibamba, CC Pamau Nain, CC Tijae Nain, CC Dase Nain, CC Monte Alegre, CC Vilaya Condorpuna Shipago. Tambien hemos colaborado con varias municipalidades provinciales en el establecimiento de ACAs. Actualmente, estamos contribuyendo con el GORE en el establecimiento del ACR Bosques Tropicales Estacionalmente Secos del Marañón, de 13,929 ha. En 2014, brindamos apoyo técnico – legal al GORE en la declaratoria de interés público de 5 propuestas de ACR, así como en la declaratoria de áreas prioritarias para la conservación en la cuenca del Utcubamba, ambas plasmadas en sendas Ordenanzas Regionales. En 2017, se brindó apoyo técnico – legal a la Dirección Ejecutiva de Gestión de Flora y Fauna Silvestre para la sustentación de la Ordenanza Regional que dio inicio al proceso de Zonificación Forestal Regional, declarando de interés regional la ZF y designando al equipo técnico. Ese mismo año, se apoyó a 3 comunidades nativas para que ingresasen al Programa de Transferencias Condicionadas del Programa Nacional de Conservación de Bosques. </w:t>
            </w:r>
          </w:p>
          <w:p w14:paraId="6DFF39A7" w14:textId="77777777" w:rsidR="00EA0A65" w:rsidRPr="00225CC0" w:rsidRDefault="00EA0A65">
            <w:pPr>
              <w:jc w:val="both"/>
              <w:rPr>
                <w:rFonts w:ascii="Arial Narrow" w:eastAsia="Arial Narrow" w:hAnsi="Arial Narrow" w:cs="Arial Narrow"/>
                <w:sz w:val="16"/>
                <w:szCs w:val="16"/>
              </w:rPr>
            </w:pPr>
          </w:p>
        </w:tc>
      </w:tr>
      <w:tr w:rsidR="00EA0A65" w:rsidRPr="00225CC0" w14:paraId="6B0B4602" w14:textId="77777777">
        <w:trPr>
          <w:trHeight w:val="200"/>
        </w:trPr>
        <w:tc>
          <w:tcPr>
            <w:tcW w:w="2978" w:type="dxa"/>
            <w:gridSpan w:val="2"/>
            <w:vMerge w:val="restart"/>
          </w:tcPr>
          <w:p w14:paraId="6A505A50"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Experiencia en la materia del proyecto</w:t>
            </w:r>
          </w:p>
          <w:p w14:paraId="27A5A946"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(proyectos, investigaciones previas, publicaciones)</w:t>
            </w:r>
          </w:p>
        </w:tc>
        <w:tc>
          <w:tcPr>
            <w:tcW w:w="7229" w:type="dxa"/>
          </w:tcPr>
          <w:p w14:paraId="195B9FB9" w14:textId="77777777" w:rsidR="00EA0A65" w:rsidRPr="00225CC0" w:rsidRDefault="002959E9">
            <w:pPr>
              <w:numPr>
                <w:ilvl w:val="0"/>
                <w:numId w:val="21"/>
              </w:numPr>
              <w:pBdr>
                <w:top w:val="nil"/>
                <w:left w:val="nil"/>
                <w:bottom w:val="nil"/>
                <w:right w:val="nil"/>
                <w:between w:val="nil"/>
              </w:pBdr>
              <w:jc w:val="both"/>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Alternativas de financiamiento público y privado del Fondo del Agua Quiroz – Chira, 2017</w:t>
            </w:r>
          </w:p>
        </w:tc>
      </w:tr>
      <w:tr w:rsidR="00EA0A65" w:rsidRPr="00225CC0" w14:paraId="02B83E72" w14:textId="77777777">
        <w:trPr>
          <w:trHeight w:val="200"/>
        </w:trPr>
        <w:tc>
          <w:tcPr>
            <w:tcW w:w="2978" w:type="dxa"/>
            <w:gridSpan w:val="2"/>
            <w:vMerge/>
          </w:tcPr>
          <w:p w14:paraId="2A89B7B5" w14:textId="77777777" w:rsidR="00EA0A65" w:rsidRPr="00225CC0"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229" w:type="dxa"/>
          </w:tcPr>
          <w:p w14:paraId="005973B3" w14:textId="77777777" w:rsidR="00EA0A65" w:rsidRPr="00225CC0" w:rsidRDefault="002959E9">
            <w:pPr>
              <w:numPr>
                <w:ilvl w:val="0"/>
                <w:numId w:val="21"/>
              </w:num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Piura: áreas prioritarias para la conservación de la biodiversidad, 2014</w:t>
            </w:r>
          </w:p>
        </w:tc>
      </w:tr>
      <w:tr w:rsidR="00EA0A65" w:rsidRPr="00225CC0" w14:paraId="38E30298" w14:textId="77777777">
        <w:trPr>
          <w:trHeight w:val="200"/>
        </w:trPr>
        <w:tc>
          <w:tcPr>
            <w:tcW w:w="2978" w:type="dxa"/>
            <w:gridSpan w:val="2"/>
            <w:vMerge/>
          </w:tcPr>
          <w:p w14:paraId="71405987" w14:textId="77777777" w:rsidR="00EA0A65" w:rsidRPr="00225CC0"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229" w:type="dxa"/>
          </w:tcPr>
          <w:p w14:paraId="4CB78E83" w14:textId="77777777" w:rsidR="00EA0A65" w:rsidRPr="00225CC0" w:rsidRDefault="002959E9">
            <w:pPr>
              <w:numPr>
                <w:ilvl w:val="0"/>
                <w:numId w:val="21"/>
              </w:num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Una experiencia de gestión participativa de la biodiversidad con comunidades amazónicas, 2012</w:t>
            </w:r>
          </w:p>
        </w:tc>
      </w:tr>
      <w:tr w:rsidR="00EA0A65" w:rsidRPr="00225CC0" w14:paraId="50DE7AAD" w14:textId="77777777">
        <w:trPr>
          <w:trHeight w:val="200"/>
        </w:trPr>
        <w:tc>
          <w:tcPr>
            <w:tcW w:w="2978" w:type="dxa"/>
            <w:gridSpan w:val="2"/>
            <w:vMerge/>
          </w:tcPr>
          <w:p w14:paraId="77E7543C" w14:textId="77777777" w:rsidR="00EA0A65" w:rsidRPr="00225CC0"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229" w:type="dxa"/>
          </w:tcPr>
          <w:p w14:paraId="00978BE5" w14:textId="77777777" w:rsidR="00EA0A65" w:rsidRPr="00225CC0" w:rsidRDefault="002959E9">
            <w:pPr>
              <w:numPr>
                <w:ilvl w:val="0"/>
                <w:numId w:val="21"/>
              </w:num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Biodiversidad y cambio climático en Andes Tropicales, 2012 (colaboración)</w:t>
            </w:r>
          </w:p>
        </w:tc>
      </w:tr>
      <w:tr w:rsidR="00EA0A65" w:rsidRPr="00225CC0" w14:paraId="414699D3" w14:textId="77777777">
        <w:trPr>
          <w:trHeight w:val="200"/>
        </w:trPr>
        <w:tc>
          <w:tcPr>
            <w:tcW w:w="2978" w:type="dxa"/>
            <w:gridSpan w:val="2"/>
            <w:vMerge/>
          </w:tcPr>
          <w:p w14:paraId="02151851" w14:textId="77777777" w:rsidR="00EA0A65" w:rsidRPr="00225CC0" w:rsidRDefault="00EA0A65">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7229" w:type="dxa"/>
          </w:tcPr>
          <w:p w14:paraId="7E5295B7" w14:textId="77777777" w:rsidR="00EA0A65" w:rsidRPr="00225CC0" w:rsidRDefault="002959E9">
            <w:pPr>
              <w:numPr>
                <w:ilvl w:val="0"/>
                <w:numId w:val="21"/>
              </w:numPr>
              <w:pBdr>
                <w:top w:val="nil"/>
                <w:left w:val="nil"/>
                <w:bottom w:val="nil"/>
                <w:right w:val="nil"/>
                <w:between w:val="nil"/>
              </w:pBdr>
              <w:rPr>
                <w:rFonts w:ascii="Arial Narrow" w:eastAsia="Arial Narrow" w:hAnsi="Arial Narrow" w:cs="Arial Narrow"/>
                <w:color w:val="000000"/>
                <w:sz w:val="16"/>
                <w:szCs w:val="16"/>
              </w:rPr>
            </w:pPr>
            <w:r w:rsidRPr="00225CC0">
              <w:rPr>
                <w:rFonts w:ascii="Arial Narrow" w:eastAsia="Arial Narrow" w:hAnsi="Arial Narrow" w:cs="Arial Narrow"/>
                <w:color w:val="000000"/>
                <w:sz w:val="16"/>
                <w:szCs w:val="16"/>
              </w:rPr>
              <w:t xml:space="preserve">Identificación de los procesos ecológicos y evolutivos esenciales para la persistencia y conservación de la biodiversidad en la región Loreto, 2009 </w:t>
            </w:r>
          </w:p>
        </w:tc>
      </w:tr>
      <w:tr w:rsidR="00EA0A65" w:rsidRPr="00225CC0" w14:paraId="196678DD" w14:textId="77777777">
        <w:trPr>
          <w:trHeight w:val="200"/>
        </w:trPr>
        <w:tc>
          <w:tcPr>
            <w:tcW w:w="10207" w:type="dxa"/>
            <w:gridSpan w:val="3"/>
            <w:shd w:val="clear" w:color="auto" w:fill="D9E2F3"/>
          </w:tcPr>
          <w:p w14:paraId="4C88064C" w14:textId="77777777" w:rsidR="00EA0A65" w:rsidRPr="00225CC0" w:rsidRDefault="00EA0A65">
            <w:pPr>
              <w:pBdr>
                <w:top w:val="nil"/>
                <w:left w:val="nil"/>
                <w:bottom w:val="nil"/>
                <w:right w:val="nil"/>
                <w:between w:val="nil"/>
              </w:pBdr>
              <w:jc w:val="center"/>
              <w:rPr>
                <w:rFonts w:ascii="Arial Narrow" w:eastAsia="Arial Narrow" w:hAnsi="Arial Narrow" w:cs="Arial Narrow"/>
                <w:color w:val="000000"/>
                <w:sz w:val="16"/>
                <w:szCs w:val="16"/>
              </w:rPr>
            </w:pPr>
          </w:p>
        </w:tc>
      </w:tr>
      <w:tr w:rsidR="00EA0A65" w:rsidRPr="00225CC0" w14:paraId="1B444125" w14:textId="77777777">
        <w:trPr>
          <w:trHeight w:val="200"/>
        </w:trPr>
        <w:tc>
          <w:tcPr>
            <w:tcW w:w="10207" w:type="dxa"/>
            <w:gridSpan w:val="3"/>
          </w:tcPr>
          <w:p w14:paraId="0B37754E" w14:textId="77777777" w:rsidR="00EA0A65" w:rsidRPr="00225CC0" w:rsidRDefault="002959E9">
            <w:pPr>
              <w:pBdr>
                <w:top w:val="nil"/>
                <w:left w:val="nil"/>
                <w:bottom w:val="nil"/>
                <w:right w:val="nil"/>
                <w:between w:val="nil"/>
              </w:pBdr>
              <w:rPr>
                <w:rFonts w:ascii="Arial Narrow" w:eastAsia="Arial Narrow" w:hAnsi="Arial Narrow" w:cs="Arial Narrow"/>
                <w:i/>
                <w:color w:val="000000"/>
                <w:sz w:val="16"/>
                <w:szCs w:val="16"/>
              </w:rPr>
            </w:pPr>
            <w:r w:rsidRPr="00225CC0">
              <w:rPr>
                <w:rFonts w:ascii="Arial Narrow" w:eastAsia="Arial Narrow" w:hAnsi="Arial Narrow" w:cs="Arial Narrow"/>
                <w:i/>
                <w:color w:val="000000"/>
                <w:sz w:val="16"/>
                <w:szCs w:val="16"/>
              </w:rPr>
              <w:t>Otra información relevante</w:t>
            </w:r>
          </w:p>
          <w:p w14:paraId="699BDB98" w14:textId="77777777" w:rsidR="00EA0A65" w:rsidRPr="00225CC0" w:rsidRDefault="00EA0A65">
            <w:pPr>
              <w:pBdr>
                <w:top w:val="nil"/>
                <w:left w:val="nil"/>
                <w:bottom w:val="nil"/>
                <w:right w:val="nil"/>
                <w:between w:val="nil"/>
              </w:pBdr>
              <w:rPr>
                <w:rFonts w:ascii="Arial Narrow" w:eastAsia="Arial Narrow" w:hAnsi="Arial Narrow" w:cs="Arial Narrow"/>
                <w:color w:val="000000"/>
                <w:sz w:val="16"/>
                <w:szCs w:val="16"/>
              </w:rPr>
            </w:pPr>
          </w:p>
        </w:tc>
      </w:tr>
      <w:tr w:rsidR="00EA0A65" w:rsidRPr="00225CC0" w14:paraId="72C0AAB8" w14:textId="77777777">
        <w:trPr>
          <w:trHeight w:val="200"/>
        </w:trPr>
        <w:tc>
          <w:tcPr>
            <w:tcW w:w="10207" w:type="dxa"/>
            <w:gridSpan w:val="3"/>
            <w:shd w:val="clear" w:color="auto" w:fill="D9E2F3"/>
          </w:tcPr>
          <w:p w14:paraId="2483E3A3" w14:textId="77777777" w:rsidR="00EA0A65" w:rsidRPr="00225CC0" w:rsidRDefault="00EA0A65">
            <w:pPr>
              <w:pBdr>
                <w:top w:val="nil"/>
                <w:left w:val="nil"/>
                <w:bottom w:val="nil"/>
                <w:right w:val="nil"/>
                <w:between w:val="nil"/>
              </w:pBdr>
              <w:rPr>
                <w:rFonts w:ascii="Arial Narrow" w:eastAsia="Arial Narrow" w:hAnsi="Arial Narrow" w:cs="Arial Narrow"/>
                <w:color w:val="000000"/>
                <w:sz w:val="16"/>
                <w:szCs w:val="16"/>
              </w:rPr>
            </w:pPr>
          </w:p>
        </w:tc>
      </w:tr>
    </w:tbl>
    <w:p w14:paraId="6462521F" w14:textId="77777777" w:rsidR="00EA0A65" w:rsidRPr="00225CC0" w:rsidRDefault="00EA0A65">
      <w:pPr>
        <w:ind w:left="-851"/>
        <w:rPr>
          <w:rFonts w:ascii="Arial Narrow" w:eastAsia="Arial Narrow" w:hAnsi="Arial Narrow" w:cs="Arial Narrow"/>
          <w:sz w:val="16"/>
          <w:szCs w:val="16"/>
        </w:rPr>
      </w:pPr>
    </w:p>
    <w:p w14:paraId="2AF56414" w14:textId="77777777" w:rsidR="00EA0A65" w:rsidRDefault="00EA0A65">
      <w:pPr>
        <w:ind w:left="-851"/>
        <w:rPr>
          <w:rFonts w:ascii="Arial Narrow" w:eastAsia="Arial Narrow" w:hAnsi="Arial Narrow" w:cs="Arial Narrow"/>
          <w:sz w:val="22"/>
          <w:szCs w:val="22"/>
        </w:rPr>
      </w:pPr>
    </w:p>
    <w:p w14:paraId="230D0D90" w14:textId="77777777" w:rsidR="00EA0A65" w:rsidRDefault="00EA0A65">
      <w:pPr>
        <w:ind w:left="-851"/>
        <w:rPr>
          <w:rFonts w:ascii="Arial Narrow" w:eastAsia="Arial Narrow" w:hAnsi="Arial Narrow" w:cs="Arial Narrow"/>
          <w:sz w:val="22"/>
          <w:szCs w:val="22"/>
        </w:rPr>
      </w:pPr>
    </w:p>
    <w:p w14:paraId="46CE0CED" w14:textId="77777777" w:rsidR="00EA0A65" w:rsidRDefault="00EA0A65">
      <w:pPr>
        <w:ind w:left="-851"/>
        <w:rPr>
          <w:rFonts w:ascii="Arial Narrow" w:eastAsia="Arial Narrow" w:hAnsi="Arial Narrow" w:cs="Arial Narrow"/>
          <w:sz w:val="22"/>
          <w:szCs w:val="22"/>
        </w:rPr>
      </w:pPr>
    </w:p>
    <w:p w14:paraId="69D2C21A" w14:textId="77777777" w:rsidR="00EA0A65" w:rsidRDefault="002959E9">
      <w:pPr>
        <w:rPr>
          <w:rFonts w:ascii="Arial Narrow" w:eastAsia="Arial Narrow" w:hAnsi="Arial Narrow" w:cs="Arial Narrow"/>
          <w:b/>
          <w:sz w:val="20"/>
          <w:szCs w:val="20"/>
        </w:rPr>
      </w:pPr>
      <w:r>
        <w:br w:type="page"/>
      </w:r>
    </w:p>
    <w:p w14:paraId="556D4FC3" w14:textId="77777777" w:rsidR="00EA0A65" w:rsidRDefault="002959E9">
      <w:pPr>
        <w:pBdr>
          <w:bottom w:val="single" w:sz="4" w:space="1" w:color="000000"/>
        </w:pBdr>
        <w:ind w:left="-284" w:right="-336"/>
        <w:rPr>
          <w:rFonts w:ascii="Arial Narrow" w:eastAsia="Arial Narrow" w:hAnsi="Arial Narrow" w:cs="Arial Narrow"/>
          <w:b/>
          <w:sz w:val="20"/>
          <w:szCs w:val="20"/>
        </w:rPr>
      </w:pPr>
      <w:r>
        <w:rPr>
          <w:rFonts w:ascii="Arial Narrow" w:eastAsia="Arial Narrow" w:hAnsi="Arial Narrow" w:cs="Arial Narrow"/>
          <w:b/>
          <w:sz w:val="20"/>
          <w:szCs w:val="20"/>
        </w:rPr>
        <w:lastRenderedPageBreak/>
        <w:t>ANEXO III.  El proceso de elaboración de la estrategia y plan de desarrollo rural bajo en emisiones en las Regiones Miembro de GCF-TF como parte de un programa multirregiones.</w:t>
      </w:r>
    </w:p>
    <w:p w14:paraId="5D99D064" w14:textId="77777777" w:rsidR="00EA0A65" w:rsidRDefault="00EA0A65">
      <w:pPr>
        <w:pBdr>
          <w:top w:val="nil"/>
          <w:left w:val="nil"/>
          <w:bottom w:val="nil"/>
          <w:right w:val="nil"/>
          <w:between w:val="nil"/>
        </w:pBdr>
        <w:ind w:left="-284" w:right="-336"/>
        <w:jc w:val="both"/>
        <w:rPr>
          <w:rFonts w:ascii="Arial Narrow" w:eastAsia="Arial Narrow" w:hAnsi="Arial Narrow" w:cs="Arial Narrow"/>
          <w:b/>
          <w:color w:val="000000"/>
          <w:sz w:val="20"/>
          <w:szCs w:val="20"/>
        </w:rPr>
      </w:pPr>
    </w:p>
    <w:p w14:paraId="70DC8363"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Los Gobernadores de las regiones miembros del GCF-TF en el Perú, comprometidos con la reducción de emisiones provenientes de la deforestación y degradación de bosques, consideran que la generosa contribución de Noruega a través del UNDP debe emplearse de la manera más eficiente posible, y, al mismo tiempo, debe fortalecer los procesos en marcha en el país, en concreto el CIAM en la Amazonía y la Plataforma de Bosques del Norte en la costa norte. En este sentido se entiende al apoyo global a los miembros peruanos como un programa con seis proyectos, incluyendo el presente. En forma consistente con este enfoque, se seleccionó una parte responsable común a todos los proyectos. Esto permitirá eficiencia en el uso de los recursos, ya que aspectos transversales y comunes -tanto técnicos como administrativos- serán compartidos, reduciendo así costos operativos. Pero más importante aún, se facilitará la construcción de enfoques comunes y la consistencia entre los planes, elemento de gran importancia para asegurar la futura incorporación en estos procesos de las regiones aún ausentes, así como asegurar una eficiente articulación con el gobierno central y los procesos nacionales. Esto último es de gran importancia en el caso peruano, que al no ser un país federal tiene competencias compartidas entre agencias nacionales y regionales, muchas veces con mayor presupuesto en las primeras, lo que obliga a que los planes y estrategias de intervención de ambos niveles sean consistentes. En concreto, el enfoque de un programa con seis proyectos separados se manifiesta en: </w:t>
      </w:r>
    </w:p>
    <w:p w14:paraId="56A95EDB"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3AA8D4FF" w14:textId="77777777" w:rsidR="00EA0A65" w:rsidRDefault="002959E9">
      <w:pPr>
        <w:numPr>
          <w:ilvl w:val="0"/>
          <w:numId w:val="1"/>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b/>
          <w:color w:val="000000"/>
          <w:sz w:val="20"/>
          <w:szCs w:val="20"/>
        </w:rPr>
        <w:t>Facilitar la articulación con el gobierno nacional y las agencia de los sectores vinculados</w:t>
      </w:r>
      <w:r>
        <w:rPr>
          <w:rFonts w:ascii="Arial Narrow" w:eastAsia="Arial Narrow" w:hAnsi="Arial Narrow" w:cs="Arial Narrow"/>
          <w:color w:val="000000"/>
          <w:sz w:val="20"/>
          <w:szCs w:val="20"/>
        </w:rPr>
        <w:t>. Se facilitará la coordinación con el MINAM -incluyendo la DGCCD, el PNCBMCC y el SERNANP-, con el MINAGRI -incluyendo la DGPA, la DGAAA y el SERFOR-, y con la PCM -incluyendo CEPLAN, DEVIDA y la Secretaría de Descentralización-, a través del comité de coordinación conformado por las entidades mencionadas y los seis gobiernos regionales participantes. La Parte Responsable actuará como secretaría de este Comité.  Este modelo resulta más eficiente que realizar la coordinación con todas las agencias nacionales mencionadas en forma separada cada región. Y, además, contribuye al empoderamiento de los gobiernos regionales en el proceso.</w:t>
      </w:r>
    </w:p>
    <w:p w14:paraId="7A000184"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p w14:paraId="6D471EB6" w14:textId="77777777" w:rsidR="00EA0A65" w:rsidRDefault="002959E9">
      <w:pPr>
        <w:numPr>
          <w:ilvl w:val="0"/>
          <w:numId w:val="1"/>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b/>
          <w:color w:val="000000"/>
          <w:sz w:val="20"/>
          <w:szCs w:val="20"/>
        </w:rPr>
        <w:t>Consistencia de los planes y cooperación interregional</w:t>
      </w:r>
      <w:r>
        <w:rPr>
          <w:rFonts w:ascii="Arial Narrow" w:eastAsia="Arial Narrow" w:hAnsi="Arial Narrow" w:cs="Arial Narrow"/>
          <w:color w:val="000000"/>
          <w:sz w:val="20"/>
          <w:szCs w:val="20"/>
        </w:rPr>
        <w:t>. Se tendrá un programa de capacitación técnica y metodológica común para los equipos de las seis regiones y las ONG participantes proveerán un equipo de asistencia técnica común. Así, el personal del proyecto compartirá conceptos y metodologías en las seis regiones. Los equipos aportados por cada gobierno regional podrán interactuar con sus pares en las otras regiones y enriquecer su experiencia, aprendiendo todos de los avances que cada una tiene. Intercambios y visitas de estudio a otros miembros del GCF-TF serán organizados en forma conjunta. Las ONG identificadas por cada gobierno regional como socias en el proceso suman al proceso y también participarán de la capacitación, intercambios y aprendizaje conjunto.</w:t>
      </w:r>
    </w:p>
    <w:p w14:paraId="5C720C66" w14:textId="77777777" w:rsidR="00EA0A65" w:rsidRDefault="00EA0A65">
      <w:pPr>
        <w:pBdr>
          <w:top w:val="nil"/>
          <w:left w:val="nil"/>
          <w:bottom w:val="nil"/>
          <w:right w:val="nil"/>
          <w:between w:val="nil"/>
        </w:pBdr>
        <w:ind w:left="-284" w:right="-336" w:hanging="425"/>
        <w:jc w:val="both"/>
        <w:rPr>
          <w:rFonts w:ascii="Arial Narrow" w:eastAsia="Arial Narrow" w:hAnsi="Arial Narrow" w:cs="Arial Narrow"/>
          <w:color w:val="000000"/>
          <w:sz w:val="20"/>
          <w:szCs w:val="20"/>
        </w:rPr>
      </w:pPr>
    </w:p>
    <w:p w14:paraId="1E528EA2" w14:textId="77777777" w:rsidR="00EA0A65" w:rsidRDefault="002959E9">
      <w:pPr>
        <w:numPr>
          <w:ilvl w:val="0"/>
          <w:numId w:val="1"/>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b/>
          <w:color w:val="000000"/>
          <w:sz w:val="20"/>
          <w:szCs w:val="20"/>
        </w:rPr>
        <w:t>Apoyo compartido para temas transversales.</w:t>
      </w:r>
      <w:r>
        <w:rPr>
          <w:rFonts w:ascii="Arial Narrow" w:eastAsia="Arial Narrow" w:hAnsi="Arial Narrow" w:cs="Arial Narrow"/>
          <w:color w:val="000000"/>
          <w:sz w:val="20"/>
          <w:szCs w:val="20"/>
        </w:rPr>
        <w:t xml:space="preserve"> Se ha identificado la necesidad de proveer asistencia a los seis procesos en aspectos de capacitación de equipos y participantes, comunicaciones, aplicación de salvaguardas, monitoreo y sistematización de los procesos. Contar con especialistas en cada equipo regional resulta difícil y costoso, distribuir los costos entre los seis permitirá mantener un equipo permanente y atendiendo a todos a costo adecuado al presupuesto disponible y asegurando apoyo de calidad. </w:t>
      </w:r>
    </w:p>
    <w:p w14:paraId="60368DB4" w14:textId="77777777" w:rsidR="00EA0A65" w:rsidRDefault="00EA0A65">
      <w:pPr>
        <w:pBdr>
          <w:top w:val="nil"/>
          <w:left w:val="nil"/>
          <w:bottom w:val="nil"/>
          <w:right w:val="nil"/>
          <w:between w:val="nil"/>
        </w:pBdr>
        <w:ind w:left="-284" w:right="-336" w:hanging="425"/>
        <w:rPr>
          <w:rFonts w:ascii="Arial Narrow" w:eastAsia="Arial Narrow" w:hAnsi="Arial Narrow" w:cs="Arial Narrow"/>
          <w:color w:val="000000"/>
          <w:sz w:val="20"/>
          <w:szCs w:val="20"/>
        </w:rPr>
      </w:pPr>
    </w:p>
    <w:p w14:paraId="27E71CB7" w14:textId="77777777" w:rsidR="00EA0A65" w:rsidRDefault="002959E9">
      <w:pPr>
        <w:numPr>
          <w:ilvl w:val="0"/>
          <w:numId w:val="1"/>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b/>
          <w:color w:val="000000"/>
          <w:sz w:val="20"/>
          <w:szCs w:val="20"/>
        </w:rPr>
        <w:t>Reducción de los costos de gestión de los proyectos.</w:t>
      </w:r>
      <w:r>
        <w:rPr>
          <w:rFonts w:ascii="Arial Narrow" w:eastAsia="Arial Narrow" w:hAnsi="Arial Narrow" w:cs="Arial Narrow"/>
          <w:color w:val="000000"/>
          <w:sz w:val="20"/>
          <w:szCs w:val="20"/>
        </w:rPr>
        <w:t xml:space="preserve"> Contar con una parte responsable común y asistencia técnica común permitirá reducir los costos de gestión del proyecto, en términos del equipo central, y se asumirá sin costo adicional la coordinación de los temas transversales mencionados en los puntos anteriores. La relación costo beneficio de esta aproximación es claramente positiva. </w:t>
      </w:r>
    </w:p>
    <w:p w14:paraId="684568A7" w14:textId="77777777" w:rsidR="00EA0A65" w:rsidRDefault="00EA0A65">
      <w:pPr>
        <w:pBdr>
          <w:top w:val="nil"/>
          <w:left w:val="nil"/>
          <w:bottom w:val="nil"/>
          <w:right w:val="nil"/>
          <w:between w:val="nil"/>
        </w:pBdr>
        <w:ind w:left="-284" w:right="-336" w:hanging="425"/>
        <w:jc w:val="both"/>
        <w:rPr>
          <w:rFonts w:ascii="Arial Narrow" w:eastAsia="Arial Narrow" w:hAnsi="Arial Narrow" w:cs="Arial Narrow"/>
          <w:color w:val="000000"/>
          <w:sz w:val="20"/>
          <w:szCs w:val="20"/>
        </w:rPr>
      </w:pPr>
    </w:p>
    <w:p w14:paraId="49CCB625"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4D747D5C"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08FA1D0C"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7E391B0A"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6FCF4BFC"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7EA2FE66"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4E0698FF"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6E2857E9" w14:textId="77777777" w:rsidR="00EA0A65" w:rsidRDefault="00EA0A65">
      <w:pPr>
        <w:pBdr>
          <w:top w:val="nil"/>
          <w:left w:val="nil"/>
          <w:bottom w:val="nil"/>
          <w:right w:val="nil"/>
          <w:between w:val="nil"/>
        </w:pBdr>
        <w:jc w:val="both"/>
        <w:rPr>
          <w:rFonts w:ascii="Arial Narrow" w:eastAsia="Arial Narrow" w:hAnsi="Arial Narrow" w:cs="Arial Narrow"/>
          <w:color w:val="000000"/>
          <w:sz w:val="20"/>
          <w:szCs w:val="20"/>
        </w:rPr>
      </w:pPr>
    </w:p>
    <w:p w14:paraId="1CC1675A" w14:textId="77777777" w:rsidR="00EA0A65" w:rsidRDefault="00EA0A65">
      <w:pPr>
        <w:pBdr>
          <w:top w:val="nil"/>
          <w:left w:val="nil"/>
          <w:bottom w:val="nil"/>
          <w:right w:val="nil"/>
          <w:between w:val="nil"/>
        </w:pBdr>
        <w:jc w:val="both"/>
        <w:rPr>
          <w:rFonts w:ascii="Arial Narrow" w:eastAsia="Arial Narrow" w:hAnsi="Arial Narrow" w:cs="Arial Narrow"/>
          <w:color w:val="000000"/>
          <w:sz w:val="20"/>
          <w:szCs w:val="20"/>
        </w:rPr>
      </w:pPr>
    </w:p>
    <w:p w14:paraId="42A6BC24" w14:textId="77777777" w:rsidR="00EA0A65" w:rsidRDefault="00EA0A65">
      <w:pPr>
        <w:pBdr>
          <w:top w:val="nil"/>
          <w:left w:val="nil"/>
          <w:bottom w:val="nil"/>
          <w:right w:val="nil"/>
          <w:between w:val="nil"/>
        </w:pBdr>
        <w:jc w:val="both"/>
        <w:rPr>
          <w:rFonts w:ascii="Arial Narrow" w:eastAsia="Arial Narrow" w:hAnsi="Arial Narrow" w:cs="Arial Narrow"/>
          <w:color w:val="000000"/>
          <w:sz w:val="20"/>
          <w:szCs w:val="20"/>
        </w:rPr>
      </w:pPr>
    </w:p>
    <w:p w14:paraId="118C7FC2" w14:textId="77777777" w:rsidR="00EA0A65" w:rsidRDefault="00EA0A65">
      <w:pPr>
        <w:pBdr>
          <w:top w:val="nil"/>
          <w:left w:val="nil"/>
          <w:bottom w:val="nil"/>
          <w:right w:val="nil"/>
          <w:between w:val="nil"/>
        </w:pBdr>
        <w:jc w:val="both"/>
        <w:rPr>
          <w:rFonts w:ascii="Arial Narrow" w:eastAsia="Arial Narrow" w:hAnsi="Arial Narrow" w:cs="Arial Narrow"/>
          <w:color w:val="000000"/>
          <w:sz w:val="20"/>
          <w:szCs w:val="20"/>
        </w:rPr>
      </w:pPr>
    </w:p>
    <w:p w14:paraId="560DDE50" w14:textId="77777777" w:rsidR="00EA0A65" w:rsidRDefault="00EA0A65">
      <w:pPr>
        <w:pBdr>
          <w:top w:val="nil"/>
          <w:left w:val="nil"/>
          <w:bottom w:val="nil"/>
          <w:right w:val="nil"/>
          <w:between w:val="nil"/>
        </w:pBdr>
        <w:jc w:val="both"/>
        <w:rPr>
          <w:rFonts w:ascii="Arial Narrow" w:eastAsia="Arial Narrow" w:hAnsi="Arial Narrow" w:cs="Arial Narrow"/>
          <w:color w:val="000000"/>
          <w:sz w:val="20"/>
          <w:szCs w:val="20"/>
        </w:rPr>
      </w:pPr>
    </w:p>
    <w:p w14:paraId="6D167CAD" w14:textId="77777777" w:rsidR="00EA0A65" w:rsidRDefault="00EA0A65">
      <w:pPr>
        <w:pBdr>
          <w:top w:val="nil"/>
          <w:left w:val="nil"/>
          <w:bottom w:val="nil"/>
          <w:right w:val="nil"/>
          <w:between w:val="nil"/>
        </w:pBdr>
        <w:jc w:val="both"/>
        <w:rPr>
          <w:rFonts w:ascii="Arial Narrow" w:eastAsia="Arial Narrow" w:hAnsi="Arial Narrow" w:cs="Arial Narrow"/>
          <w:color w:val="000000"/>
          <w:sz w:val="20"/>
          <w:szCs w:val="20"/>
        </w:rPr>
      </w:pPr>
    </w:p>
    <w:p w14:paraId="12B9DBFB" w14:textId="77777777" w:rsidR="00EA0A65" w:rsidRDefault="00EA0A65">
      <w:pPr>
        <w:pBdr>
          <w:top w:val="nil"/>
          <w:left w:val="nil"/>
          <w:bottom w:val="nil"/>
          <w:right w:val="nil"/>
          <w:between w:val="nil"/>
        </w:pBdr>
        <w:jc w:val="both"/>
        <w:rPr>
          <w:rFonts w:ascii="Arial Narrow" w:eastAsia="Arial Narrow" w:hAnsi="Arial Narrow" w:cs="Arial Narrow"/>
          <w:color w:val="000000"/>
          <w:sz w:val="20"/>
          <w:szCs w:val="20"/>
        </w:rPr>
      </w:pPr>
    </w:p>
    <w:p w14:paraId="7F38EBA5" w14:textId="77777777" w:rsidR="00EA0A65" w:rsidRDefault="002959E9">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sectPr w:rsidR="00EA0A65" w:rsidSect="00FD1D4D">
          <w:type w:val="continuous"/>
          <w:pgSz w:w="11901" w:h="16817"/>
          <w:pgMar w:top="1440" w:right="1440" w:bottom="1440" w:left="1440" w:header="720" w:footer="720" w:gutter="0"/>
          <w:cols w:space="720"/>
          <w:docGrid w:linePitch="326"/>
        </w:sectPr>
      </w:pPr>
      <w:r>
        <w:br w:type="page"/>
      </w:r>
    </w:p>
    <w:p w14:paraId="45B51360" w14:textId="77777777" w:rsidR="00EA0A65" w:rsidRDefault="002959E9">
      <w:pPr>
        <w:pBdr>
          <w:bottom w:val="single" w:sz="12" w:space="1" w:color="000000"/>
        </w:pBdr>
        <w:ind w:left="-284" w:right="-336"/>
        <w:jc w:val="both"/>
        <w:rPr>
          <w:rFonts w:ascii="Arial Narrow" w:eastAsia="Arial Narrow" w:hAnsi="Arial Narrow" w:cs="Arial Narrow"/>
          <w:b/>
          <w:i/>
          <w:sz w:val="20"/>
          <w:szCs w:val="20"/>
        </w:rPr>
      </w:pPr>
      <w:bookmarkStart w:id="16" w:name="_35nkun2" w:colFirst="0" w:colLast="0"/>
      <w:bookmarkEnd w:id="16"/>
      <w:r>
        <w:rPr>
          <w:rFonts w:ascii="Arial Narrow" w:eastAsia="Arial Narrow" w:hAnsi="Arial Narrow" w:cs="Arial Narrow"/>
          <w:b/>
          <w:sz w:val="20"/>
          <w:szCs w:val="20"/>
        </w:rPr>
        <w:lastRenderedPageBreak/>
        <w:t>ANEXO IV. Metodología del Análisis Financiero de las Estrategias Jurisdiccionales de Desarrollo Bajo en Emisiones</w:t>
      </w:r>
    </w:p>
    <w:p w14:paraId="4EB51C38" w14:textId="77777777" w:rsidR="00EA0A65" w:rsidRDefault="00EA0A65">
      <w:pPr>
        <w:ind w:left="-284" w:right="-336"/>
        <w:jc w:val="both"/>
        <w:rPr>
          <w:rFonts w:ascii="Arial Narrow" w:eastAsia="Arial Narrow" w:hAnsi="Arial Narrow" w:cs="Arial Narrow"/>
          <w:sz w:val="20"/>
          <w:szCs w:val="20"/>
        </w:rPr>
      </w:pPr>
    </w:p>
    <w:p w14:paraId="15088216" w14:textId="77777777" w:rsidR="00EA0A65" w:rsidRDefault="002959E9">
      <w:pPr>
        <w:ind w:left="-284" w:right="-336"/>
        <w:jc w:val="both"/>
        <w:rPr>
          <w:rFonts w:ascii="Arial Narrow" w:eastAsia="Arial Narrow" w:hAnsi="Arial Narrow" w:cs="Arial Narrow"/>
          <w:sz w:val="20"/>
          <w:szCs w:val="20"/>
        </w:rPr>
      </w:pPr>
      <w:bookmarkStart w:id="17" w:name="_1ksv4uv" w:colFirst="0" w:colLast="0"/>
      <w:bookmarkEnd w:id="17"/>
      <w:r>
        <w:rPr>
          <w:rFonts w:ascii="Arial Narrow" w:eastAsia="Arial Narrow" w:hAnsi="Arial Narrow" w:cs="Arial Narrow"/>
          <w:sz w:val="20"/>
          <w:szCs w:val="20"/>
        </w:rPr>
        <w:t xml:space="preserve">En el marco de la llamada de proyectos para la Ventanilla A del compromiso de Gobierno de Noruega con los estados y provincias miembros del </w:t>
      </w:r>
      <w:r>
        <w:rPr>
          <w:rFonts w:ascii="Arial Narrow" w:eastAsia="Arial Narrow" w:hAnsi="Arial Narrow" w:cs="Arial Narrow"/>
          <w:i/>
          <w:sz w:val="20"/>
          <w:szCs w:val="20"/>
        </w:rPr>
        <w:t>GCF Task Force</w:t>
      </w:r>
      <w:r>
        <w:rPr>
          <w:rFonts w:ascii="Arial Narrow" w:eastAsia="Arial Narrow" w:hAnsi="Arial Narrow" w:cs="Arial Narrow"/>
          <w:sz w:val="20"/>
          <w:szCs w:val="20"/>
        </w:rPr>
        <w:t xml:space="preserve">, varias regiones del Perú iniciarán el proceso de diseño de sus estrategias jurisdiccionales de Desarrollo Bajo en Emisiones. Como señala PNUD, las estrategias son documentos dinámicos y resultado de un arduo proceso participativo que comunican una visión del territorio jurisdiccional y sus prioridades a sus integrantes y asociados, tanto interna como externamente.  </w:t>
      </w:r>
    </w:p>
    <w:p w14:paraId="0273557F" w14:textId="77777777" w:rsidR="00EA0A65" w:rsidRDefault="00EA0A65">
      <w:pPr>
        <w:ind w:left="-284" w:right="-336"/>
        <w:jc w:val="both"/>
        <w:rPr>
          <w:rFonts w:ascii="Arial Narrow" w:eastAsia="Arial Narrow" w:hAnsi="Arial Narrow" w:cs="Arial Narrow"/>
          <w:sz w:val="20"/>
          <w:szCs w:val="20"/>
        </w:rPr>
      </w:pPr>
    </w:p>
    <w:p w14:paraId="1DA391E6" w14:textId="7777777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Actualmente, de forma previa al llamado de proyectos de PNUD/GCF TF/ Norad, solo dos regiones peruanas (San Martín y Ucayali) cuentan con documentos preliminares de Estrategias de Desarrollo Rural Bajo en Emisiones cuyo proceso participativo está pendiente de realizarse, así como estudios complementarios. Las otras regiones deben iniciar un proceso de diseño que parte de la necesidad de contar con un adecuado análisis de causas de la deforestación, cuellos de botella para la gestión del territorio y mapas de actores relevantes. Por tanto, una parte importante de los esfuerzos deben ser dedicados prioritariamente dichos aspectos de forma previa al diseño de planes de inversión exhaustivos que planteen “productos presupuestados”, “recursos financieros identificados” así como sus “análisis de riesgo” e “indicadores de desempeño”.   </w:t>
      </w:r>
    </w:p>
    <w:p w14:paraId="2720F734" w14:textId="77777777" w:rsidR="00EA0A65" w:rsidRDefault="00EA0A65">
      <w:pPr>
        <w:ind w:left="-284" w:right="-336"/>
        <w:jc w:val="both"/>
        <w:rPr>
          <w:rFonts w:ascii="Arial Narrow" w:eastAsia="Arial Narrow" w:hAnsi="Arial Narrow" w:cs="Arial Narrow"/>
          <w:sz w:val="20"/>
          <w:szCs w:val="20"/>
        </w:rPr>
      </w:pPr>
    </w:p>
    <w:p w14:paraId="36B85DC8" w14:textId="77777777" w:rsidR="00EA0A65" w:rsidRDefault="002959E9">
      <w:pPr>
        <w:ind w:left="-284" w:right="-336"/>
        <w:jc w:val="both"/>
        <w:rPr>
          <w:rFonts w:ascii="Arial Narrow" w:eastAsia="Arial Narrow" w:hAnsi="Arial Narrow" w:cs="Arial Narrow"/>
          <w:sz w:val="20"/>
          <w:szCs w:val="20"/>
        </w:rPr>
      </w:pPr>
      <w:bookmarkStart w:id="18" w:name="_44sinio" w:colFirst="0" w:colLast="0"/>
      <w:bookmarkEnd w:id="18"/>
      <w:r>
        <w:rPr>
          <w:rFonts w:ascii="Arial Narrow" w:eastAsia="Arial Narrow" w:hAnsi="Arial Narrow" w:cs="Arial Narrow"/>
          <w:sz w:val="20"/>
          <w:szCs w:val="20"/>
        </w:rPr>
        <w:t>En este contexto se plantea una metodología para realizar el Análisis Financiero de las estrategias jurisdiccionales que permita: i) contar con un sólido diagnóstico de las brechas de financiamiento de cada de una de las regiones miembros, ii) una evaluación financiera que ofrezca recomendaciones de política sobre opciones de fondeo, instrumentos y criterios de priorización de carácter transversal aunque reconociendo las especificidades y contextos diferenciados entres las jurisdicciones y iii)  asegure una adecuada participación de los actores y se establezca alianzas, compromisos y victorias tempranas para la implementación.</w:t>
      </w:r>
    </w:p>
    <w:p w14:paraId="59F29DF7" w14:textId="77777777" w:rsidR="00EA0A65" w:rsidRDefault="00EA0A65">
      <w:pPr>
        <w:ind w:left="-284" w:right="-336"/>
        <w:jc w:val="both"/>
        <w:rPr>
          <w:rFonts w:ascii="Arial Narrow" w:eastAsia="Arial Narrow" w:hAnsi="Arial Narrow" w:cs="Arial Narrow"/>
          <w:b/>
          <w:sz w:val="20"/>
          <w:szCs w:val="20"/>
        </w:rPr>
      </w:pPr>
    </w:p>
    <w:p w14:paraId="4BA3048A" w14:textId="77777777" w:rsidR="00EA0A65" w:rsidRDefault="002959E9">
      <w:pPr>
        <w:ind w:left="-284" w:right="-336"/>
        <w:jc w:val="both"/>
        <w:rPr>
          <w:rFonts w:ascii="Arial Narrow" w:eastAsia="Arial Narrow" w:hAnsi="Arial Narrow" w:cs="Arial Narrow"/>
          <w:b/>
          <w:sz w:val="20"/>
          <w:szCs w:val="20"/>
        </w:rPr>
      </w:pPr>
      <w:r>
        <w:rPr>
          <w:rFonts w:ascii="Arial Narrow" w:eastAsia="Arial Narrow" w:hAnsi="Arial Narrow" w:cs="Arial Narrow"/>
          <w:b/>
          <w:sz w:val="20"/>
          <w:szCs w:val="20"/>
        </w:rPr>
        <w:t>Producto 1: Dimensionamiento de las brechas de financiamiento (por cada una de las regiones)</w:t>
      </w:r>
    </w:p>
    <w:p w14:paraId="47F20CFB" w14:textId="7777777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Fase de diagnóstico que incluye  un mapeo de los flujos existentes que tienen incidencia positiva, neutral o negativa en el éxito de la estrategia DRBE. Es decir, se trata de un exhaustivo levantamiento de información regional de flujos de financiamiento clasificados en 3 categorías: recursos que fluyen a las jurisdicciones y contribuyen a una estrategia jurisdiccional, aquellos que no están adecuadamente alineados pero que pueden ser reconvertidos positivamente y aquellos que se contraponen a la agenda DRBE. El ámbito analizado comprenderá prioritariamente los flujos orientados a bosques, uso del suelo y cambios de uso del suelo. Asimismo, implica la consideración de recursos públicos (gasto e inversión), recursos privados y así como los procedentes de cooperación internacional o fondos multilaterales que no pasan bajo el Tesoro Público. Además, el mapeo de flujo contendrá información detallada sobre los tipos de instrumentos que canalizan el financiamiento identificado, cuáles son las principales fuentes de fondeo, y qué criterios de priorización realizan, así como su nivel de eficiencia, cobertura y efectividad. </w:t>
      </w:r>
    </w:p>
    <w:p w14:paraId="2BE8D3C6" w14:textId="77777777" w:rsidR="00EA0A65" w:rsidRDefault="00EA0A65">
      <w:pPr>
        <w:ind w:left="-284" w:right="-336"/>
        <w:jc w:val="both"/>
        <w:rPr>
          <w:rFonts w:ascii="Arial Narrow" w:eastAsia="Arial Narrow" w:hAnsi="Arial Narrow" w:cs="Arial Narrow"/>
          <w:sz w:val="20"/>
          <w:szCs w:val="20"/>
        </w:rPr>
      </w:pPr>
    </w:p>
    <w:p w14:paraId="1E111D90" w14:textId="7777777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Por otro lado, sobre la base de versiones avanzadas de las estrategias de DBE se realizará una estimación general de la demanda financiamiento prevista basándose en supuestos claves (indicadores estratégicos) que permitan contrastar e identificar brechas de financiamiento general y por ámbito. La dimensión temporal del análisis será definida según los establecido en cada estrategia jurisdiccional. </w:t>
      </w:r>
    </w:p>
    <w:p w14:paraId="11A7CD7F" w14:textId="77777777" w:rsidR="00EA0A65" w:rsidRDefault="00EA0A65">
      <w:pPr>
        <w:ind w:left="-284" w:right="-336"/>
        <w:jc w:val="both"/>
        <w:rPr>
          <w:rFonts w:ascii="Arial Narrow" w:eastAsia="Arial Narrow" w:hAnsi="Arial Narrow" w:cs="Arial Narrow"/>
          <w:sz w:val="20"/>
          <w:szCs w:val="20"/>
        </w:rPr>
      </w:pPr>
    </w:p>
    <w:p w14:paraId="6D832CBE" w14:textId="7777777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El dimensionamiento de las brechas permitirá tener un mejor diagnóstico sobre donde existe déficit de financiamiento, donde existen recursos que pueden ser reorientados en el corto plazo y que medidas deben tomarse para hacer reingeniería sobre aquellos que se contraponen a los objetivos. Además, ofrecerá información relevante que permitan un adecuado análisis financiero y recomendaciones de política.  </w:t>
      </w:r>
    </w:p>
    <w:p w14:paraId="5C586A49" w14:textId="77777777" w:rsidR="00EA0A65" w:rsidRDefault="00EA0A65">
      <w:pPr>
        <w:ind w:left="-284" w:right="-336"/>
        <w:jc w:val="both"/>
        <w:rPr>
          <w:rFonts w:ascii="Arial Narrow" w:eastAsia="Arial Narrow" w:hAnsi="Arial Narrow" w:cs="Arial Narrow"/>
          <w:sz w:val="20"/>
          <w:szCs w:val="20"/>
        </w:rPr>
      </w:pPr>
    </w:p>
    <w:p w14:paraId="46F256B3" w14:textId="77777777" w:rsidR="00EA0A65" w:rsidRDefault="002959E9">
      <w:pPr>
        <w:ind w:left="-284" w:right="-336"/>
        <w:jc w:val="both"/>
        <w:rPr>
          <w:rFonts w:ascii="Arial Narrow" w:eastAsia="Arial Narrow" w:hAnsi="Arial Narrow" w:cs="Arial Narrow"/>
          <w:b/>
          <w:sz w:val="20"/>
          <w:szCs w:val="20"/>
        </w:rPr>
      </w:pPr>
      <w:r>
        <w:rPr>
          <w:rFonts w:ascii="Arial Narrow" w:eastAsia="Arial Narrow" w:hAnsi="Arial Narrow" w:cs="Arial Narrow"/>
          <w:b/>
          <w:sz w:val="20"/>
          <w:szCs w:val="20"/>
        </w:rPr>
        <w:t>Producto 2: Análisis Financiero transversal</w:t>
      </w:r>
    </w:p>
    <w:p w14:paraId="59F4E53F"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Sobre la base de la identificación de brechas, se realizará una evaluación financiera de carácter transversal (aplicable a todas las jurisdicciones) sobre tres aspectos claves: instrumentos, mecanismos de fondeo y criterios de priorización. </w:t>
      </w:r>
    </w:p>
    <w:p w14:paraId="230B8206"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0B87D562"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El </w:t>
      </w:r>
      <w:r>
        <w:rPr>
          <w:rFonts w:ascii="Arial Narrow" w:eastAsia="Arial Narrow" w:hAnsi="Arial Narrow" w:cs="Arial Narrow"/>
          <w:b/>
          <w:color w:val="000000"/>
          <w:sz w:val="20"/>
          <w:szCs w:val="20"/>
        </w:rPr>
        <w:t>análisis de instrumentos</w:t>
      </w:r>
      <w:r>
        <w:rPr>
          <w:rFonts w:ascii="Arial Narrow" w:eastAsia="Arial Narrow" w:hAnsi="Arial Narrow" w:cs="Arial Narrow"/>
          <w:color w:val="000000"/>
          <w:sz w:val="20"/>
          <w:szCs w:val="20"/>
        </w:rPr>
        <w:t>, realizará una revisión de los mecanismos regionales existentes (subvenciones, préstamos, garantías, pagos basados en resultados, capital, etc.) que tienen incidencia en la implementación de la estrategia DRBE. De acuerdo a la relevancia de cada instrumento, el análisis puede implicar la evaluación de los costos y beneficios, la monetización de beneficios no comerciables, la internalización de externalidades y la justificación de incentivos, entre otros. Como resultado se ofrecerá recomendaciones de política para la creación, fortalecimiento o reconversión de instrumentos de financiamiento de nivel jurisdiccional o arreglos nacionales que permitan su desempeño. Actualmente existe ya un conjunto de instrumentos administrados por las regiones o que se despliegan sobre actores regionales que deben ser considerados (las transferencias directas condicionadas, ProCompite, Retribución de Servicios Ecosistémicos, garantías de crédito, créditos agropecuarios, proyectos y programas de inversión pública); cada una con distinto ámbito de aplicación y enfoque. Pero existen además otros instrumentos que deben ser diseñados como las Alianzas Públicos Privadas Comunales, los fondos de innovación y emprendimiento, las finanzas tecnológicas, entre otros.  La apuesta general de la presente propuesta es plantear una “caja de instrumentos de financiamiento” como mecanismos de implementación de componentes específicos de las estrategias jurisdiccionales. La importancia de alinear instrumentos de financiamiento con líneas estratégicas jurisdiccionales es fundamental debido a que:</w:t>
      </w:r>
    </w:p>
    <w:p w14:paraId="7511C2BA"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45684744" w14:textId="77777777" w:rsidR="00EA0A65" w:rsidRDefault="002959E9">
      <w:pPr>
        <w:numPr>
          <w:ilvl w:val="0"/>
          <w:numId w:val="23"/>
        </w:numPr>
        <w:pBdr>
          <w:top w:val="nil"/>
          <w:left w:val="nil"/>
          <w:bottom w:val="nil"/>
          <w:right w:val="nil"/>
          <w:between w:val="nil"/>
        </w:pBdr>
        <w:ind w:left="-284" w:right="-336" w:hanging="426"/>
        <w:jc w:val="both"/>
        <w:rPr>
          <w:color w:val="000000"/>
          <w:sz w:val="20"/>
          <w:szCs w:val="20"/>
        </w:rPr>
      </w:pPr>
      <w:r>
        <w:rPr>
          <w:rFonts w:ascii="Arial Narrow" w:eastAsia="Arial Narrow" w:hAnsi="Arial Narrow" w:cs="Arial Narrow"/>
          <w:color w:val="000000"/>
          <w:sz w:val="20"/>
          <w:szCs w:val="20"/>
        </w:rPr>
        <w:t>Permiten acercar directamente los recursos económicos a los usuarios finales del paisaje forestal; es decir, con quienes en el campo vienen implementando esfuerzos de conservación de bosques, de aumento del stock de carbono o promoviendo el desarrollo rural (tanto desde el lado público como privado).</w:t>
      </w:r>
    </w:p>
    <w:p w14:paraId="4C82D28B" w14:textId="77777777" w:rsidR="00EA0A65" w:rsidRDefault="002959E9">
      <w:pPr>
        <w:numPr>
          <w:ilvl w:val="0"/>
          <w:numId w:val="23"/>
        </w:numPr>
        <w:pBdr>
          <w:top w:val="nil"/>
          <w:left w:val="nil"/>
          <w:bottom w:val="nil"/>
          <w:right w:val="nil"/>
          <w:between w:val="nil"/>
        </w:pBdr>
        <w:ind w:left="-284" w:right="-336" w:hanging="426"/>
        <w:jc w:val="both"/>
        <w:rPr>
          <w:color w:val="000000"/>
          <w:sz w:val="20"/>
          <w:szCs w:val="20"/>
        </w:rPr>
      </w:pPr>
      <w:r>
        <w:rPr>
          <w:rFonts w:ascii="Arial Narrow" w:eastAsia="Arial Narrow" w:hAnsi="Arial Narrow" w:cs="Arial Narrow"/>
          <w:color w:val="000000"/>
          <w:sz w:val="20"/>
          <w:szCs w:val="20"/>
        </w:rPr>
        <w:t>Un instrumento puede ser útil para distintas realidades del paisaje forestal – sin grandes variaciones sustanciales (que lo hace operativamente eficiente)</w:t>
      </w:r>
    </w:p>
    <w:p w14:paraId="51D40C57" w14:textId="77777777" w:rsidR="00EA0A65" w:rsidRDefault="002959E9">
      <w:pPr>
        <w:numPr>
          <w:ilvl w:val="0"/>
          <w:numId w:val="23"/>
        </w:numPr>
        <w:pBdr>
          <w:top w:val="nil"/>
          <w:left w:val="nil"/>
          <w:bottom w:val="nil"/>
          <w:right w:val="nil"/>
          <w:between w:val="nil"/>
        </w:pBdr>
        <w:ind w:left="-284" w:right="-336" w:hanging="426"/>
        <w:jc w:val="both"/>
        <w:rPr>
          <w:color w:val="000000"/>
          <w:sz w:val="20"/>
          <w:szCs w:val="20"/>
        </w:rPr>
      </w:pPr>
      <w:r>
        <w:rPr>
          <w:rFonts w:ascii="Arial Narrow" w:eastAsia="Arial Narrow" w:hAnsi="Arial Narrow" w:cs="Arial Narrow"/>
          <w:color w:val="000000"/>
          <w:sz w:val="20"/>
          <w:szCs w:val="20"/>
        </w:rPr>
        <w:t xml:space="preserve">Usar instrumentos ya existentes permite hacer uso adecuado de recursos, capacidades de gestión, manuales de operación ya definidos y procesos que los niveles nacionales o regionales vienen desarrollando y que contribuyen a consolidar sus capacidades. </w:t>
      </w:r>
    </w:p>
    <w:p w14:paraId="4EEA4A62" w14:textId="77777777" w:rsidR="00EA0A65" w:rsidRDefault="002959E9">
      <w:pPr>
        <w:numPr>
          <w:ilvl w:val="0"/>
          <w:numId w:val="23"/>
        </w:numPr>
        <w:pBdr>
          <w:top w:val="nil"/>
          <w:left w:val="nil"/>
          <w:bottom w:val="nil"/>
          <w:right w:val="nil"/>
          <w:between w:val="nil"/>
        </w:pBdr>
        <w:ind w:left="-284" w:right="-336" w:hanging="426"/>
        <w:jc w:val="both"/>
        <w:rPr>
          <w:color w:val="000000"/>
          <w:sz w:val="20"/>
          <w:szCs w:val="20"/>
        </w:rPr>
      </w:pPr>
      <w:r>
        <w:rPr>
          <w:rFonts w:ascii="Arial Narrow" w:eastAsia="Arial Narrow" w:hAnsi="Arial Narrow" w:cs="Arial Narrow"/>
          <w:color w:val="000000"/>
          <w:sz w:val="20"/>
          <w:szCs w:val="20"/>
        </w:rPr>
        <w:t>Los instrumentos van más allá del “¿qué hacer?” y nos permiten responder al “¿cómo hacerlo?”. p.e., identificando actores responsables de la implementación, recursos involucrados y requerimientos concretos que se necesitan para llevarlos a cabo.</w:t>
      </w:r>
    </w:p>
    <w:p w14:paraId="0D347735"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30CDEB6B"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Además, se realizará una evaluación</w:t>
      </w:r>
      <w:r>
        <w:rPr>
          <w:rFonts w:ascii="Arial Narrow" w:eastAsia="Arial Narrow" w:hAnsi="Arial Narrow" w:cs="Arial Narrow"/>
          <w:b/>
          <w:color w:val="000000"/>
          <w:sz w:val="20"/>
          <w:szCs w:val="20"/>
        </w:rPr>
        <w:t xml:space="preserve"> de opciones de fondeo</w:t>
      </w:r>
      <w:r>
        <w:rPr>
          <w:rFonts w:ascii="Arial Narrow" w:eastAsia="Arial Narrow" w:hAnsi="Arial Narrow" w:cs="Arial Narrow"/>
          <w:color w:val="000000"/>
          <w:sz w:val="20"/>
          <w:szCs w:val="20"/>
        </w:rPr>
        <w:t xml:space="preserve"> que permita apalancar recursos potenciales pertinentes (públicos, privados, nacionales e internacionales). Existen un importante punto de partida para esta evaluación. Cinco regiones peruanas del GCF Task Force cuentan, en distinto nivel, fondos regionales cómo el Fondelor de Loreto, el Fondesam San Martín, Fondesam Ucayali, Fondesam Amazonas y Fondo Regional del Agua de Piura. Estos espacios deben ser fortalecidos en sus arreglos de gobernanza, instrumentos de financiamiento, niveles de eficiencia financiera, aspectos procedimentales, entre otros. Pero por, sobre todo, requieren un análisis técnico jurídico sobre cuáles son las opciones más adecuadas para asegurar un flujo de recursos sostenible en el largo plazo que entren en estos “sombreros”. Estas opciones van desde sustitución de exoneraciones tributarias (cómo sucede en San Martín), recursos procedentes del canon de las actividades extractivas, recursos de donación o </w:t>
      </w:r>
      <w:r>
        <w:rPr>
          <w:rFonts w:ascii="Arial Narrow" w:eastAsia="Arial Narrow" w:hAnsi="Arial Narrow" w:cs="Arial Narrow"/>
          <w:i/>
          <w:color w:val="000000"/>
          <w:sz w:val="20"/>
          <w:szCs w:val="20"/>
        </w:rPr>
        <w:t>joint venture</w:t>
      </w:r>
      <w:r>
        <w:rPr>
          <w:rFonts w:ascii="Arial Narrow" w:eastAsia="Arial Narrow" w:hAnsi="Arial Narrow" w:cs="Arial Narrow"/>
          <w:color w:val="000000"/>
          <w:sz w:val="20"/>
          <w:szCs w:val="20"/>
        </w:rPr>
        <w:t xml:space="preserve"> con inversionistas privados para proyectos específicos.  Asimismo, las opciones de fondeo implican el análisis de mecanismos de carácter inter-jurisdiccional que puedan ampliar las economías de escala del uso de los recursos y reducir el riesgo cómo por ejemplo fondos de inversión especializados para el sector agrícola tropical. </w:t>
      </w:r>
    </w:p>
    <w:p w14:paraId="66CD466E"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6C13CCA4"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Finalmente, el análisis financiero incluye los criterios de priorización para la asignación de los recursos o que identifiquen acciones elegibles. Con el fin de asegurar eficiencia y efectividad en el uso de los recursos, las instituciones que gestionan los fondos y los instrumentos debe usar criterios para definir la planeación financiera y la evaluación de los proyectos. Entre los criterios que deberán considerase en el caso del paisaje forestal están (lista no taxativa):</w:t>
      </w:r>
    </w:p>
    <w:p w14:paraId="4E9E91E2" w14:textId="77777777" w:rsidR="00EA0A65" w:rsidRDefault="002959E9" w:rsidP="00225CC0">
      <w:pPr>
        <w:numPr>
          <w:ilvl w:val="0"/>
          <w:numId w:val="24"/>
        </w:numPr>
        <w:pBdr>
          <w:top w:val="nil"/>
          <w:left w:val="nil"/>
          <w:bottom w:val="nil"/>
          <w:right w:val="nil"/>
          <w:between w:val="nil"/>
        </w:pBdr>
        <w:ind w:left="-284" w:right="-336" w:firstLine="0"/>
        <w:contextualSpacing/>
        <w:jc w:val="both"/>
        <w:rPr>
          <w:b/>
          <w:color w:val="000000"/>
          <w:sz w:val="20"/>
          <w:szCs w:val="20"/>
        </w:rPr>
      </w:pPr>
      <w:r>
        <w:rPr>
          <w:rFonts w:ascii="Arial Narrow" w:eastAsia="Arial Narrow" w:hAnsi="Arial Narrow" w:cs="Arial Narrow"/>
          <w:color w:val="000000"/>
          <w:sz w:val="20"/>
          <w:szCs w:val="20"/>
        </w:rPr>
        <w:t xml:space="preserve">actores/territorios con tipos de tenencia con alto índice de deforestación anual; </w:t>
      </w:r>
    </w:p>
    <w:p w14:paraId="344F70EE" w14:textId="22578E3D" w:rsidR="00EA0A65" w:rsidRDefault="00225CC0" w:rsidP="00225CC0">
      <w:pPr>
        <w:numPr>
          <w:ilvl w:val="0"/>
          <w:numId w:val="24"/>
        </w:numPr>
        <w:pBdr>
          <w:top w:val="nil"/>
          <w:left w:val="nil"/>
          <w:bottom w:val="nil"/>
          <w:right w:val="nil"/>
          <w:between w:val="nil"/>
        </w:pBdr>
        <w:ind w:left="-284" w:right="-336" w:firstLine="0"/>
        <w:contextualSpacing/>
        <w:jc w:val="both"/>
        <w:rPr>
          <w:b/>
          <w:color w:val="000000"/>
          <w:sz w:val="20"/>
          <w:szCs w:val="20"/>
        </w:rPr>
      </w:pPr>
      <w:r>
        <w:rPr>
          <w:rFonts w:ascii="Arial Narrow" w:eastAsia="Arial Narrow" w:hAnsi="Arial Narrow" w:cs="Arial Narrow"/>
          <w:color w:val="000000"/>
          <w:sz w:val="20"/>
          <w:szCs w:val="20"/>
        </w:rPr>
        <w:t>áreas</w:t>
      </w:r>
      <w:r w:rsidR="002959E9">
        <w:rPr>
          <w:rFonts w:ascii="Arial Narrow" w:eastAsia="Arial Narrow" w:hAnsi="Arial Narrow" w:cs="Arial Narrow"/>
          <w:color w:val="000000"/>
          <w:sz w:val="20"/>
          <w:szCs w:val="20"/>
        </w:rPr>
        <w:t xml:space="preserve"> de avance de la deforestación </w:t>
      </w:r>
    </w:p>
    <w:p w14:paraId="66AC2E87" w14:textId="77777777" w:rsidR="00EA0A65" w:rsidRDefault="002959E9" w:rsidP="00225CC0">
      <w:pPr>
        <w:numPr>
          <w:ilvl w:val="0"/>
          <w:numId w:val="24"/>
        </w:numPr>
        <w:pBdr>
          <w:top w:val="nil"/>
          <w:left w:val="nil"/>
          <w:bottom w:val="nil"/>
          <w:right w:val="nil"/>
          <w:between w:val="nil"/>
        </w:pBdr>
        <w:ind w:left="-284" w:right="-336" w:firstLine="0"/>
        <w:contextualSpacing/>
        <w:jc w:val="both"/>
        <w:rPr>
          <w:b/>
          <w:color w:val="000000"/>
          <w:sz w:val="20"/>
          <w:szCs w:val="20"/>
        </w:rPr>
      </w:pPr>
      <w:r>
        <w:rPr>
          <w:rFonts w:ascii="Arial Narrow" w:eastAsia="Arial Narrow" w:hAnsi="Arial Narrow" w:cs="Arial Narrow"/>
          <w:color w:val="000000"/>
          <w:sz w:val="20"/>
          <w:szCs w:val="20"/>
        </w:rPr>
        <w:t xml:space="preserve">áreas que por su características biológicas o sociales son parte la infraestructura ecológica principal </w:t>
      </w:r>
    </w:p>
    <w:p w14:paraId="7681E999" w14:textId="77777777" w:rsidR="00EA0A65" w:rsidRDefault="002959E9" w:rsidP="00225CC0">
      <w:pPr>
        <w:numPr>
          <w:ilvl w:val="0"/>
          <w:numId w:val="24"/>
        </w:numPr>
        <w:pBdr>
          <w:top w:val="nil"/>
          <w:left w:val="nil"/>
          <w:bottom w:val="nil"/>
          <w:right w:val="nil"/>
          <w:between w:val="nil"/>
        </w:pBdr>
        <w:ind w:left="-284" w:right="-336" w:firstLine="0"/>
        <w:contextualSpacing/>
        <w:jc w:val="both"/>
        <w:rPr>
          <w:b/>
          <w:color w:val="000000"/>
          <w:sz w:val="20"/>
          <w:szCs w:val="20"/>
        </w:rPr>
      </w:pPr>
      <w:r>
        <w:rPr>
          <w:rFonts w:ascii="Arial Narrow" w:eastAsia="Arial Narrow" w:hAnsi="Arial Narrow" w:cs="Arial Narrow"/>
          <w:color w:val="000000"/>
          <w:sz w:val="20"/>
          <w:szCs w:val="20"/>
        </w:rPr>
        <w:t>actores pertenecientes a poblaciones vulnerables como comunidades nativas, campesinas o con bajo índice de desarrollo humano</w:t>
      </w:r>
    </w:p>
    <w:p w14:paraId="70EB9CBF" w14:textId="77777777" w:rsidR="00EA0A65" w:rsidRDefault="002959E9" w:rsidP="00225CC0">
      <w:pPr>
        <w:numPr>
          <w:ilvl w:val="0"/>
          <w:numId w:val="24"/>
        </w:numPr>
        <w:pBdr>
          <w:top w:val="nil"/>
          <w:left w:val="nil"/>
          <w:bottom w:val="nil"/>
          <w:right w:val="nil"/>
          <w:between w:val="nil"/>
        </w:pBdr>
        <w:ind w:left="-284" w:right="-336" w:firstLine="0"/>
        <w:contextualSpacing/>
        <w:jc w:val="both"/>
        <w:rPr>
          <w:b/>
          <w:color w:val="000000"/>
          <w:sz w:val="20"/>
          <w:szCs w:val="20"/>
        </w:rPr>
      </w:pPr>
      <w:r>
        <w:rPr>
          <w:rFonts w:ascii="Arial Narrow" w:eastAsia="Arial Narrow" w:hAnsi="Arial Narrow" w:cs="Arial Narrow"/>
          <w:color w:val="000000"/>
          <w:sz w:val="20"/>
          <w:szCs w:val="20"/>
        </w:rPr>
        <w:t>cadenas de valor /productos de alto potencial en el mercado y que articulen una cantidad importante de productores</w:t>
      </w:r>
    </w:p>
    <w:p w14:paraId="19E9497E" w14:textId="77777777" w:rsidR="00EA0A65" w:rsidRDefault="00EA0A65">
      <w:pPr>
        <w:ind w:left="-284" w:right="-336"/>
        <w:jc w:val="both"/>
        <w:rPr>
          <w:rFonts w:ascii="Arial Narrow" w:eastAsia="Arial Narrow" w:hAnsi="Arial Narrow" w:cs="Arial Narrow"/>
          <w:sz w:val="20"/>
          <w:szCs w:val="20"/>
        </w:rPr>
      </w:pPr>
    </w:p>
    <w:p w14:paraId="25B5353A"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Dada el similar nivel de avance de las regiones peruanas y el marco normativo nacional compartido, el análisis financiero aquí planteado se realizará de forma transversal a las seis regiones miembros, aunque en los casos que amerite, se incluirán contextualización sobre características individuales o análisis específicos (como por ejemplo, la priorización del enfoque de cuenca y gestión de recursos hídricos en Piura y Huánuco). Todos los análisis planteados serán provistos en un informe que contendrá recomendaciones de políticas específicas y relevantes para el nivel inter-jurisdiccional y jurisdiccional. </w:t>
      </w:r>
    </w:p>
    <w:p w14:paraId="33C7AC5E"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0E2C51C4" w14:textId="77777777" w:rsidR="00EA0A65" w:rsidRDefault="002959E9">
      <w:pPr>
        <w:pBdr>
          <w:top w:val="nil"/>
          <w:left w:val="nil"/>
          <w:bottom w:val="nil"/>
          <w:right w:val="nil"/>
          <w:between w:val="nil"/>
        </w:pBdr>
        <w:ind w:left="-284" w:right="-336"/>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Producto 3: Participación efectiva y alianzas multi-actores para victorias tempranas</w:t>
      </w:r>
    </w:p>
    <w:p w14:paraId="554987D8"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El tercer producto de la propuesta busca, en primer término, la participación de Grupos de actores claves que ofrezcan información especializada y técnica al análisis financiero.  A nivel jurisdiccional, implica reuniones de presentación, recojo de aportes y validación de los informes y propuestas para cada una de las regiones. Las actividades participativas buscarán diálogos de doble vía donde se recojan insumos, pero al mismo tiempo se generan conocimiento y competencias para la implementación de las recomendaciones de política planteadas en el producto anterior. </w:t>
      </w:r>
    </w:p>
    <w:p w14:paraId="00ED59CA"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2C9A5893"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En segundo término, el producto busca realizar un trabajo de incidencia y construcción de alianzas entre distintos actores para establecer acuerdos de implementación. A nivel jurisdiccional, estas alianzas se realizarán en el marco de los espacios de diálogo creados a propósito del procesos participativo general de la estrategia. Desde un nivel inter-jurisdiccional, implica actividades desde establecimiento de acuerdos, convenios y diseño de propuestas que permitan construir espacios para recaudación de fondos así como cambios normativos e institucionales multi-nivel para asegurar la implementación de las recomendaciones de políticas.  El objetivo aquí es lograr victorias tempranas que puedan generar las condiciones para la implementación de las estrategias a través de la identificación de flujos financieros factibles ciertos. </w:t>
      </w:r>
    </w:p>
    <w:p w14:paraId="3844D01A" w14:textId="77777777" w:rsidR="00EA0A65" w:rsidRDefault="00EA0A65">
      <w:pPr>
        <w:ind w:left="-284" w:right="-336"/>
        <w:jc w:val="both"/>
        <w:rPr>
          <w:rFonts w:ascii="Arial Narrow" w:eastAsia="Arial Narrow" w:hAnsi="Arial Narrow" w:cs="Arial Narrow"/>
          <w:sz w:val="20"/>
          <w:szCs w:val="20"/>
        </w:rPr>
      </w:pPr>
    </w:p>
    <w:p w14:paraId="42F04C7A" w14:textId="77777777" w:rsidR="00EA0A65" w:rsidRDefault="002959E9">
      <w:pPr>
        <w:ind w:left="-284" w:right="-336"/>
        <w:jc w:val="both"/>
        <w:rPr>
          <w:rFonts w:ascii="Arial Narrow" w:eastAsia="Arial Narrow" w:hAnsi="Arial Narrow" w:cs="Arial Narrow"/>
          <w:b/>
          <w:sz w:val="20"/>
          <w:szCs w:val="20"/>
        </w:rPr>
      </w:pPr>
      <w:r>
        <w:rPr>
          <w:rFonts w:ascii="Arial Narrow" w:eastAsia="Arial Narrow" w:hAnsi="Arial Narrow" w:cs="Arial Narrow"/>
          <w:b/>
          <w:sz w:val="20"/>
          <w:szCs w:val="20"/>
        </w:rPr>
        <w:t xml:space="preserve">Equipo técnico </w:t>
      </w:r>
    </w:p>
    <w:p w14:paraId="17B2AA02" w14:textId="2F17BA02"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Se requiere un responsable del liderazgo técnico, supervisión de desempeño, articulación con los otros actores y que lidere el Producto 3</w:t>
      </w:r>
      <w:r w:rsidR="00E000ED">
        <w:rPr>
          <w:rFonts w:ascii="Arial Narrow" w:eastAsia="Arial Narrow" w:hAnsi="Arial Narrow" w:cs="Arial Narrow"/>
          <w:sz w:val="20"/>
          <w:szCs w:val="20"/>
        </w:rPr>
        <w:t xml:space="preserve">, </w:t>
      </w:r>
      <w:bookmarkStart w:id="19" w:name="_Hlk519587218"/>
      <w:r w:rsidR="00E000ED">
        <w:rPr>
          <w:rFonts w:ascii="Arial Narrow" w:eastAsia="Arial Narrow" w:hAnsi="Arial Narrow" w:cs="Arial Narrow"/>
          <w:sz w:val="20"/>
          <w:szCs w:val="20"/>
        </w:rPr>
        <w:t>cuyo proceso en cada región será manejado por el coordinador regional del proceso, con la asistencia de este profesional</w:t>
      </w:r>
      <w:bookmarkEnd w:id="19"/>
      <w:r>
        <w:rPr>
          <w:rFonts w:ascii="Arial Narrow" w:eastAsia="Arial Narrow" w:hAnsi="Arial Narrow" w:cs="Arial Narrow"/>
          <w:sz w:val="20"/>
          <w:szCs w:val="20"/>
        </w:rPr>
        <w:t xml:space="preserve">;  un asesor técnico que apoyará el seguimiento técnico del equipo, consolidará la información técnica relevante, elaborará los informes de proyecto y asegurará el flujo de información entre el equipo implementador. </w:t>
      </w:r>
    </w:p>
    <w:p w14:paraId="3C30BF5B" w14:textId="77777777" w:rsidR="00EA0A65" w:rsidRDefault="00EA0A65">
      <w:pPr>
        <w:ind w:left="-284" w:right="-336"/>
        <w:jc w:val="both"/>
        <w:rPr>
          <w:rFonts w:ascii="Arial Narrow" w:eastAsia="Arial Narrow" w:hAnsi="Arial Narrow" w:cs="Arial Narrow"/>
          <w:sz w:val="20"/>
          <w:szCs w:val="20"/>
        </w:rPr>
      </w:pPr>
    </w:p>
    <w:p w14:paraId="3529DB7A" w14:textId="7777777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Para el levantamiento de información e identificación de brechas (Producto 1) se contratará los servicios de consultores especializados (locales, prioritariamente) para realizar los análisis a nivel jurisdiccional. Estos consultores trabajaran en estrecha coordinación con los equipos técnicos regionales a cargo del diseño general de la estrategia y el líder.  Además, se tendrá consultores especializados para la elaboración del Análisis Financiero quienes realizarán los estudios planteados en el Producto 2 y ofrecerán la información sistematizada en recomendaciones de política. </w:t>
      </w:r>
    </w:p>
    <w:p w14:paraId="21D5B3DC" w14:textId="77777777" w:rsidR="00EA0A65" w:rsidRDefault="00EA0A65">
      <w:pPr>
        <w:ind w:left="-284" w:right="-336"/>
        <w:jc w:val="both"/>
        <w:rPr>
          <w:rFonts w:ascii="Arial Narrow" w:eastAsia="Arial Narrow" w:hAnsi="Arial Narrow" w:cs="Arial Narrow"/>
          <w:sz w:val="20"/>
          <w:szCs w:val="20"/>
        </w:rPr>
      </w:pPr>
    </w:p>
    <w:p w14:paraId="1E61BEEA" w14:textId="77777777" w:rsidR="00EA0A65" w:rsidRDefault="002959E9">
      <w:pPr>
        <w:ind w:left="-284" w:right="-336"/>
        <w:jc w:val="both"/>
        <w:rPr>
          <w:rFonts w:ascii="Arial Narrow" w:eastAsia="Arial Narrow" w:hAnsi="Arial Narrow" w:cs="Arial Narrow"/>
          <w:sz w:val="20"/>
          <w:szCs w:val="20"/>
        </w:rPr>
      </w:pPr>
      <w:r>
        <w:rPr>
          <w:rFonts w:ascii="Arial Narrow" w:eastAsia="Arial Narrow" w:hAnsi="Arial Narrow" w:cs="Arial Narrow"/>
          <w:sz w:val="20"/>
          <w:szCs w:val="20"/>
        </w:rPr>
        <w:t xml:space="preserve">La propuesta prevé un promedio de 2 viajes a cada región, de 3 o 4 personas). Se realizará al menos 2 talleres multi-jurisdiccionales (para cada los productos 2 y 3 de la propuesta) e intercambios temáticos para la construcción de capacidades en los actores regionales. Asimismo, se ha considerado la diseminación de los resultados y de las lecciones aprendidas a través de publicaciones.  </w:t>
      </w:r>
    </w:p>
    <w:p w14:paraId="26E5CF22" w14:textId="77777777" w:rsidR="00EA0A65" w:rsidRDefault="00EA0A65">
      <w:pPr>
        <w:ind w:left="-567" w:right="-567"/>
        <w:jc w:val="both"/>
        <w:rPr>
          <w:rFonts w:ascii="Arial Narrow" w:eastAsia="Arial Narrow" w:hAnsi="Arial Narrow" w:cs="Arial Narrow"/>
          <w:sz w:val="20"/>
          <w:szCs w:val="20"/>
        </w:rPr>
      </w:pPr>
    </w:p>
    <w:p w14:paraId="594800B3" w14:textId="77777777" w:rsidR="00EA0A65" w:rsidRDefault="00EA0A65">
      <w:pPr>
        <w:widowControl w:val="0"/>
        <w:jc w:val="both"/>
        <w:rPr>
          <w:rFonts w:ascii="Arial Narrow" w:eastAsia="Arial Narrow" w:hAnsi="Arial Narrow" w:cs="Arial Narrow"/>
          <w:b/>
          <w:sz w:val="22"/>
          <w:szCs w:val="22"/>
        </w:rPr>
      </w:pPr>
    </w:p>
    <w:p w14:paraId="3A4FB974" w14:textId="77777777" w:rsidR="00EA0A65" w:rsidRDefault="00EA0A65">
      <w:pPr>
        <w:widowControl w:val="0"/>
        <w:jc w:val="both"/>
        <w:rPr>
          <w:rFonts w:ascii="Arial Narrow" w:eastAsia="Arial Narrow" w:hAnsi="Arial Narrow" w:cs="Arial Narrow"/>
          <w:b/>
          <w:sz w:val="22"/>
          <w:szCs w:val="22"/>
        </w:rPr>
      </w:pPr>
    </w:p>
    <w:p w14:paraId="1F8A7C99" w14:textId="77777777" w:rsidR="00EA0A65" w:rsidRDefault="00EA0A65">
      <w:pPr>
        <w:rPr>
          <w:rFonts w:ascii="Arial Narrow" w:eastAsia="Arial Narrow" w:hAnsi="Arial Narrow" w:cs="Arial Narrow"/>
          <w:b/>
          <w:sz w:val="22"/>
          <w:szCs w:val="22"/>
        </w:rPr>
      </w:pPr>
    </w:p>
    <w:p w14:paraId="1EDAAAD0" w14:textId="77777777" w:rsidR="00EA0A65" w:rsidRDefault="002959E9">
      <w:pPr>
        <w:widowControl w:val="0"/>
        <w:pBdr>
          <w:top w:val="nil"/>
          <w:left w:val="nil"/>
          <w:bottom w:val="nil"/>
          <w:right w:val="nil"/>
          <w:between w:val="nil"/>
        </w:pBdr>
        <w:spacing w:line="276" w:lineRule="auto"/>
        <w:rPr>
          <w:rFonts w:ascii="Arial Narrow" w:eastAsia="Arial Narrow" w:hAnsi="Arial Narrow" w:cs="Arial Narrow"/>
          <w:b/>
          <w:sz w:val="22"/>
          <w:szCs w:val="22"/>
        </w:rPr>
        <w:sectPr w:rsidR="00EA0A65" w:rsidSect="00FD1D4D">
          <w:type w:val="continuous"/>
          <w:pgSz w:w="11901" w:h="16817"/>
          <w:pgMar w:top="1440" w:right="1440" w:bottom="1440" w:left="1440" w:header="720" w:footer="720" w:gutter="0"/>
          <w:cols w:space="720"/>
          <w:docGrid w:linePitch="326"/>
        </w:sectPr>
      </w:pPr>
      <w:r>
        <w:br w:type="page"/>
      </w:r>
    </w:p>
    <w:p w14:paraId="45D7AE00" w14:textId="77777777" w:rsidR="00EA0A65" w:rsidRDefault="002959E9">
      <w:pPr>
        <w:pBdr>
          <w:bottom w:val="single" w:sz="4" w:space="1" w:color="000000"/>
        </w:pBdr>
        <w:ind w:left="-284" w:right="-336"/>
        <w:rPr>
          <w:rFonts w:ascii="Arial Narrow" w:eastAsia="Arial Narrow" w:hAnsi="Arial Narrow" w:cs="Arial Narrow"/>
          <w:b/>
          <w:sz w:val="20"/>
          <w:szCs w:val="20"/>
        </w:rPr>
      </w:pPr>
      <w:bookmarkStart w:id="20" w:name="_2jxsxqh" w:colFirst="0" w:colLast="0"/>
      <w:bookmarkEnd w:id="20"/>
      <w:r>
        <w:rPr>
          <w:rFonts w:ascii="Arial Narrow" w:eastAsia="Arial Narrow" w:hAnsi="Arial Narrow" w:cs="Arial Narrow"/>
          <w:b/>
          <w:sz w:val="20"/>
          <w:szCs w:val="20"/>
        </w:rPr>
        <w:lastRenderedPageBreak/>
        <w:t xml:space="preserve">ANEXO V. Propuesta de organización y gobernanza para los proyectos de apoyo a la elaboración de la estrategia y plan de DRBE en las regiones miembros del GCG-TF en Perú </w:t>
      </w:r>
    </w:p>
    <w:p w14:paraId="7E3B17EE" w14:textId="77777777" w:rsidR="00EA0A65" w:rsidRDefault="00EA0A65">
      <w:pPr>
        <w:pBdr>
          <w:top w:val="nil"/>
          <w:left w:val="nil"/>
          <w:bottom w:val="nil"/>
          <w:right w:val="nil"/>
          <w:between w:val="nil"/>
        </w:pBdr>
        <w:ind w:left="-284" w:right="-336"/>
        <w:jc w:val="both"/>
        <w:rPr>
          <w:rFonts w:ascii="Arial Narrow" w:eastAsia="Arial Narrow" w:hAnsi="Arial Narrow" w:cs="Arial Narrow"/>
          <w:b/>
          <w:color w:val="000000"/>
          <w:sz w:val="20"/>
          <w:szCs w:val="20"/>
        </w:rPr>
      </w:pPr>
    </w:p>
    <w:p w14:paraId="3C11EED0" w14:textId="77777777" w:rsidR="00EA0A65" w:rsidRDefault="002959E9">
      <w:pPr>
        <w:pBdr>
          <w:top w:val="nil"/>
          <w:left w:val="nil"/>
          <w:bottom w:val="nil"/>
          <w:right w:val="nil"/>
          <w:between w:val="nil"/>
        </w:pBdr>
        <w:ind w:left="-284" w:right="-336"/>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INTRODUCCIÓN</w:t>
      </w:r>
    </w:p>
    <w:p w14:paraId="17036407" w14:textId="77777777" w:rsidR="00EA0A65" w:rsidRDefault="00EA0A65">
      <w:pPr>
        <w:pBdr>
          <w:top w:val="nil"/>
          <w:left w:val="nil"/>
          <w:bottom w:val="nil"/>
          <w:right w:val="nil"/>
          <w:between w:val="nil"/>
        </w:pBdr>
        <w:ind w:left="-284" w:right="-336"/>
        <w:jc w:val="both"/>
        <w:rPr>
          <w:rFonts w:ascii="Arial Narrow" w:eastAsia="Arial Narrow" w:hAnsi="Arial Narrow" w:cs="Arial Narrow"/>
          <w:b/>
          <w:color w:val="000000"/>
          <w:sz w:val="20"/>
          <w:szCs w:val="20"/>
        </w:rPr>
      </w:pPr>
    </w:p>
    <w:p w14:paraId="78211870"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bookmarkStart w:id="21" w:name="_z337ya" w:colFirst="0" w:colLast="0"/>
      <w:bookmarkEnd w:id="21"/>
      <w:r>
        <w:rPr>
          <w:rFonts w:ascii="Arial Narrow" w:eastAsia="Arial Narrow" w:hAnsi="Arial Narrow" w:cs="Arial Narrow"/>
          <w:color w:val="000000"/>
          <w:sz w:val="20"/>
          <w:szCs w:val="20"/>
        </w:rPr>
        <w:t xml:space="preserve">Los Gobiernos Regionales peruanos miembros el GCF-TF, seis de la Amazonía (Amazonas, Huánuco, Loreto, Madre de Dios, San Martín y Ucayali, agrupados en el CIAM) y uno de la costa (Piura, que plantea articular a los otros dos principales en superficie de bosques secos, Tumbes y Lambayeque), están aptos para recibir financiamiento del Fondo NICFI/PNUD de apoyo a los miembros del GCF-TF.  Este financiamiento, de hasta USD 400,000 por proyecto -uno por región- debe destinarse a la elaboración de Estrategias de desarrollo rural bajo en emisiones y sus planes financieros, con el objetivo de hacer frente a la deforestación y reducir emisiones asociadas al cambio de uso del suelo. Sólo en el caso de ya contarse con estos planes en la jurisdicción se podrá usar los recursos en adelantar su implementación. Las reglas del proceso señalan que el gobierno regional debe identificar una entidad que actúe como “parte responsable”, para facilitar la canalización de recursos. Los Gobernadores coincidieron en la pertinencia de contar con una aproximación común y aprovechar la economía de escala de contar con una parte responsable compartida. </w:t>
      </w:r>
    </w:p>
    <w:p w14:paraId="28B36DDC"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068A5D6D"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Siendo necesariamente estos procesos de naturaleza participativa, siempre bajo el claro liderazgo y conducción de los gobiernos regionales, es pertinente asegurar la debida participación de los actores vinculados al tema, incluyendo aquellos que pueden proveer servicios o ejecutar acciones específicas en el proceso.  En este contexto es importante precisar el papel de las diferentes instituciones y actores de diferente naturaleza, incluyendo el de Earth Innovation Institute - EII como parte responsable, los propios gobiernos regionales, ONG activas en el tema en cada región y los diversos grupos de actores interesados. </w:t>
      </w:r>
    </w:p>
    <w:p w14:paraId="052EE389" w14:textId="77777777" w:rsidR="00EA0A65" w:rsidRDefault="00EA0A65">
      <w:pPr>
        <w:pBdr>
          <w:top w:val="nil"/>
          <w:left w:val="nil"/>
          <w:bottom w:val="nil"/>
          <w:right w:val="nil"/>
          <w:between w:val="nil"/>
        </w:pBdr>
        <w:ind w:left="-284" w:right="-336"/>
        <w:jc w:val="both"/>
        <w:rPr>
          <w:rFonts w:ascii="Arial Narrow" w:eastAsia="Arial Narrow" w:hAnsi="Arial Narrow" w:cs="Arial Narrow"/>
          <w:b/>
          <w:color w:val="000000"/>
          <w:sz w:val="20"/>
          <w:szCs w:val="20"/>
        </w:rPr>
      </w:pPr>
    </w:p>
    <w:p w14:paraId="72DBB670" w14:textId="77777777" w:rsidR="00EA0A65" w:rsidRDefault="002959E9">
      <w:pPr>
        <w:pBdr>
          <w:top w:val="nil"/>
          <w:left w:val="nil"/>
          <w:bottom w:val="nil"/>
          <w:right w:val="nil"/>
          <w:between w:val="nil"/>
        </w:pBdr>
        <w:ind w:left="-284" w:right="-336"/>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RESULTADO ESPERADO</w:t>
      </w:r>
    </w:p>
    <w:p w14:paraId="71F2E550" w14:textId="77777777" w:rsidR="00EA0A65" w:rsidRDefault="00EA0A65">
      <w:pPr>
        <w:pBdr>
          <w:top w:val="nil"/>
          <w:left w:val="nil"/>
          <w:bottom w:val="nil"/>
          <w:right w:val="nil"/>
          <w:between w:val="nil"/>
        </w:pBdr>
        <w:ind w:left="-284" w:right="-336"/>
        <w:jc w:val="both"/>
        <w:rPr>
          <w:rFonts w:ascii="Arial Narrow" w:eastAsia="Arial Narrow" w:hAnsi="Arial Narrow" w:cs="Arial Narrow"/>
          <w:b/>
          <w:color w:val="000000"/>
          <w:sz w:val="20"/>
          <w:szCs w:val="20"/>
        </w:rPr>
      </w:pPr>
    </w:p>
    <w:p w14:paraId="0E542D5E"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Como resultado </w:t>
      </w:r>
      <w:r>
        <w:rPr>
          <w:rFonts w:ascii="Arial Narrow" w:eastAsia="Arial Narrow" w:hAnsi="Arial Narrow" w:cs="Arial Narrow"/>
          <w:b/>
          <w:color w:val="000000"/>
          <w:sz w:val="20"/>
          <w:szCs w:val="20"/>
        </w:rPr>
        <w:t xml:space="preserve">del apoyo del Fondo NICFI/PNUD/GCF </w:t>
      </w:r>
      <w:r>
        <w:rPr>
          <w:rFonts w:ascii="Arial Narrow" w:eastAsia="Arial Narrow" w:hAnsi="Arial Narrow" w:cs="Arial Narrow"/>
          <w:color w:val="000000"/>
          <w:sz w:val="20"/>
          <w:szCs w:val="20"/>
        </w:rPr>
        <w:t xml:space="preserve">se espera que cada Región Miembro del GCF-TF en el Perú, cuente con su estrategia, plan y un plan financiero de la mejor calidad posible, articulados con los instrumentos relevantes nacionales y regionales, debidamente consensuados y respaldados por los actores clave de la región, que permitan desarrollar acciones efectivas de reducción de la deforestación, en el marco de la Declaración de Rio Branco, así como acceder a recursos financieros adicionales para su implementación. </w:t>
      </w:r>
    </w:p>
    <w:p w14:paraId="4E5D3A00"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6986FD72"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Las hojas de ruta o planes regionales para un desarrollo rural bajo en emisiones servirán para orientar el accionar de los gobiernos regionales y las actividades privadas, así como la atracción de la cooperación internacional y de inversiones públicas y privadas. El desarrollo de las hojas de ruta está alineado también con la forma prevista para aplicar la ENBCC a nivel subnacional y contribuirá de manera directa al cumplimiento de las metas de reducción de emisiones, expresada en la NDC presentada por el país. </w:t>
      </w:r>
    </w:p>
    <w:p w14:paraId="7AB5EA62"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2FEDA7FD" w14:textId="77777777" w:rsidR="00EA0A65" w:rsidRDefault="002959E9">
      <w:pPr>
        <w:pBdr>
          <w:top w:val="nil"/>
          <w:left w:val="nil"/>
          <w:bottom w:val="nil"/>
          <w:right w:val="nil"/>
          <w:between w:val="nil"/>
        </w:pBdr>
        <w:ind w:left="-284" w:right="-336"/>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CONDICIONES NECESARIAS</w:t>
      </w:r>
    </w:p>
    <w:p w14:paraId="4B526E73" w14:textId="77777777" w:rsidR="00EA0A65" w:rsidRDefault="00EA0A65">
      <w:pPr>
        <w:pBdr>
          <w:top w:val="nil"/>
          <w:left w:val="nil"/>
          <w:bottom w:val="nil"/>
          <w:right w:val="nil"/>
          <w:between w:val="nil"/>
        </w:pBdr>
        <w:ind w:left="-284" w:right="-336"/>
        <w:jc w:val="both"/>
        <w:rPr>
          <w:rFonts w:ascii="Arial Narrow" w:eastAsia="Arial Narrow" w:hAnsi="Arial Narrow" w:cs="Arial Narrow"/>
          <w:b/>
          <w:color w:val="000000"/>
          <w:sz w:val="20"/>
          <w:szCs w:val="20"/>
        </w:rPr>
      </w:pPr>
    </w:p>
    <w:p w14:paraId="34640DF1"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Elaborar y acordar los instrumentos mencionados es un proceso complejo que requiere la construcción de consensos y alineamiento de visiones y objetivos de diferentes actores sobre un territorio dado. Asegurar la debida participación en los diálogos y debates para la concertación es fundamental, de la misma manera en que es necesario que estas decisiones se basen en la mejor ciencia disponible, sin dejar de lado elementos sociales y culturales. </w:t>
      </w:r>
    </w:p>
    <w:p w14:paraId="7D779A0F"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705E2489"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 pesar que la complejidad aumenta en un año electoral, es también la oportunidad de incorporar el tema en el proceso eleccionario y ponerlo en la agenda pública de la siguiente administración, en cada Región.  Para ello el propio proyecto de apoyo al proceso debe ser participativo y contar con una gobernanza adecuada. Si bien los recursos son importantes no son ilimitados, por lo que se propone su eficiente asignación y ejecución.</w:t>
      </w:r>
    </w:p>
    <w:p w14:paraId="66AC9BF8"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06E87135"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 identifica tres elementos fundamentales:</w:t>
      </w:r>
    </w:p>
    <w:p w14:paraId="1E4BB840"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59E8395A"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Liderazgo:</w:t>
      </w:r>
      <w:r>
        <w:rPr>
          <w:rFonts w:ascii="Arial Narrow" w:eastAsia="Arial Narrow" w:hAnsi="Arial Narrow" w:cs="Arial Narrow"/>
          <w:color w:val="000000"/>
          <w:sz w:val="20"/>
          <w:szCs w:val="20"/>
        </w:rPr>
        <w:t xml:space="preserve"> Corresponde a cada Gobierno regional. Se recomienda que sea al más alto nivel jerárquico posible a través de un representante designado del Gobernador Regional. </w:t>
      </w:r>
    </w:p>
    <w:p w14:paraId="3CED2430"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Participación:</w:t>
      </w:r>
      <w:r>
        <w:rPr>
          <w:rFonts w:ascii="Arial Narrow" w:eastAsia="Arial Narrow" w:hAnsi="Arial Narrow" w:cs="Arial Narrow"/>
          <w:color w:val="000000"/>
          <w:sz w:val="20"/>
          <w:szCs w:val="20"/>
        </w:rPr>
        <w:t xml:space="preserve">  En cada región se insertará el proceso en el espacio de participación más adecuado, como pueden ser las Comisiones Ambientales Regionales (CAR) u otros, según se identifique. Se debe asegurar la participación de los diversos actores públicos y privados, garantizando espacios adecuados para las organizaciones indígenas, sector privado y productores agrarios, agroforestales y forestales. </w:t>
      </w:r>
    </w:p>
    <w:p w14:paraId="70920DE4"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bookmarkStart w:id="22" w:name="_3j2qqm3" w:colFirst="0" w:colLast="0"/>
      <w:bookmarkEnd w:id="22"/>
      <w:r>
        <w:rPr>
          <w:rFonts w:ascii="Arial Narrow" w:eastAsia="Arial Narrow" w:hAnsi="Arial Narrow" w:cs="Arial Narrow"/>
          <w:b/>
          <w:color w:val="000000"/>
          <w:sz w:val="20"/>
          <w:szCs w:val="20"/>
        </w:rPr>
        <w:t>Asistencia Técnica:</w:t>
      </w:r>
      <w:r>
        <w:rPr>
          <w:rFonts w:ascii="Arial Narrow" w:eastAsia="Arial Narrow" w:hAnsi="Arial Narrow" w:cs="Arial Narrow"/>
          <w:color w:val="000000"/>
          <w:sz w:val="20"/>
          <w:szCs w:val="20"/>
        </w:rPr>
        <w:t xml:space="preserve"> Considerando que son regiones con necesidades y contextos diferentes, es necesario contar en cada una de ellas con un Grupo Técnico (GT) como núcleo técnico para el diseño del proyecto, así como para la elaboración de los instrumentos en cada región.  Este GTR contará con asistencia técnica del Equipo Técnico de Apoyo (ETA), el cual apoyará la conducción de los trabajos en todas las regiones. EII, como parte el ETA, asegurará la aplicación de un enfoque consistente con el de jurisdicciones </w:t>
      </w:r>
      <w:r>
        <w:rPr>
          <w:rFonts w:ascii="Arial Narrow" w:eastAsia="Arial Narrow" w:hAnsi="Arial Narrow" w:cs="Arial Narrow"/>
          <w:color w:val="000000"/>
          <w:sz w:val="20"/>
          <w:szCs w:val="20"/>
        </w:rPr>
        <w:lastRenderedPageBreak/>
        <w:t>sostenibles. El TPS</w:t>
      </w:r>
      <w:r>
        <w:rPr>
          <w:rFonts w:ascii="Arial Narrow" w:eastAsia="Arial Narrow" w:hAnsi="Arial Narrow" w:cs="Arial Narrow"/>
          <w:color w:val="000000"/>
          <w:sz w:val="20"/>
          <w:szCs w:val="20"/>
          <w:vertAlign w:val="superscript"/>
        </w:rPr>
        <w:footnoteReference w:id="26"/>
      </w:r>
      <w:r>
        <w:rPr>
          <w:rFonts w:ascii="Arial Narrow" w:eastAsia="Arial Narrow" w:hAnsi="Arial Narrow" w:cs="Arial Narrow"/>
          <w:color w:val="000000"/>
          <w:sz w:val="20"/>
          <w:szCs w:val="20"/>
        </w:rPr>
        <w:t xml:space="preserve"> puede emplearse como un marco conceptual general, para el desarrollo de los cuatro componentes: establecimiento de metas consensuadas, diseño de la gobernanza del proceso, diseño/identificación del conjunto de incentivos necesarios (normativos, asistencia técnica y financieros), y la plataforma de monitoreo.</w:t>
      </w:r>
    </w:p>
    <w:p w14:paraId="2E2BD678"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62CF9022" w14:textId="77777777" w:rsidR="00EA0A65" w:rsidRDefault="002959E9">
      <w:pPr>
        <w:pBdr>
          <w:top w:val="nil"/>
          <w:left w:val="nil"/>
          <w:bottom w:val="nil"/>
          <w:right w:val="nil"/>
          <w:between w:val="nil"/>
        </w:pBdr>
        <w:ind w:left="-284" w:right="-336"/>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ORGANIZACIÓN Y GOBERNANZA PROPUESTA</w:t>
      </w:r>
    </w:p>
    <w:p w14:paraId="4FD960B0" w14:textId="77777777" w:rsidR="00EA0A65" w:rsidRDefault="00EA0A65">
      <w:pPr>
        <w:pBdr>
          <w:top w:val="nil"/>
          <w:left w:val="nil"/>
          <w:bottom w:val="nil"/>
          <w:right w:val="nil"/>
          <w:between w:val="nil"/>
        </w:pBdr>
        <w:ind w:left="-284" w:right="-336"/>
        <w:jc w:val="both"/>
        <w:rPr>
          <w:rFonts w:ascii="Arial Narrow" w:eastAsia="Arial Narrow" w:hAnsi="Arial Narrow" w:cs="Arial Narrow"/>
          <w:b/>
          <w:color w:val="000000"/>
          <w:sz w:val="20"/>
          <w:szCs w:val="20"/>
        </w:rPr>
      </w:pPr>
    </w:p>
    <w:p w14:paraId="615F0ED6"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Siendo un programa multirregional y con acciones en cada una de ellas, se propone dos niveles de gobernanza y de organización del trabajo: i) del programa o plataforma común en forma integral y ii) de operación a nivel de cada jurisdicción. Asimismo, se identifica también dos niveles de involucramiento: i) </w:t>
      </w:r>
      <w:r>
        <w:rPr>
          <w:rFonts w:ascii="Arial Narrow" w:eastAsia="Arial Narrow" w:hAnsi="Arial Narrow" w:cs="Arial Narrow"/>
          <w:color w:val="000000"/>
          <w:sz w:val="20"/>
          <w:szCs w:val="20"/>
          <w:u w:val="single"/>
        </w:rPr>
        <w:t>Grupo núcleo</w:t>
      </w:r>
      <w:r>
        <w:rPr>
          <w:rFonts w:ascii="Arial Narrow" w:eastAsia="Arial Narrow" w:hAnsi="Arial Narrow" w:cs="Arial Narrow"/>
          <w:color w:val="000000"/>
          <w:sz w:val="20"/>
          <w:szCs w:val="20"/>
        </w:rPr>
        <w:t xml:space="preserve">, constituido por las ONG socias en la implementación del Programa (responsables de procesos, productos o actividades, con presupuesto del proyecto asignado para ello), incluyendo a la parte responsable (EII) y al coordinador nacional de CGF-TF (MDA), que puede ser ampliado a otras entidades, sin costo; y ii) </w:t>
      </w:r>
      <w:r>
        <w:rPr>
          <w:rFonts w:ascii="Arial Narrow" w:eastAsia="Arial Narrow" w:hAnsi="Arial Narrow" w:cs="Arial Narrow"/>
          <w:color w:val="000000"/>
          <w:sz w:val="20"/>
          <w:szCs w:val="20"/>
          <w:u w:val="single"/>
        </w:rPr>
        <w:t>participantes en los procesos</w:t>
      </w:r>
      <w:r>
        <w:rPr>
          <w:rFonts w:ascii="Arial Narrow" w:eastAsia="Arial Narrow" w:hAnsi="Arial Narrow" w:cs="Arial Narrow"/>
          <w:color w:val="000000"/>
          <w:sz w:val="20"/>
          <w:szCs w:val="20"/>
        </w:rPr>
        <w:t xml:space="preserve"> (invitados -con o sin costos de participación cubiertos- a reuniones y talleres; o aportantes en la consulta de productos). </w:t>
      </w:r>
    </w:p>
    <w:p w14:paraId="16C90BD9"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highlight w:val="yellow"/>
        </w:rPr>
      </w:pPr>
    </w:p>
    <w:p w14:paraId="39D85115" w14:textId="77777777" w:rsidR="00EA0A65" w:rsidRDefault="002959E9">
      <w:pPr>
        <w:numPr>
          <w:ilvl w:val="0"/>
          <w:numId w:val="8"/>
        </w:numPr>
        <w:pBdr>
          <w:top w:val="nil"/>
          <w:left w:val="nil"/>
          <w:bottom w:val="nil"/>
          <w:right w:val="nil"/>
          <w:between w:val="nil"/>
        </w:pBdr>
        <w:ind w:left="-284" w:right="-336" w:firstLine="0"/>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A Nivel de Programa </w:t>
      </w:r>
    </w:p>
    <w:p w14:paraId="3AAB76E2" w14:textId="77777777" w:rsidR="00EA0A65" w:rsidRDefault="002959E9">
      <w:pPr>
        <w:numPr>
          <w:ilvl w:val="0"/>
          <w:numId w:val="4"/>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color w:val="000000"/>
          <w:sz w:val="20"/>
          <w:szCs w:val="20"/>
          <w:u w:val="single"/>
        </w:rPr>
        <w:t>Comité de Seguimiento</w:t>
      </w:r>
      <w:r>
        <w:rPr>
          <w:rFonts w:ascii="Arial Narrow" w:eastAsia="Arial Narrow" w:hAnsi="Arial Narrow" w:cs="Arial Narrow"/>
          <w:color w:val="000000"/>
          <w:sz w:val="20"/>
          <w:szCs w:val="20"/>
        </w:rPr>
        <w:t>: Representante de cada Gobierno Regional (7), MINAM (DGCCD), MINAGRI (DGAAA, DGPA), SERFOR, SERNANP, CEPLAN, PCM,  Parte Responsable (representando al Grupo técnico), Gerente de Proyecto PNUD/Noruega.</w:t>
      </w:r>
    </w:p>
    <w:p w14:paraId="5EFC974A"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Secretariado: Coordinador Nacional de GCF-TF.</w:t>
      </w:r>
    </w:p>
    <w:p w14:paraId="1B44CDE6"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Convoca:  Gobiernos Regionales a través de la Coordinación Nacional de GCF-TF</w:t>
      </w:r>
    </w:p>
    <w:p w14:paraId="399BA621"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Función: Seguimiento al desarrollo del programa, articulación entre regiones y con autoridades nacionales. Orientación técnica y política al proceso. Asegurar consistencia con instrumentos nacionales, con los del GCF Task Force y con los del donante.</w:t>
      </w:r>
    </w:p>
    <w:p w14:paraId="234114F6" w14:textId="77777777" w:rsidR="00EA0A65" w:rsidRDefault="00EA0A65">
      <w:pPr>
        <w:pBdr>
          <w:top w:val="nil"/>
          <w:left w:val="nil"/>
          <w:bottom w:val="nil"/>
          <w:right w:val="nil"/>
          <w:between w:val="nil"/>
        </w:pBdr>
        <w:ind w:left="-284" w:right="-336" w:hanging="284"/>
        <w:jc w:val="both"/>
        <w:rPr>
          <w:rFonts w:ascii="Arial Narrow" w:eastAsia="Arial Narrow" w:hAnsi="Arial Narrow" w:cs="Arial Narrow"/>
          <w:color w:val="000000"/>
          <w:sz w:val="20"/>
          <w:szCs w:val="20"/>
        </w:rPr>
      </w:pPr>
    </w:p>
    <w:p w14:paraId="12CDD419" w14:textId="77777777" w:rsidR="00EA0A65" w:rsidRDefault="002959E9">
      <w:pPr>
        <w:numPr>
          <w:ilvl w:val="0"/>
          <w:numId w:val="4"/>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color w:val="000000"/>
          <w:sz w:val="20"/>
          <w:szCs w:val="20"/>
          <w:u w:val="single"/>
        </w:rPr>
        <w:t>Comité Técnico</w:t>
      </w:r>
      <w:r>
        <w:rPr>
          <w:rFonts w:ascii="Arial Narrow" w:eastAsia="Arial Narrow" w:hAnsi="Arial Narrow" w:cs="Arial Narrow"/>
          <w:color w:val="000000"/>
          <w:sz w:val="20"/>
          <w:szCs w:val="20"/>
        </w:rPr>
        <w:t xml:space="preserve">: integrado por un representante de cada organización integrante del Grupo núcleo, considerando todas las regiones. </w:t>
      </w:r>
    </w:p>
    <w:p w14:paraId="7D4E756E"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Convoca y coordina: Parte Responsable</w:t>
      </w:r>
    </w:p>
    <w:p w14:paraId="45FBFF90"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Función: coordinar el trabajo de las organizaciones socias y del equipo del proyecto. Realizar aportes a la metodología y a los elementos técnicos de los procesos y productos. Debido a la ubicación geográfica distante, se podrá trabajar empleando videoconferencias o similares. </w:t>
      </w:r>
    </w:p>
    <w:p w14:paraId="6F8801DD" w14:textId="77777777" w:rsidR="00EA0A65" w:rsidRDefault="00EA0A65">
      <w:pPr>
        <w:pBdr>
          <w:top w:val="nil"/>
          <w:left w:val="nil"/>
          <w:bottom w:val="nil"/>
          <w:right w:val="nil"/>
          <w:between w:val="nil"/>
        </w:pBdr>
        <w:ind w:left="-284" w:right="-336" w:hanging="284"/>
        <w:jc w:val="both"/>
        <w:rPr>
          <w:rFonts w:ascii="Arial Narrow" w:eastAsia="Arial Narrow" w:hAnsi="Arial Narrow" w:cs="Arial Narrow"/>
          <w:color w:val="000000"/>
          <w:sz w:val="20"/>
          <w:szCs w:val="20"/>
        </w:rPr>
      </w:pPr>
    </w:p>
    <w:p w14:paraId="4FBC7139" w14:textId="77777777" w:rsidR="00EA0A65" w:rsidRDefault="002959E9">
      <w:pPr>
        <w:numPr>
          <w:ilvl w:val="0"/>
          <w:numId w:val="4"/>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color w:val="000000"/>
          <w:sz w:val="20"/>
          <w:szCs w:val="20"/>
          <w:u w:val="single"/>
        </w:rPr>
        <w:t>Coordinación Central:</w:t>
      </w:r>
      <w:r>
        <w:rPr>
          <w:rFonts w:ascii="Arial Narrow" w:eastAsia="Arial Narrow" w:hAnsi="Arial Narrow" w:cs="Arial Narrow"/>
          <w:color w:val="000000"/>
          <w:sz w:val="20"/>
          <w:szCs w:val="20"/>
        </w:rPr>
        <w:t xml:space="preserve"> Parte Responsable</w:t>
      </w:r>
    </w:p>
    <w:p w14:paraId="0B506DF4"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Tiene a su cargo la conducción técnica y administrativa de los proyectos, siendo responsable ante el Fondo y los gobiernos regionales. Organiza y supervisa el trabajo general del Programa, incluyendo el apoyo al, y supervisión del, coordinador regional en cada una las regiones.  Sus funciones incluyen gerenciar y compartir conocimientos entre los socios para promover sinergias y eficiencia para el logro de los objetivos propuestos; y, facilitar y organizar el funcionamiento de mecanismos de coordinación para garantizar la coherencia de las actividades regionales y los objetivos propuestos.</w:t>
      </w:r>
    </w:p>
    <w:p w14:paraId="2796DFBE"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6212350B"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Coordina el </w:t>
      </w:r>
      <w:r>
        <w:rPr>
          <w:rFonts w:ascii="Arial Narrow" w:eastAsia="Arial Narrow" w:hAnsi="Arial Narrow" w:cs="Arial Narrow"/>
          <w:color w:val="000000"/>
          <w:sz w:val="20"/>
          <w:szCs w:val="20"/>
          <w:u w:val="single"/>
        </w:rPr>
        <w:t>Equipo Técnico  de Apoyo</w:t>
      </w:r>
      <w:r>
        <w:rPr>
          <w:rFonts w:ascii="Arial Narrow" w:eastAsia="Arial Narrow" w:hAnsi="Arial Narrow" w:cs="Arial Narrow"/>
          <w:color w:val="000000"/>
          <w:sz w:val="20"/>
          <w:szCs w:val="20"/>
        </w:rPr>
        <w:t xml:space="preserve"> (ETA): personal clave de ONG socias o contratado por el Programa (prorrateado entre los proyectos). No es una instancia de decisión, puede llevar temas a que sean vistos por el Comité Técnico.  Brinda asistencia técnica a los procesos en las regiones participantes, asegura el cumplimiento de metodología y la aplicación adecuada del marco conceptual. Facilita la colaboración entre equipos de las regiones. Apoya a los coordinadores regionales y en la facilitación.</w:t>
      </w:r>
    </w:p>
    <w:p w14:paraId="6F89C999"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Realiza el seguimiento a la operaciones del Programa y de cada proceso regional. Sistematiza la experiencia, facilita intercambio y retroalimentación entre los equipos de trabajo. Asegura plena transparencia del proceso.</w:t>
      </w:r>
    </w:p>
    <w:p w14:paraId="1407F449" w14:textId="77777777" w:rsidR="00EA0A65" w:rsidRDefault="00EA0A65">
      <w:pPr>
        <w:pBdr>
          <w:top w:val="nil"/>
          <w:left w:val="nil"/>
          <w:bottom w:val="nil"/>
          <w:right w:val="nil"/>
          <w:between w:val="nil"/>
        </w:pBdr>
        <w:ind w:left="-284" w:right="-336" w:hanging="284"/>
        <w:jc w:val="both"/>
        <w:rPr>
          <w:rFonts w:ascii="Arial Narrow" w:eastAsia="Arial Narrow" w:hAnsi="Arial Narrow" w:cs="Arial Narrow"/>
          <w:color w:val="000000"/>
          <w:sz w:val="20"/>
          <w:szCs w:val="20"/>
        </w:rPr>
      </w:pPr>
    </w:p>
    <w:p w14:paraId="1033582F" w14:textId="77777777" w:rsidR="00EA0A65" w:rsidRDefault="002959E9">
      <w:pPr>
        <w:numPr>
          <w:ilvl w:val="0"/>
          <w:numId w:val="8"/>
        </w:numPr>
        <w:pBdr>
          <w:top w:val="nil"/>
          <w:left w:val="nil"/>
          <w:bottom w:val="nil"/>
          <w:right w:val="nil"/>
          <w:between w:val="nil"/>
        </w:pBdr>
        <w:ind w:left="-284" w:right="-336" w:firstLine="0"/>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A Nivel de Proyecto en cada Región</w:t>
      </w:r>
    </w:p>
    <w:p w14:paraId="1CCAB760" w14:textId="77777777" w:rsidR="00EA0A65" w:rsidRDefault="002959E9">
      <w:pPr>
        <w:numPr>
          <w:ilvl w:val="0"/>
          <w:numId w:val="4"/>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color w:val="000000"/>
          <w:sz w:val="20"/>
          <w:szCs w:val="20"/>
          <w:u w:val="single"/>
        </w:rPr>
        <w:t>Grupo Técnico</w:t>
      </w:r>
      <w:r>
        <w:rPr>
          <w:rFonts w:ascii="Arial Narrow" w:eastAsia="Arial Narrow" w:hAnsi="Arial Narrow" w:cs="Arial Narrow"/>
          <w:color w:val="000000"/>
          <w:sz w:val="20"/>
          <w:szCs w:val="20"/>
        </w:rPr>
        <w:t>: integrado por los funcionarios regionales y especialistas de ONG y personal del proyecto, según defina cada gobierno regional.</w:t>
      </w:r>
    </w:p>
    <w:p w14:paraId="27E9AF79"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Función: responsable del trabajo de elaboración de la hoja de ruta y plan financiero, con apoyo de equipo técnico del programa /proyecto. </w:t>
      </w:r>
    </w:p>
    <w:p w14:paraId="4AFD8761"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7B3F6695" w14:textId="77777777" w:rsidR="00EA0A65" w:rsidRDefault="002959E9">
      <w:pPr>
        <w:numPr>
          <w:ilvl w:val="0"/>
          <w:numId w:val="4"/>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color w:val="000000"/>
          <w:sz w:val="20"/>
          <w:szCs w:val="20"/>
          <w:u w:val="single"/>
        </w:rPr>
        <w:t>Coordinador Regional</w:t>
      </w:r>
      <w:r>
        <w:rPr>
          <w:rFonts w:ascii="Arial Narrow" w:eastAsia="Arial Narrow" w:hAnsi="Arial Narrow" w:cs="Arial Narrow"/>
          <w:color w:val="000000"/>
          <w:sz w:val="20"/>
          <w:szCs w:val="20"/>
        </w:rPr>
        <w:t xml:space="preserve">: profesional aportado por el programa (puede pertenecer o no a alguna ONG socia del Programa). </w:t>
      </w:r>
    </w:p>
    <w:p w14:paraId="4A4F53DF"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Función: responsable de coordinar el apoyo técnico, metodológico y logístico que requiera el Gobierno Regional para el proceso.</w:t>
      </w:r>
    </w:p>
    <w:p w14:paraId="605161A9"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2D1C6D75" w14:textId="77777777" w:rsidR="00EA0A65" w:rsidRDefault="002959E9">
      <w:pPr>
        <w:numPr>
          <w:ilvl w:val="0"/>
          <w:numId w:val="4"/>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color w:val="000000"/>
          <w:sz w:val="20"/>
          <w:szCs w:val="20"/>
          <w:u w:val="single"/>
        </w:rPr>
        <w:t>Espacio de Coordinación y Concertación Regional:</w:t>
      </w:r>
      <w:r>
        <w:rPr>
          <w:rFonts w:ascii="Arial Narrow" w:eastAsia="Arial Narrow" w:hAnsi="Arial Narrow" w:cs="Arial Narrow"/>
          <w:color w:val="000000"/>
          <w:sz w:val="20"/>
          <w:szCs w:val="20"/>
        </w:rPr>
        <w:t xml:space="preserve"> definido por cada GR. Puede ser en el marco de la CAR u otro espacio de diálogo que permita la participación de diversos actores interesados, incluyendo sectores productivos, pueblos indígenas, gremios, gobiernos locales, ONG, academia, etc.</w:t>
      </w:r>
    </w:p>
    <w:p w14:paraId="369FEBE9"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Función: constituir el principal espacio de participación y apropiación de la propuesta por los actores de la región. </w:t>
      </w:r>
    </w:p>
    <w:p w14:paraId="302A0B48"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57FFA77D" w14:textId="77777777" w:rsidR="00EA0A65" w:rsidRDefault="002959E9">
      <w:pPr>
        <w:pBdr>
          <w:top w:val="nil"/>
          <w:left w:val="nil"/>
          <w:bottom w:val="nil"/>
          <w:right w:val="nil"/>
          <w:between w:val="nil"/>
        </w:pBdr>
        <w:ind w:left="-284" w:right="-336"/>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Adicionalmente se podrá contar, según sea necesario, con el apoyo de expertos internacionales, miembros del equipo global de EII y otras entidades, que puedan realizar aportes de alta calidad a los procesos regionales. Papel en orientación estratégica, sistematización y fortalecimiento de capacidades en el ámbito nacional o regional, según sea requerido.</w:t>
      </w:r>
    </w:p>
    <w:p w14:paraId="05C95A8E"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18A39B88"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57926EBF"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27AF7406" w14:textId="77777777" w:rsidR="00EA0A65" w:rsidRDefault="002959E9">
      <w:pPr>
        <w:pBdr>
          <w:top w:val="nil"/>
          <w:left w:val="nil"/>
          <w:bottom w:val="nil"/>
          <w:right w:val="nil"/>
          <w:between w:val="nil"/>
        </w:pBdr>
        <w:ind w:left="-284"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Figura 1: Esquema de organización y gobernanza</w:t>
      </w:r>
    </w:p>
    <w:p w14:paraId="1102CD78" w14:textId="77777777" w:rsidR="00EA0A65" w:rsidRDefault="002959E9">
      <w:pPr>
        <w:pBdr>
          <w:top w:val="nil"/>
          <w:left w:val="nil"/>
          <w:bottom w:val="nil"/>
          <w:right w:val="nil"/>
          <w:between w:val="nil"/>
        </w:pBdr>
        <w:ind w:left="-284" w:right="-336"/>
        <w:jc w:val="center"/>
        <w:rPr>
          <w:rFonts w:ascii="Arial Narrow" w:eastAsia="Arial Narrow" w:hAnsi="Arial Narrow" w:cs="Arial Narrow"/>
          <w:color w:val="000000"/>
          <w:sz w:val="20"/>
          <w:szCs w:val="20"/>
        </w:rPr>
      </w:pPr>
      <w:r>
        <w:rPr>
          <w:rFonts w:ascii="Arial Narrow" w:eastAsia="Arial Narrow" w:hAnsi="Arial Narrow" w:cs="Arial Narrow"/>
          <w:noProof/>
          <w:color w:val="000000"/>
          <w:sz w:val="20"/>
          <w:szCs w:val="20"/>
          <w:lang w:val="es-ES_tradnl" w:eastAsia="es-ES_tradnl"/>
        </w:rPr>
        <w:drawing>
          <wp:inline distT="0" distB="0" distL="0" distR="0" wp14:anchorId="3B1EB623" wp14:editId="243E2FAA">
            <wp:extent cx="5639637" cy="3174219"/>
            <wp:effectExtent l="19050" t="19050" r="19050" b="1905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639637" cy="3174219"/>
                    </a:xfrm>
                    <a:prstGeom prst="rect">
                      <a:avLst/>
                    </a:prstGeom>
                    <a:ln w="19050">
                      <a:solidFill>
                        <a:srgbClr val="000000"/>
                      </a:solidFill>
                      <a:prstDash val="solid"/>
                    </a:ln>
                  </pic:spPr>
                </pic:pic>
              </a:graphicData>
            </a:graphic>
          </wp:inline>
        </w:drawing>
      </w:r>
    </w:p>
    <w:p w14:paraId="33912C6B"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6361C4B5" w14:textId="77777777" w:rsidR="00EA0A65" w:rsidRDefault="00EA0A65">
      <w:pPr>
        <w:pBdr>
          <w:top w:val="nil"/>
          <w:left w:val="nil"/>
          <w:bottom w:val="nil"/>
          <w:right w:val="nil"/>
          <w:between w:val="nil"/>
        </w:pBdr>
        <w:ind w:left="-284" w:right="-336"/>
        <w:jc w:val="both"/>
        <w:rPr>
          <w:rFonts w:ascii="Arial Narrow" w:eastAsia="Arial Narrow" w:hAnsi="Arial Narrow" w:cs="Arial Narrow"/>
          <w:b/>
          <w:color w:val="000000"/>
          <w:sz w:val="20"/>
          <w:szCs w:val="20"/>
        </w:rPr>
      </w:pPr>
    </w:p>
    <w:p w14:paraId="38C44AAA" w14:textId="77777777" w:rsidR="00EA0A65" w:rsidRDefault="002959E9">
      <w:pPr>
        <w:pBdr>
          <w:top w:val="nil"/>
          <w:left w:val="nil"/>
          <w:bottom w:val="nil"/>
          <w:right w:val="nil"/>
          <w:between w:val="nil"/>
        </w:pBdr>
        <w:ind w:left="-284" w:right="-336"/>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Principios de Colaboración de EII </w:t>
      </w:r>
    </w:p>
    <w:p w14:paraId="5D713FB6" w14:textId="77777777" w:rsidR="00EA0A65" w:rsidRDefault="00EA0A65">
      <w:pPr>
        <w:pBdr>
          <w:top w:val="nil"/>
          <w:left w:val="nil"/>
          <w:bottom w:val="nil"/>
          <w:right w:val="nil"/>
          <w:between w:val="nil"/>
        </w:pBdr>
        <w:ind w:left="-284" w:right="-336"/>
        <w:jc w:val="both"/>
        <w:rPr>
          <w:rFonts w:ascii="Arial Narrow" w:eastAsia="Arial Narrow" w:hAnsi="Arial Narrow" w:cs="Arial Narrow"/>
          <w:color w:val="000000"/>
          <w:sz w:val="20"/>
          <w:szCs w:val="20"/>
        </w:rPr>
      </w:pPr>
    </w:p>
    <w:p w14:paraId="5CA60ECB" w14:textId="77777777" w:rsidR="00EA0A65" w:rsidRDefault="002959E9">
      <w:pPr>
        <w:numPr>
          <w:ilvl w:val="0"/>
          <w:numId w:val="4"/>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color w:val="000000"/>
          <w:sz w:val="20"/>
          <w:szCs w:val="20"/>
        </w:rPr>
        <w:t xml:space="preserve">Transparencia en los aspectos presupuestales, contabilidad de costos, información del progreso respecto a resultados y productos. </w:t>
      </w:r>
    </w:p>
    <w:p w14:paraId="69926E3D" w14:textId="77777777" w:rsidR="00EA0A65" w:rsidRDefault="002959E9">
      <w:pPr>
        <w:numPr>
          <w:ilvl w:val="0"/>
          <w:numId w:val="4"/>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color w:val="000000"/>
          <w:sz w:val="20"/>
          <w:szCs w:val="20"/>
        </w:rPr>
        <w:t>Eficiencia en la ejecución y gestión del contrato, minimizando burocracia y manteniendo bajos costos administrativos e institucionales</w:t>
      </w:r>
      <w:r>
        <w:rPr>
          <w:rFonts w:ascii="Arial Narrow" w:eastAsia="Arial Narrow" w:hAnsi="Arial Narrow" w:cs="Arial Narrow"/>
          <w:color w:val="000000"/>
          <w:sz w:val="20"/>
          <w:szCs w:val="20"/>
          <w:vertAlign w:val="superscript"/>
        </w:rPr>
        <w:footnoteReference w:id="27"/>
      </w:r>
      <w:r>
        <w:rPr>
          <w:rFonts w:ascii="Arial Narrow" w:eastAsia="Arial Narrow" w:hAnsi="Arial Narrow" w:cs="Arial Narrow"/>
          <w:color w:val="000000"/>
          <w:sz w:val="20"/>
          <w:szCs w:val="20"/>
        </w:rPr>
        <w:t xml:space="preserve">.  </w:t>
      </w:r>
    </w:p>
    <w:p w14:paraId="319C1AF7" w14:textId="77777777" w:rsidR="00EA0A65" w:rsidRDefault="002959E9">
      <w:pPr>
        <w:numPr>
          <w:ilvl w:val="0"/>
          <w:numId w:val="4"/>
        </w:numPr>
        <w:pBdr>
          <w:top w:val="nil"/>
          <w:left w:val="nil"/>
          <w:bottom w:val="nil"/>
          <w:right w:val="nil"/>
          <w:between w:val="nil"/>
        </w:pBdr>
        <w:ind w:left="-284" w:right="-336" w:firstLine="0"/>
        <w:jc w:val="both"/>
        <w:rPr>
          <w:color w:val="000000"/>
          <w:sz w:val="20"/>
          <w:szCs w:val="20"/>
        </w:rPr>
      </w:pPr>
      <w:r>
        <w:rPr>
          <w:rFonts w:ascii="Arial Narrow" w:eastAsia="Arial Narrow" w:hAnsi="Arial Narrow" w:cs="Arial Narrow"/>
          <w:color w:val="000000"/>
          <w:sz w:val="20"/>
          <w:szCs w:val="20"/>
        </w:rPr>
        <w:t xml:space="preserve">Relación basada en la confianza y la buena fe.  </w:t>
      </w:r>
    </w:p>
    <w:p w14:paraId="4CC3326C" w14:textId="77777777" w:rsidR="00EA0A65" w:rsidRDefault="002959E9">
      <w:pPr>
        <w:numPr>
          <w:ilvl w:val="0"/>
          <w:numId w:val="4"/>
        </w:numPr>
        <w:pBdr>
          <w:top w:val="nil"/>
          <w:left w:val="nil"/>
          <w:bottom w:val="nil"/>
          <w:right w:val="nil"/>
          <w:between w:val="nil"/>
        </w:pBdr>
        <w:ind w:left="-284" w:right="-336" w:firstLine="0"/>
        <w:jc w:val="both"/>
        <w:rPr>
          <w:b/>
          <w:color w:val="000000"/>
          <w:sz w:val="20"/>
          <w:szCs w:val="20"/>
        </w:rPr>
      </w:pPr>
      <w:r>
        <w:rPr>
          <w:rFonts w:ascii="Arial Narrow" w:eastAsia="Arial Narrow" w:hAnsi="Arial Narrow" w:cs="Arial Narrow"/>
          <w:color w:val="000000"/>
          <w:sz w:val="20"/>
          <w:szCs w:val="20"/>
        </w:rPr>
        <w:t xml:space="preserve">Excelencia en gestión administrativa y financiera. </w:t>
      </w:r>
    </w:p>
    <w:p w14:paraId="77723804" w14:textId="77777777" w:rsidR="00EA0A65" w:rsidRDefault="00EA0A65">
      <w:pPr>
        <w:widowControl w:val="0"/>
        <w:ind w:left="-284" w:right="-336"/>
        <w:jc w:val="both"/>
        <w:rPr>
          <w:rFonts w:ascii="Arial Narrow" w:eastAsia="Arial Narrow" w:hAnsi="Arial Narrow" w:cs="Arial Narrow"/>
          <w:b/>
          <w:sz w:val="20"/>
          <w:szCs w:val="20"/>
        </w:rPr>
      </w:pPr>
    </w:p>
    <w:p w14:paraId="73DBE909" w14:textId="77777777" w:rsidR="00EA0A65" w:rsidRDefault="00EA0A65">
      <w:pPr>
        <w:widowControl w:val="0"/>
        <w:ind w:left="-284" w:right="-336"/>
        <w:jc w:val="both"/>
        <w:rPr>
          <w:rFonts w:ascii="Arial Narrow" w:eastAsia="Arial Narrow" w:hAnsi="Arial Narrow" w:cs="Arial Narrow"/>
          <w:b/>
          <w:sz w:val="20"/>
          <w:szCs w:val="20"/>
        </w:rPr>
      </w:pPr>
    </w:p>
    <w:p w14:paraId="5687FA93" w14:textId="77777777" w:rsidR="00EA0A65" w:rsidRDefault="00EA0A65">
      <w:pPr>
        <w:widowControl w:val="0"/>
        <w:ind w:left="-284" w:right="-336"/>
        <w:jc w:val="both"/>
        <w:rPr>
          <w:rFonts w:ascii="Arial Narrow" w:eastAsia="Arial Narrow" w:hAnsi="Arial Narrow" w:cs="Arial Narrow"/>
          <w:b/>
          <w:sz w:val="20"/>
          <w:szCs w:val="20"/>
        </w:rPr>
      </w:pPr>
    </w:p>
    <w:p w14:paraId="39A4C06E" w14:textId="77777777" w:rsidR="00EA0A65" w:rsidRDefault="00EA0A65">
      <w:pPr>
        <w:widowControl w:val="0"/>
        <w:ind w:left="-284" w:right="-336"/>
        <w:jc w:val="both"/>
        <w:rPr>
          <w:rFonts w:ascii="Arial Narrow" w:eastAsia="Arial Narrow" w:hAnsi="Arial Narrow" w:cs="Arial Narrow"/>
          <w:b/>
          <w:sz w:val="20"/>
          <w:szCs w:val="20"/>
        </w:rPr>
      </w:pPr>
    </w:p>
    <w:p w14:paraId="00770C70" w14:textId="77777777" w:rsidR="00EA0A65" w:rsidRDefault="00EA0A65">
      <w:pPr>
        <w:widowControl w:val="0"/>
        <w:ind w:left="-284" w:right="-336"/>
        <w:jc w:val="both"/>
        <w:rPr>
          <w:rFonts w:ascii="Arial Narrow" w:eastAsia="Arial Narrow" w:hAnsi="Arial Narrow" w:cs="Arial Narrow"/>
          <w:b/>
          <w:sz w:val="20"/>
          <w:szCs w:val="20"/>
        </w:rPr>
      </w:pPr>
    </w:p>
    <w:p w14:paraId="7224DB4F" w14:textId="77777777" w:rsidR="00EA0A65" w:rsidRDefault="00EA0A65">
      <w:pPr>
        <w:widowControl w:val="0"/>
        <w:ind w:left="-284" w:right="-336"/>
        <w:jc w:val="both"/>
        <w:rPr>
          <w:rFonts w:ascii="Arial Narrow" w:eastAsia="Arial Narrow" w:hAnsi="Arial Narrow" w:cs="Arial Narrow"/>
          <w:b/>
          <w:sz w:val="20"/>
          <w:szCs w:val="20"/>
        </w:rPr>
      </w:pPr>
    </w:p>
    <w:p w14:paraId="0AFE4F81" w14:textId="77777777" w:rsidR="00EA0A65" w:rsidRDefault="00EA0A65">
      <w:pPr>
        <w:widowControl w:val="0"/>
        <w:jc w:val="both"/>
        <w:rPr>
          <w:rFonts w:ascii="Arial Narrow" w:eastAsia="Arial Narrow" w:hAnsi="Arial Narrow" w:cs="Arial Narrow"/>
          <w:sz w:val="20"/>
          <w:szCs w:val="20"/>
        </w:rPr>
      </w:pPr>
    </w:p>
    <w:p w14:paraId="593CB2CC" w14:textId="77777777" w:rsidR="00EA0A65" w:rsidRDefault="00EA0A65">
      <w:pPr>
        <w:widowControl w:val="0"/>
        <w:jc w:val="both"/>
        <w:rPr>
          <w:rFonts w:ascii="Arial Narrow" w:eastAsia="Arial Narrow" w:hAnsi="Arial Narrow" w:cs="Arial Narrow"/>
          <w:sz w:val="20"/>
          <w:szCs w:val="20"/>
        </w:rPr>
      </w:pPr>
    </w:p>
    <w:p w14:paraId="08A41906" w14:textId="77777777" w:rsidR="00EA0A65" w:rsidRDefault="00EA0A65">
      <w:pPr>
        <w:widowControl w:val="0"/>
        <w:jc w:val="both"/>
        <w:rPr>
          <w:rFonts w:ascii="Arial Narrow" w:eastAsia="Arial Narrow" w:hAnsi="Arial Narrow" w:cs="Arial Narrow"/>
          <w:sz w:val="20"/>
          <w:szCs w:val="20"/>
        </w:rPr>
      </w:pPr>
    </w:p>
    <w:p w14:paraId="1A60B7A6" w14:textId="77777777" w:rsidR="00EA0A65" w:rsidRDefault="00EA0A65">
      <w:pPr>
        <w:widowControl w:val="0"/>
        <w:jc w:val="both"/>
        <w:rPr>
          <w:rFonts w:ascii="Arial Narrow" w:eastAsia="Arial Narrow" w:hAnsi="Arial Narrow" w:cs="Arial Narrow"/>
          <w:sz w:val="20"/>
          <w:szCs w:val="20"/>
        </w:rPr>
      </w:pPr>
    </w:p>
    <w:p w14:paraId="0B722530" w14:textId="77777777" w:rsidR="00EA0A65" w:rsidRDefault="00EA0A65">
      <w:pPr>
        <w:widowControl w:val="0"/>
        <w:jc w:val="both"/>
        <w:rPr>
          <w:rFonts w:ascii="Arial Narrow" w:eastAsia="Arial Narrow" w:hAnsi="Arial Narrow" w:cs="Arial Narrow"/>
          <w:sz w:val="20"/>
          <w:szCs w:val="20"/>
        </w:rPr>
      </w:pPr>
    </w:p>
    <w:p w14:paraId="350959A9" w14:textId="77777777" w:rsidR="00EA0A65" w:rsidRDefault="00EA0A65">
      <w:pPr>
        <w:widowControl w:val="0"/>
        <w:jc w:val="both"/>
        <w:rPr>
          <w:rFonts w:ascii="Arial Narrow" w:eastAsia="Arial Narrow" w:hAnsi="Arial Narrow" w:cs="Arial Narrow"/>
          <w:sz w:val="20"/>
          <w:szCs w:val="20"/>
        </w:rPr>
      </w:pPr>
    </w:p>
    <w:p w14:paraId="42C17D37" w14:textId="77777777" w:rsidR="00EA0A65" w:rsidRDefault="00EA0A65">
      <w:pPr>
        <w:widowControl w:val="0"/>
        <w:jc w:val="both"/>
        <w:rPr>
          <w:rFonts w:ascii="Arial Narrow" w:eastAsia="Arial Narrow" w:hAnsi="Arial Narrow" w:cs="Arial Narrow"/>
          <w:sz w:val="20"/>
          <w:szCs w:val="20"/>
        </w:rPr>
      </w:pPr>
    </w:p>
    <w:p w14:paraId="13ED7223" w14:textId="77777777" w:rsidR="00EA0A65" w:rsidRDefault="00EA0A65">
      <w:pPr>
        <w:widowControl w:val="0"/>
        <w:jc w:val="both"/>
        <w:rPr>
          <w:rFonts w:ascii="Arial Narrow" w:eastAsia="Arial Narrow" w:hAnsi="Arial Narrow" w:cs="Arial Narrow"/>
          <w:sz w:val="20"/>
          <w:szCs w:val="20"/>
        </w:rPr>
      </w:pPr>
    </w:p>
    <w:p w14:paraId="17406350" w14:textId="77777777" w:rsidR="00EA0A65" w:rsidRDefault="00EA0A65">
      <w:pPr>
        <w:widowControl w:val="0"/>
        <w:jc w:val="both"/>
        <w:rPr>
          <w:rFonts w:ascii="Arial Narrow" w:eastAsia="Arial Narrow" w:hAnsi="Arial Narrow" w:cs="Arial Narrow"/>
          <w:sz w:val="20"/>
          <w:szCs w:val="20"/>
        </w:rPr>
      </w:pPr>
    </w:p>
    <w:p w14:paraId="1C2EA930" w14:textId="77777777" w:rsidR="00EA0A65" w:rsidRDefault="002959E9">
      <w:pPr>
        <w:rPr>
          <w:rFonts w:ascii="Arial Narrow" w:eastAsia="Arial Narrow" w:hAnsi="Arial Narrow" w:cs="Arial Narrow"/>
          <w:b/>
          <w:sz w:val="20"/>
          <w:szCs w:val="20"/>
        </w:rPr>
      </w:pPr>
      <w:r>
        <w:br w:type="page"/>
      </w:r>
    </w:p>
    <w:p w14:paraId="451D67F6" w14:textId="77777777" w:rsidR="00EA0A65" w:rsidRDefault="002959E9">
      <w:pPr>
        <w:pBdr>
          <w:bottom w:val="single" w:sz="4" w:space="1" w:color="000000"/>
        </w:pBdr>
        <w:ind w:left="-567" w:right="-567"/>
        <w:rPr>
          <w:rFonts w:ascii="Arial Narrow" w:eastAsia="Arial Narrow" w:hAnsi="Arial Narrow" w:cs="Arial Narrow"/>
          <w:b/>
          <w:sz w:val="20"/>
          <w:szCs w:val="20"/>
        </w:rPr>
      </w:pPr>
      <w:r>
        <w:rPr>
          <w:rFonts w:ascii="Arial Narrow" w:eastAsia="Arial Narrow" w:hAnsi="Arial Narrow" w:cs="Arial Narrow"/>
          <w:b/>
          <w:sz w:val="20"/>
          <w:szCs w:val="20"/>
        </w:rPr>
        <w:lastRenderedPageBreak/>
        <w:t>ANEXO VI. Riesgos y medidas de contingencia del Proyecto</w:t>
      </w:r>
    </w:p>
    <w:tbl>
      <w:tblPr>
        <w:tblStyle w:val="a7"/>
        <w:tblW w:w="1005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501"/>
        <w:gridCol w:w="1102"/>
        <w:gridCol w:w="3484"/>
        <w:gridCol w:w="1410"/>
      </w:tblGrid>
      <w:tr w:rsidR="00EA0A65" w14:paraId="61D05E08" w14:textId="77777777">
        <w:tc>
          <w:tcPr>
            <w:tcW w:w="1560" w:type="dxa"/>
          </w:tcPr>
          <w:p w14:paraId="142A13D3" w14:textId="77777777" w:rsidR="00EA0A65" w:rsidRDefault="002959E9">
            <w:pPr>
              <w:jc w:val="center"/>
              <w:rPr>
                <w:rFonts w:ascii="Arial Narrow" w:eastAsia="Arial Narrow" w:hAnsi="Arial Narrow" w:cs="Arial Narrow"/>
                <w:b/>
                <w:sz w:val="18"/>
                <w:szCs w:val="18"/>
              </w:rPr>
            </w:pPr>
            <w:r>
              <w:rPr>
                <w:rFonts w:ascii="Arial Narrow" w:eastAsia="Arial Narrow" w:hAnsi="Arial Narrow" w:cs="Arial Narrow"/>
                <w:b/>
                <w:sz w:val="18"/>
                <w:szCs w:val="18"/>
              </w:rPr>
              <w:t>Riesgo</w:t>
            </w:r>
          </w:p>
        </w:tc>
        <w:tc>
          <w:tcPr>
            <w:tcW w:w="2501" w:type="dxa"/>
          </w:tcPr>
          <w:p w14:paraId="2D4735C2" w14:textId="77777777" w:rsidR="00EA0A65" w:rsidRDefault="002959E9">
            <w:pPr>
              <w:jc w:val="center"/>
              <w:rPr>
                <w:rFonts w:ascii="Arial Narrow" w:eastAsia="Arial Narrow" w:hAnsi="Arial Narrow" w:cs="Arial Narrow"/>
                <w:b/>
                <w:sz w:val="18"/>
                <w:szCs w:val="18"/>
              </w:rPr>
            </w:pPr>
            <w:r>
              <w:rPr>
                <w:rFonts w:ascii="Arial Narrow" w:eastAsia="Arial Narrow" w:hAnsi="Arial Narrow" w:cs="Arial Narrow"/>
                <w:b/>
                <w:sz w:val="18"/>
                <w:szCs w:val="18"/>
              </w:rPr>
              <w:t>Descripción</w:t>
            </w:r>
          </w:p>
        </w:tc>
        <w:tc>
          <w:tcPr>
            <w:tcW w:w="1102" w:type="dxa"/>
          </w:tcPr>
          <w:p w14:paraId="1FE61E7B" w14:textId="77777777" w:rsidR="00EA0A65" w:rsidRDefault="002959E9">
            <w:pPr>
              <w:jc w:val="center"/>
              <w:rPr>
                <w:rFonts w:ascii="Arial Narrow" w:eastAsia="Arial Narrow" w:hAnsi="Arial Narrow" w:cs="Arial Narrow"/>
                <w:b/>
                <w:sz w:val="18"/>
                <w:szCs w:val="18"/>
              </w:rPr>
            </w:pPr>
            <w:r>
              <w:rPr>
                <w:rFonts w:ascii="Arial Narrow" w:eastAsia="Arial Narrow" w:hAnsi="Arial Narrow" w:cs="Arial Narrow"/>
                <w:b/>
                <w:sz w:val="18"/>
                <w:szCs w:val="18"/>
              </w:rPr>
              <w:t>Impacto y probabilidad  ocurrencia</w:t>
            </w:r>
          </w:p>
        </w:tc>
        <w:tc>
          <w:tcPr>
            <w:tcW w:w="3484" w:type="dxa"/>
          </w:tcPr>
          <w:p w14:paraId="5A2C27B4" w14:textId="77777777" w:rsidR="00EA0A65" w:rsidRDefault="002959E9">
            <w:pPr>
              <w:jc w:val="center"/>
              <w:rPr>
                <w:rFonts w:ascii="Arial Narrow" w:eastAsia="Arial Narrow" w:hAnsi="Arial Narrow" w:cs="Arial Narrow"/>
                <w:b/>
                <w:sz w:val="18"/>
                <w:szCs w:val="18"/>
              </w:rPr>
            </w:pPr>
            <w:r>
              <w:rPr>
                <w:rFonts w:ascii="Arial Narrow" w:eastAsia="Arial Narrow" w:hAnsi="Arial Narrow" w:cs="Arial Narrow"/>
                <w:b/>
                <w:sz w:val="18"/>
                <w:szCs w:val="18"/>
              </w:rPr>
              <w:t>Medidas de contingencia</w:t>
            </w:r>
          </w:p>
        </w:tc>
        <w:tc>
          <w:tcPr>
            <w:tcW w:w="1410" w:type="dxa"/>
          </w:tcPr>
          <w:p w14:paraId="6AFC081E" w14:textId="77777777" w:rsidR="00EA0A65" w:rsidRDefault="002959E9">
            <w:pPr>
              <w:jc w:val="center"/>
              <w:rPr>
                <w:rFonts w:ascii="Arial Narrow" w:eastAsia="Arial Narrow" w:hAnsi="Arial Narrow" w:cs="Arial Narrow"/>
                <w:b/>
                <w:sz w:val="18"/>
                <w:szCs w:val="18"/>
              </w:rPr>
            </w:pPr>
            <w:r>
              <w:rPr>
                <w:rFonts w:ascii="Arial Narrow" w:eastAsia="Arial Narrow" w:hAnsi="Arial Narrow" w:cs="Arial Narrow"/>
                <w:b/>
                <w:sz w:val="18"/>
                <w:szCs w:val="18"/>
              </w:rPr>
              <w:t>Responsable</w:t>
            </w:r>
          </w:p>
        </w:tc>
      </w:tr>
      <w:tr w:rsidR="00EA0A65" w14:paraId="06C50FC2" w14:textId="77777777">
        <w:tc>
          <w:tcPr>
            <w:tcW w:w="1560" w:type="dxa"/>
          </w:tcPr>
          <w:p w14:paraId="11B451EB"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Cambio de autoridades políticas regionales por el proceso de elecciones en octubre del 2018 y pérdida de interés en la implementación del proyecto. </w:t>
            </w:r>
          </w:p>
        </w:tc>
        <w:tc>
          <w:tcPr>
            <w:tcW w:w="2501" w:type="dxa"/>
          </w:tcPr>
          <w:p w14:paraId="4DB76542"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En octubre del 2018 se realizarán elecciones de autoridades regionales y municipales (gobiernos regionales, municipios provinciales y distritales). Estos cambios implicarán nuevos responsables a nivel político (gobernador) y técnico (gerentes o especialistas) .</w:t>
            </w:r>
          </w:p>
        </w:tc>
        <w:tc>
          <w:tcPr>
            <w:tcW w:w="1102" w:type="dxa"/>
          </w:tcPr>
          <w:p w14:paraId="0FB47A5C"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Impacto: alto</w:t>
            </w:r>
          </w:p>
          <w:p w14:paraId="19C6C5AF"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Probabilidad: alta </w:t>
            </w:r>
          </w:p>
        </w:tc>
        <w:tc>
          <w:tcPr>
            <w:tcW w:w="3484" w:type="dxa"/>
          </w:tcPr>
          <w:p w14:paraId="799A8F21" w14:textId="77777777" w:rsidR="00EA0A65" w:rsidRDefault="002959E9">
            <w:pPr>
              <w:numPr>
                <w:ilvl w:val="0"/>
                <w:numId w:val="6"/>
              </w:numPr>
              <w:ind w:left="139" w:hanging="139"/>
              <w:contextualSpacing/>
              <w:rPr>
                <w:sz w:val="18"/>
                <w:szCs w:val="18"/>
              </w:rPr>
            </w:pPr>
            <w:r>
              <w:rPr>
                <w:rFonts w:ascii="Arial Narrow" w:eastAsia="Arial Narrow" w:hAnsi="Arial Narrow" w:cs="Arial Narrow"/>
                <w:sz w:val="18"/>
                <w:szCs w:val="18"/>
              </w:rPr>
              <w:t xml:space="preserve">Preparación de proceso de dialogo con candidatos a gobiernos regionales y compromiso en espacios como la desarrollada en Piura por la Mesa de Concertación de Lucha Contra la Pobreza. </w:t>
            </w:r>
          </w:p>
          <w:p w14:paraId="3971ECE9" w14:textId="77777777" w:rsidR="00EA0A65" w:rsidRDefault="002959E9">
            <w:pPr>
              <w:numPr>
                <w:ilvl w:val="0"/>
                <w:numId w:val="6"/>
              </w:numPr>
              <w:ind w:left="139" w:hanging="139"/>
              <w:contextualSpacing/>
              <w:rPr>
                <w:sz w:val="18"/>
                <w:szCs w:val="18"/>
              </w:rPr>
            </w:pPr>
            <w:r>
              <w:rPr>
                <w:rFonts w:ascii="Arial Narrow" w:eastAsia="Arial Narrow" w:hAnsi="Arial Narrow" w:cs="Arial Narrow"/>
                <w:sz w:val="18"/>
                <w:szCs w:val="18"/>
              </w:rPr>
              <w:t xml:space="preserve">Diseño de estrategia de comunicación para difundir beneficios de enfoque de desarrollo rural bajo en emisiones. </w:t>
            </w:r>
          </w:p>
          <w:p w14:paraId="629A6D4D" w14:textId="77777777" w:rsidR="00EA0A65" w:rsidRDefault="002959E9">
            <w:pPr>
              <w:numPr>
                <w:ilvl w:val="0"/>
                <w:numId w:val="6"/>
              </w:numPr>
              <w:ind w:left="139" w:hanging="139"/>
              <w:contextualSpacing/>
              <w:rPr>
                <w:sz w:val="18"/>
                <w:szCs w:val="18"/>
              </w:rPr>
            </w:pPr>
            <w:r>
              <w:rPr>
                <w:rFonts w:ascii="Arial Narrow" w:eastAsia="Arial Narrow" w:hAnsi="Arial Narrow" w:cs="Arial Narrow"/>
                <w:sz w:val="18"/>
                <w:szCs w:val="18"/>
              </w:rPr>
              <w:t>Consorcio conformado por varias organizaciones con presencia en Amazonas.</w:t>
            </w:r>
          </w:p>
          <w:p w14:paraId="596007D3" w14:textId="77777777" w:rsidR="00EA0A65" w:rsidRDefault="00EA0A65">
            <w:pPr>
              <w:numPr>
                <w:ilvl w:val="0"/>
                <w:numId w:val="6"/>
              </w:numPr>
              <w:ind w:left="139" w:hanging="139"/>
              <w:contextualSpacing/>
              <w:rPr>
                <w:sz w:val="18"/>
                <w:szCs w:val="18"/>
              </w:rPr>
            </w:pPr>
          </w:p>
        </w:tc>
        <w:tc>
          <w:tcPr>
            <w:tcW w:w="1410" w:type="dxa"/>
          </w:tcPr>
          <w:p w14:paraId="54191639"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Equipo técnico del proyecto </w:t>
            </w:r>
          </w:p>
          <w:p w14:paraId="61766A1D" w14:textId="77777777" w:rsidR="00EA0A65" w:rsidRDefault="00EA0A65">
            <w:pPr>
              <w:jc w:val="both"/>
              <w:rPr>
                <w:rFonts w:ascii="Arial Narrow" w:eastAsia="Arial Narrow" w:hAnsi="Arial Narrow" w:cs="Arial Narrow"/>
                <w:sz w:val="18"/>
                <w:szCs w:val="18"/>
              </w:rPr>
            </w:pPr>
          </w:p>
          <w:p w14:paraId="16D1B979"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EII /APECO /NCI/  /ICRAF</w:t>
            </w:r>
          </w:p>
        </w:tc>
      </w:tr>
      <w:tr w:rsidR="00EA0A65" w14:paraId="4B2D3758" w14:textId="77777777">
        <w:tc>
          <w:tcPr>
            <w:tcW w:w="1560" w:type="dxa"/>
          </w:tcPr>
          <w:p w14:paraId="50FA2CD0"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Cambios en las autoridades políticas y técnicas nacionales.</w:t>
            </w:r>
          </w:p>
        </w:tc>
        <w:tc>
          <w:tcPr>
            <w:tcW w:w="2501" w:type="dxa"/>
          </w:tcPr>
          <w:p w14:paraId="28960F44"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En el Perú han ocurrido importantes procesos de investigación de denuncias por corrupción que han desestabilizado al Poder Ejecutivo. Como consecuencia de ello, hubo cambios a nivel de la Presidencia de la Republica, ministros, viceministros y directores.  Aunque el último importante cambio ocurrió en marzo del 2018 existe una posibilidad de que se cambie nuevamente a las autoridades</w:t>
            </w:r>
          </w:p>
          <w:p w14:paraId="1FD4662B" w14:textId="77777777" w:rsidR="00EA0A65" w:rsidRDefault="00EA0A65">
            <w:pPr>
              <w:rPr>
                <w:rFonts w:ascii="Arial Narrow" w:eastAsia="Arial Narrow" w:hAnsi="Arial Narrow" w:cs="Arial Narrow"/>
                <w:sz w:val="18"/>
                <w:szCs w:val="18"/>
              </w:rPr>
            </w:pPr>
          </w:p>
        </w:tc>
        <w:tc>
          <w:tcPr>
            <w:tcW w:w="1102" w:type="dxa"/>
          </w:tcPr>
          <w:p w14:paraId="32603785"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Impacto: alto</w:t>
            </w:r>
          </w:p>
          <w:p w14:paraId="303EB020"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Probabilidad: media</w:t>
            </w:r>
          </w:p>
        </w:tc>
        <w:tc>
          <w:tcPr>
            <w:tcW w:w="3484" w:type="dxa"/>
          </w:tcPr>
          <w:p w14:paraId="6FF7880D" w14:textId="77777777" w:rsidR="00EA0A65" w:rsidRDefault="002959E9">
            <w:pPr>
              <w:numPr>
                <w:ilvl w:val="0"/>
                <w:numId w:val="9"/>
              </w:numPr>
              <w:ind w:left="139" w:hanging="142"/>
              <w:contextualSpacing/>
              <w:rPr>
                <w:sz w:val="18"/>
                <w:szCs w:val="18"/>
              </w:rPr>
            </w:pPr>
            <w:r>
              <w:rPr>
                <w:rFonts w:ascii="Arial Narrow" w:eastAsia="Arial Narrow" w:hAnsi="Arial Narrow" w:cs="Arial Narrow"/>
                <w:sz w:val="18"/>
                <w:szCs w:val="18"/>
              </w:rPr>
              <w:t>Presentación a nueva gestión del Ministerio del Ambiente y el Ministerio de Agricultura y Riego los alcances del proceso y los objetivos del plan</w:t>
            </w:r>
          </w:p>
          <w:p w14:paraId="062B3F0E" w14:textId="77777777" w:rsidR="00EA0A65" w:rsidRDefault="002959E9">
            <w:pPr>
              <w:numPr>
                <w:ilvl w:val="0"/>
                <w:numId w:val="9"/>
              </w:numPr>
              <w:ind w:left="139" w:hanging="142"/>
              <w:contextualSpacing/>
              <w:rPr>
                <w:sz w:val="18"/>
                <w:szCs w:val="18"/>
              </w:rPr>
            </w:pPr>
            <w:r>
              <w:rPr>
                <w:rFonts w:ascii="Arial Narrow" w:eastAsia="Arial Narrow" w:hAnsi="Arial Narrow" w:cs="Arial Narrow"/>
                <w:sz w:val="18"/>
                <w:szCs w:val="18"/>
              </w:rPr>
              <w:t xml:space="preserve">Mapeo de iniciativas promovidas por los ministerios e identificación de posibles sinergias. </w:t>
            </w:r>
          </w:p>
          <w:p w14:paraId="441EB7F4" w14:textId="77777777" w:rsidR="00EA0A65" w:rsidRDefault="002959E9">
            <w:pPr>
              <w:numPr>
                <w:ilvl w:val="0"/>
                <w:numId w:val="9"/>
              </w:numPr>
              <w:ind w:left="139" w:hanging="142"/>
              <w:contextualSpacing/>
              <w:rPr>
                <w:sz w:val="18"/>
                <w:szCs w:val="18"/>
              </w:rPr>
            </w:pPr>
            <w:r>
              <w:rPr>
                <w:rFonts w:ascii="Arial Narrow" w:eastAsia="Arial Narrow" w:hAnsi="Arial Narrow" w:cs="Arial Narrow"/>
                <w:sz w:val="18"/>
                <w:szCs w:val="18"/>
              </w:rPr>
              <w:t xml:space="preserve">Difusión de avances del proyecto </w:t>
            </w:r>
          </w:p>
          <w:p w14:paraId="6983EA7F" w14:textId="77777777" w:rsidR="00EA0A65" w:rsidRDefault="002959E9">
            <w:pPr>
              <w:numPr>
                <w:ilvl w:val="0"/>
                <w:numId w:val="9"/>
              </w:numPr>
              <w:ind w:left="139" w:hanging="142"/>
              <w:contextualSpacing/>
              <w:rPr>
                <w:sz w:val="18"/>
                <w:szCs w:val="18"/>
              </w:rPr>
            </w:pPr>
            <w:r>
              <w:rPr>
                <w:rFonts w:ascii="Arial Narrow" w:eastAsia="Arial Narrow" w:hAnsi="Arial Narrow" w:cs="Arial Narrow"/>
                <w:sz w:val="18"/>
                <w:szCs w:val="18"/>
              </w:rPr>
              <w:t xml:space="preserve">Coordinación a un alto nivel político para resaltar la relevancia del instrumento a construir. </w:t>
            </w:r>
          </w:p>
          <w:p w14:paraId="04C808B2" w14:textId="77777777" w:rsidR="00EA0A65" w:rsidRDefault="002959E9">
            <w:pPr>
              <w:numPr>
                <w:ilvl w:val="0"/>
                <w:numId w:val="9"/>
              </w:numPr>
              <w:ind w:left="139" w:hanging="142"/>
              <w:contextualSpacing/>
              <w:rPr>
                <w:sz w:val="18"/>
                <w:szCs w:val="18"/>
              </w:rPr>
            </w:pPr>
            <w:r>
              <w:rPr>
                <w:rFonts w:ascii="Arial Narrow" w:eastAsia="Arial Narrow" w:hAnsi="Arial Narrow" w:cs="Arial Narrow"/>
                <w:sz w:val="18"/>
                <w:szCs w:val="18"/>
              </w:rPr>
              <w:t>Participación de ministerios en comité a nivel de programa.</w:t>
            </w:r>
          </w:p>
        </w:tc>
        <w:tc>
          <w:tcPr>
            <w:tcW w:w="1410" w:type="dxa"/>
          </w:tcPr>
          <w:p w14:paraId="09024020"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Gobierno Regional de Amazonas </w:t>
            </w:r>
          </w:p>
          <w:p w14:paraId="3662CC97" w14:textId="77777777" w:rsidR="00EA0A65" w:rsidRDefault="00EA0A65">
            <w:pPr>
              <w:rPr>
                <w:rFonts w:ascii="Arial Narrow" w:eastAsia="Arial Narrow" w:hAnsi="Arial Narrow" w:cs="Arial Narrow"/>
                <w:sz w:val="18"/>
                <w:szCs w:val="18"/>
              </w:rPr>
            </w:pPr>
          </w:p>
          <w:p w14:paraId="074F82D8"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Equipo técnico del proyecto </w:t>
            </w:r>
          </w:p>
          <w:p w14:paraId="105B3E9C" w14:textId="77777777" w:rsidR="00EA0A65" w:rsidRDefault="00EA0A65">
            <w:pPr>
              <w:rPr>
                <w:rFonts w:ascii="Arial Narrow" w:eastAsia="Arial Narrow" w:hAnsi="Arial Narrow" w:cs="Arial Narrow"/>
                <w:sz w:val="18"/>
                <w:szCs w:val="18"/>
              </w:rPr>
            </w:pPr>
          </w:p>
          <w:p w14:paraId="177DAB9C"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EII /APECO /NCI/  /ICRAF</w:t>
            </w:r>
          </w:p>
        </w:tc>
      </w:tr>
      <w:tr w:rsidR="00EA0A65" w14:paraId="7FF74884" w14:textId="77777777">
        <w:tc>
          <w:tcPr>
            <w:tcW w:w="1560" w:type="dxa"/>
          </w:tcPr>
          <w:p w14:paraId="20B1033D"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Presión de actividades y economías ilegales en la Región Amazonas para mantener deforestación.</w:t>
            </w:r>
          </w:p>
        </w:tc>
        <w:tc>
          <w:tcPr>
            <w:tcW w:w="2501" w:type="dxa"/>
          </w:tcPr>
          <w:p w14:paraId="41D5ED96"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Actores asociados a economías ilegales que generan deforestación se oponen a la construcción del plan.</w:t>
            </w:r>
          </w:p>
          <w:p w14:paraId="2C90CA7D"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Existencia de yacimientos de oro aluvial en Condorcanqui pone presión sobre las comunidades nativas, por arribo de mineros ilegales</w:t>
            </w:r>
            <w:r w:rsidR="00935412">
              <w:rPr>
                <w:rFonts w:ascii="Arial Narrow" w:eastAsia="Arial Narrow" w:hAnsi="Arial Narrow" w:cs="Arial Narrow"/>
                <w:sz w:val="18"/>
                <w:szCs w:val="18"/>
              </w:rPr>
              <w:t>.</w:t>
            </w:r>
          </w:p>
          <w:p w14:paraId="470876B2" w14:textId="4781A215" w:rsidR="00935412" w:rsidRDefault="00935412">
            <w:pPr>
              <w:rPr>
                <w:rFonts w:ascii="Arial Narrow" w:eastAsia="Arial Narrow" w:hAnsi="Arial Narrow" w:cs="Arial Narrow"/>
                <w:sz w:val="18"/>
                <w:szCs w:val="18"/>
              </w:rPr>
            </w:pPr>
            <w:r>
              <w:rPr>
                <w:rFonts w:ascii="Arial Narrow" w:eastAsia="Arial Narrow" w:hAnsi="Arial Narrow" w:cs="Arial Narrow"/>
                <w:sz w:val="18"/>
                <w:szCs w:val="18"/>
              </w:rPr>
              <w:t>La mejora de la carretera puede tener efecto negativo si se asocia con actividades ilegales.</w:t>
            </w:r>
          </w:p>
        </w:tc>
        <w:tc>
          <w:tcPr>
            <w:tcW w:w="1102" w:type="dxa"/>
          </w:tcPr>
          <w:p w14:paraId="2ABE7763"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Impacto: alto</w:t>
            </w:r>
          </w:p>
          <w:p w14:paraId="67F6D9F1"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Probabilidad: media</w:t>
            </w:r>
          </w:p>
        </w:tc>
        <w:tc>
          <w:tcPr>
            <w:tcW w:w="3484" w:type="dxa"/>
          </w:tcPr>
          <w:p w14:paraId="0413EF9C" w14:textId="77777777" w:rsidR="00EA0A65" w:rsidRDefault="002959E9">
            <w:pPr>
              <w:numPr>
                <w:ilvl w:val="0"/>
                <w:numId w:val="9"/>
              </w:numPr>
              <w:ind w:left="139" w:hanging="142"/>
              <w:contextualSpacing/>
              <w:rPr>
                <w:sz w:val="18"/>
                <w:szCs w:val="18"/>
              </w:rPr>
            </w:pPr>
            <w:r>
              <w:rPr>
                <w:rFonts w:ascii="Arial Narrow" w:eastAsia="Arial Narrow" w:hAnsi="Arial Narrow" w:cs="Arial Narrow"/>
                <w:sz w:val="18"/>
                <w:szCs w:val="18"/>
              </w:rPr>
              <w:t xml:space="preserve">Desarrollo de una estrategia de involucramiento de actores que pueden reducir esta presión </w:t>
            </w:r>
          </w:p>
          <w:p w14:paraId="0BDBED38" w14:textId="77777777" w:rsidR="00EA0A65" w:rsidRDefault="002959E9">
            <w:pPr>
              <w:numPr>
                <w:ilvl w:val="0"/>
                <w:numId w:val="9"/>
              </w:numPr>
              <w:ind w:left="139" w:hanging="142"/>
              <w:contextualSpacing/>
              <w:rPr>
                <w:sz w:val="18"/>
                <w:szCs w:val="18"/>
              </w:rPr>
            </w:pPr>
            <w:r>
              <w:rPr>
                <w:rFonts w:ascii="Arial Narrow" w:eastAsia="Arial Narrow" w:hAnsi="Arial Narrow" w:cs="Arial Narrow"/>
                <w:sz w:val="18"/>
                <w:szCs w:val="18"/>
              </w:rPr>
              <w:t xml:space="preserve">Difusión de los beneficios del enfoque de desarrollo rural. </w:t>
            </w:r>
          </w:p>
          <w:p w14:paraId="0F284401" w14:textId="77777777" w:rsidR="00EA0A65" w:rsidRDefault="002959E9">
            <w:pPr>
              <w:numPr>
                <w:ilvl w:val="0"/>
                <w:numId w:val="9"/>
              </w:numPr>
              <w:ind w:left="139" w:hanging="142"/>
              <w:contextualSpacing/>
              <w:rPr>
                <w:sz w:val="18"/>
                <w:szCs w:val="18"/>
              </w:rPr>
            </w:pPr>
            <w:r>
              <w:rPr>
                <w:rFonts w:ascii="Arial Narrow" w:eastAsia="Arial Narrow" w:hAnsi="Arial Narrow" w:cs="Arial Narrow"/>
                <w:sz w:val="18"/>
                <w:szCs w:val="18"/>
              </w:rPr>
              <w:t xml:space="preserve">Identificación de incentivos que permitan revertir economías ilegales. </w:t>
            </w:r>
          </w:p>
          <w:p w14:paraId="16C598DB" w14:textId="77777777" w:rsidR="00EA0A65" w:rsidRDefault="002959E9">
            <w:pPr>
              <w:numPr>
                <w:ilvl w:val="0"/>
                <w:numId w:val="9"/>
              </w:numPr>
              <w:ind w:left="139" w:hanging="142"/>
              <w:contextualSpacing/>
              <w:rPr>
                <w:sz w:val="18"/>
                <w:szCs w:val="18"/>
              </w:rPr>
            </w:pPr>
            <w:r>
              <w:rPr>
                <w:rFonts w:ascii="Arial Narrow" w:eastAsia="Arial Narrow" w:hAnsi="Arial Narrow" w:cs="Arial Narrow"/>
                <w:sz w:val="18"/>
                <w:szCs w:val="18"/>
              </w:rPr>
              <w:t>Inclusión de medidas en el plan para promover actividades legales que puedan reducir el impacto de actividades ilegales.</w:t>
            </w:r>
          </w:p>
        </w:tc>
        <w:tc>
          <w:tcPr>
            <w:tcW w:w="1410" w:type="dxa"/>
          </w:tcPr>
          <w:p w14:paraId="3585CFC4"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Gobierno Regional de Amazonas </w:t>
            </w:r>
          </w:p>
          <w:p w14:paraId="6980739C" w14:textId="77777777" w:rsidR="00EA0A65" w:rsidRDefault="00EA0A65">
            <w:pPr>
              <w:rPr>
                <w:rFonts w:ascii="Arial Narrow" w:eastAsia="Arial Narrow" w:hAnsi="Arial Narrow" w:cs="Arial Narrow"/>
                <w:sz w:val="18"/>
                <w:szCs w:val="18"/>
              </w:rPr>
            </w:pPr>
          </w:p>
          <w:p w14:paraId="7FE0069A"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Equipo técnico del proyecto </w:t>
            </w:r>
          </w:p>
          <w:p w14:paraId="506A4778" w14:textId="77777777" w:rsidR="00EA0A65" w:rsidRDefault="00EA0A65">
            <w:pPr>
              <w:rPr>
                <w:rFonts w:ascii="Arial Narrow" w:eastAsia="Arial Narrow" w:hAnsi="Arial Narrow" w:cs="Arial Narrow"/>
                <w:sz w:val="18"/>
                <w:szCs w:val="18"/>
              </w:rPr>
            </w:pPr>
          </w:p>
          <w:p w14:paraId="18449472"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EII /APECO /NCI//ICRAF</w:t>
            </w:r>
          </w:p>
          <w:p w14:paraId="19FFA8B1" w14:textId="77777777" w:rsidR="00EA0A65" w:rsidRDefault="00EA0A65">
            <w:pPr>
              <w:rPr>
                <w:rFonts w:ascii="Arial Narrow" w:eastAsia="Arial Narrow" w:hAnsi="Arial Narrow" w:cs="Arial Narrow"/>
                <w:sz w:val="18"/>
                <w:szCs w:val="18"/>
              </w:rPr>
            </w:pPr>
          </w:p>
        </w:tc>
      </w:tr>
      <w:tr w:rsidR="00EA0A65" w14:paraId="23B27503" w14:textId="77777777">
        <w:tc>
          <w:tcPr>
            <w:tcW w:w="1560" w:type="dxa"/>
          </w:tcPr>
          <w:p w14:paraId="4CA5F553"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Dificultad para conseguir especialistas para implementar el proyecto</w:t>
            </w:r>
          </w:p>
        </w:tc>
        <w:tc>
          <w:tcPr>
            <w:tcW w:w="2501" w:type="dxa"/>
          </w:tcPr>
          <w:p w14:paraId="15C15748"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No se logra encontrar especialistas o consultores con la experiencia y conocimientos para las actividades del proyecto</w:t>
            </w:r>
          </w:p>
        </w:tc>
        <w:tc>
          <w:tcPr>
            <w:tcW w:w="1102" w:type="dxa"/>
          </w:tcPr>
          <w:p w14:paraId="353E2EBD"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Impacto: alto</w:t>
            </w:r>
          </w:p>
          <w:p w14:paraId="2D93CA60"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Probabilidad: baja</w:t>
            </w:r>
          </w:p>
        </w:tc>
        <w:tc>
          <w:tcPr>
            <w:tcW w:w="3484" w:type="dxa"/>
          </w:tcPr>
          <w:p w14:paraId="19C783D1" w14:textId="77777777" w:rsidR="00EA0A65" w:rsidRDefault="002959E9">
            <w:pPr>
              <w:numPr>
                <w:ilvl w:val="0"/>
                <w:numId w:val="15"/>
              </w:numPr>
              <w:ind w:left="139" w:hanging="142"/>
              <w:contextualSpacing/>
              <w:jc w:val="both"/>
              <w:rPr>
                <w:sz w:val="18"/>
                <w:szCs w:val="18"/>
              </w:rPr>
            </w:pPr>
            <w:r>
              <w:rPr>
                <w:rFonts w:ascii="Arial Narrow" w:eastAsia="Arial Narrow" w:hAnsi="Arial Narrow" w:cs="Arial Narrow"/>
                <w:sz w:val="18"/>
                <w:szCs w:val="18"/>
              </w:rPr>
              <w:t>Convocatorias públicas realizadas con anticipación y a través de medios importantes regionales</w:t>
            </w:r>
          </w:p>
          <w:p w14:paraId="1618B295" w14:textId="77777777" w:rsidR="00EA0A65" w:rsidRDefault="002959E9">
            <w:pPr>
              <w:numPr>
                <w:ilvl w:val="0"/>
                <w:numId w:val="15"/>
              </w:numPr>
              <w:ind w:left="139" w:hanging="142"/>
              <w:contextualSpacing/>
              <w:jc w:val="both"/>
              <w:rPr>
                <w:sz w:val="18"/>
                <w:szCs w:val="18"/>
              </w:rPr>
            </w:pPr>
            <w:r>
              <w:rPr>
                <w:rFonts w:ascii="Arial Narrow" w:eastAsia="Arial Narrow" w:hAnsi="Arial Narrow" w:cs="Arial Narrow"/>
                <w:sz w:val="18"/>
                <w:szCs w:val="18"/>
              </w:rPr>
              <w:t xml:space="preserve">Desarrollo de curso de inducción e intercambios entre regiones gracias al enfoque de programa. </w:t>
            </w:r>
          </w:p>
        </w:tc>
        <w:tc>
          <w:tcPr>
            <w:tcW w:w="1410" w:type="dxa"/>
          </w:tcPr>
          <w:p w14:paraId="4C87C6CF"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Gobierno Regional de Amazonas </w:t>
            </w:r>
          </w:p>
          <w:p w14:paraId="0FE2D462" w14:textId="77777777" w:rsidR="00EA0A65" w:rsidRDefault="00EA0A65">
            <w:pPr>
              <w:rPr>
                <w:rFonts w:ascii="Arial Narrow" w:eastAsia="Arial Narrow" w:hAnsi="Arial Narrow" w:cs="Arial Narrow"/>
                <w:sz w:val="18"/>
                <w:szCs w:val="18"/>
              </w:rPr>
            </w:pPr>
          </w:p>
          <w:p w14:paraId="0BFA7DA2"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EII /APECO /NCI/ ICRAF</w:t>
            </w:r>
          </w:p>
        </w:tc>
      </w:tr>
      <w:tr w:rsidR="00EA0A65" w14:paraId="6AB7F8E2" w14:textId="77777777">
        <w:tc>
          <w:tcPr>
            <w:tcW w:w="1560" w:type="dxa"/>
          </w:tcPr>
          <w:p w14:paraId="103FC0AB"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Alta rotación de funcionarios con responsabilidad en diseñar el plan</w:t>
            </w:r>
          </w:p>
        </w:tc>
        <w:tc>
          <w:tcPr>
            <w:tcW w:w="2501" w:type="dxa"/>
          </w:tcPr>
          <w:p w14:paraId="78CF2C05"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Durante el proceso de elaboración del plan se cambia de manera reitera a las contrapartes técnicas o políticas responsables. </w:t>
            </w:r>
          </w:p>
        </w:tc>
        <w:tc>
          <w:tcPr>
            <w:tcW w:w="1102" w:type="dxa"/>
          </w:tcPr>
          <w:p w14:paraId="3ED8BC18"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Impacto: alto</w:t>
            </w:r>
          </w:p>
          <w:p w14:paraId="1BB4BD5D"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Probabilidad: alta</w:t>
            </w:r>
          </w:p>
        </w:tc>
        <w:tc>
          <w:tcPr>
            <w:tcW w:w="3484" w:type="dxa"/>
          </w:tcPr>
          <w:p w14:paraId="7FD147B0" w14:textId="77777777" w:rsidR="00EA0A65" w:rsidRDefault="002959E9">
            <w:pPr>
              <w:numPr>
                <w:ilvl w:val="0"/>
                <w:numId w:val="12"/>
              </w:numPr>
              <w:ind w:left="139" w:hanging="142"/>
              <w:contextualSpacing/>
              <w:jc w:val="both"/>
              <w:rPr>
                <w:sz w:val="18"/>
                <w:szCs w:val="18"/>
              </w:rPr>
            </w:pPr>
            <w:r>
              <w:rPr>
                <w:rFonts w:ascii="Arial Narrow" w:eastAsia="Arial Narrow" w:hAnsi="Arial Narrow" w:cs="Arial Narrow"/>
                <w:sz w:val="18"/>
                <w:szCs w:val="18"/>
              </w:rPr>
              <w:t>Desarrollo de acuerdos con el Gobierno Regional para designación de contrapartes responsables</w:t>
            </w:r>
          </w:p>
          <w:p w14:paraId="1AB81FE7" w14:textId="77777777" w:rsidR="00EA0A65" w:rsidRDefault="002959E9">
            <w:pPr>
              <w:numPr>
                <w:ilvl w:val="0"/>
                <w:numId w:val="12"/>
              </w:numPr>
              <w:ind w:left="139" w:hanging="142"/>
              <w:contextualSpacing/>
              <w:rPr>
                <w:sz w:val="18"/>
                <w:szCs w:val="18"/>
              </w:rPr>
            </w:pPr>
            <w:r>
              <w:rPr>
                <w:rFonts w:ascii="Arial Narrow" w:eastAsia="Arial Narrow" w:hAnsi="Arial Narrow" w:cs="Arial Narrow"/>
                <w:sz w:val="18"/>
                <w:szCs w:val="18"/>
              </w:rPr>
              <w:t xml:space="preserve">Convenio para implementación del proyecto </w:t>
            </w:r>
          </w:p>
          <w:p w14:paraId="24ACA93A" w14:textId="77777777" w:rsidR="00EA0A65" w:rsidRDefault="002959E9">
            <w:pPr>
              <w:numPr>
                <w:ilvl w:val="0"/>
                <w:numId w:val="12"/>
              </w:numPr>
              <w:ind w:left="139" w:hanging="142"/>
              <w:contextualSpacing/>
              <w:rPr>
                <w:sz w:val="18"/>
                <w:szCs w:val="18"/>
              </w:rPr>
            </w:pPr>
            <w:r>
              <w:rPr>
                <w:rFonts w:ascii="Arial Narrow" w:eastAsia="Arial Narrow" w:hAnsi="Arial Narrow" w:cs="Arial Narrow"/>
                <w:sz w:val="18"/>
                <w:szCs w:val="18"/>
              </w:rPr>
              <w:t xml:space="preserve">Comunicación y coordinación con un equipo de funcionarios. </w:t>
            </w:r>
          </w:p>
        </w:tc>
        <w:tc>
          <w:tcPr>
            <w:tcW w:w="1410" w:type="dxa"/>
          </w:tcPr>
          <w:p w14:paraId="0EE4D46A"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Gobierno Regional de Amazonas </w:t>
            </w:r>
          </w:p>
          <w:p w14:paraId="7BB59EC7" w14:textId="77777777" w:rsidR="00EA0A65" w:rsidRDefault="00EA0A65">
            <w:pPr>
              <w:rPr>
                <w:rFonts w:ascii="Arial Narrow" w:eastAsia="Arial Narrow" w:hAnsi="Arial Narrow" w:cs="Arial Narrow"/>
                <w:sz w:val="18"/>
                <w:szCs w:val="18"/>
              </w:rPr>
            </w:pPr>
          </w:p>
          <w:p w14:paraId="019921F2"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EII /APECO /NCI/ ICRAF</w:t>
            </w:r>
          </w:p>
        </w:tc>
      </w:tr>
      <w:tr w:rsidR="00EA0A65" w14:paraId="1C94247C" w14:textId="77777777">
        <w:tc>
          <w:tcPr>
            <w:tcW w:w="1560" w:type="dxa"/>
          </w:tcPr>
          <w:p w14:paraId="2ED3EA3E"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Conflictos con pueblos indígenas</w:t>
            </w:r>
          </w:p>
        </w:tc>
        <w:tc>
          <w:tcPr>
            <w:tcW w:w="2501" w:type="dxa"/>
          </w:tcPr>
          <w:p w14:paraId="12CE204C"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Pueblos indígenas consideran que no participan apropiadamente en la construcción del plan o en actividades de desarrollo de capacidades</w:t>
            </w:r>
          </w:p>
        </w:tc>
        <w:tc>
          <w:tcPr>
            <w:tcW w:w="1102" w:type="dxa"/>
          </w:tcPr>
          <w:p w14:paraId="08B9B9F0"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Impacto: medio</w:t>
            </w:r>
          </w:p>
          <w:p w14:paraId="581ED3C0"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Probabilidad: alta</w:t>
            </w:r>
          </w:p>
        </w:tc>
        <w:tc>
          <w:tcPr>
            <w:tcW w:w="3484" w:type="dxa"/>
          </w:tcPr>
          <w:p w14:paraId="31AE42FE" w14:textId="77777777" w:rsidR="00EA0A65" w:rsidRDefault="002959E9">
            <w:pPr>
              <w:numPr>
                <w:ilvl w:val="0"/>
                <w:numId w:val="17"/>
              </w:numPr>
              <w:ind w:left="141" w:hanging="142"/>
              <w:contextualSpacing/>
              <w:rPr>
                <w:sz w:val="18"/>
                <w:szCs w:val="18"/>
              </w:rPr>
            </w:pPr>
            <w:r>
              <w:rPr>
                <w:rFonts w:ascii="Arial Narrow" w:eastAsia="Arial Narrow" w:hAnsi="Arial Narrow" w:cs="Arial Narrow"/>
                <w:sz w:val="18"/>
                <w:szCs w:val="18"/>
              </w:rPr>
              <w:t>Presentación del proyecto a organizaciones representativas de los pueblos Awajún y Wampis</w:t>
            </w:r>
          </w:p>
          <w:p w14:paraId="054CE6BD" w14:textId="77777777" w:rsidR="00EA0A65" w:rsidRDefault="002959E9">
            <w:pPr>
              <w:numPr>
                <w:ilvl w:val="0"/>
                <w:numId w:val="17"/>
              </w:numPr>
              <w:ind w:left="141" w:hanging="142"/>
              <w:contextualSpacing/>
              <w:rPr>
                <w:sz w:val="18"/>
                <w:szCs w:val="18"/>
              </w:rPr>
            </w:pPr>
            <w:r>
              <w:rPr>
                <w:rFonts w:ascii="Arial Narrow" w:eastAsia="Arial Narrow" w:hAnsi="Arial Narrow" w:cs="Arial Narrow"/>
                <w:sz w:val="18"/>
                <w:szCs w:val="18"/>
              </w:rPr>
              <w:t>Flujo de comunicación constante</w:t>
            </w:r>
          </w:p>
          <w:p w14:paraId="723C99AE" w14:textId="77777777" w:rsidR="00EA0A65" w:rsidRDefault="002959E9">
            <w:pPr>
              <w:numPr>
                <w:ilvl w:val="0"/>
                <w:numId w:val="17"/>
              </w:numPr>
              <w:ind w:left="141" w:hanging="142"/>
              <w:contextualSpacing/>
              <w:rPr>
                <w:sz w:val="18"/>
                <w:szCs w:val="18"/>
              </w:rPr>
            </w:pPr>
            <w:r>
              <w:rPr>
                <w:rFonts w:ascii="Arial Narrow" w:eastAsia="Arial Narrow" w:hAnsi="Arial Narrow" w:cs="Arial Narrow"/>
                <w:sz w:val="18"/>
                <w:szCs w:val="18"/>
              </w:rPr>
              <w:t>Actividades de capacitación y diálogo especificas</w:t>
            </w:r>
          </w:p>
        </w:tc>
        <w:tc>
          <w:tcPr>
            <w:tcW w:w="1410" w:type="dxa"/>
          </w:tcPr>
          <w:p w14:paraId="19E08AD2"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GoRE Amazonas</w:t>
            </w:r>
          </w:p>
          <w:p w14:paraId="563A4F43" w14:textId="77777777" w:rsidR="00EA0A65" w:rsidRDefault="00EA0A65">
            <w:pPr>
              <w:rPr>
                <w:rFonts w:ascii="Arial Narrow" w:eastAsia="Arial Narrow" w:hAnsi="Arial Narrow" w:cs="Arial Narrow"/>
                <w:sz w:val="18"/>
                <w:szCs w:val="18"/>
              </w:rPr>
            </w:pPr>
          </w:p>
          <w:p w14:paraId="15FFA74B"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Equipo técnico del proyecto </w:t>
            </w:r>
          </w:p>
          <w:p w14:paraId="0BC19595"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EII /APECO /NCI/ ICRAF</w:t>
            </w:r>
          </w:p>
        </w:tc>
      </w:tr>
      <w:tr w:rsidR="00EA0A65" w14:paraId="26FD3053" w14:textId="77777777">
        <w:tc>
          <w:tcPr>
            <w:tcW w:w="1560" w:type="dxa"/>
          </w:tcPr>
          <w:p w14:paraId="7A487B17"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Dificultades en la cooperación y coordinación de actividades socias o externas durante la </w:t>
            </w:r>
            <w:r>
              <w:rPr>
                <w:rFonts w:ascii="Arial Narrow" w:eastAsia="Arial Narrow" w:hAnsi="Arial Narrow" w:cs="Arial Narrow"/>
                <w:sz w:val="18"/>
                <w:szCs w:val="18"/>
              </w:rPr>
              <w:lastRenderedPageBreak/>
              <w:t>implementación del proyecto</w:t>
            </w:r>
          </w:p>
        </w:tc>
        <w:tc>
          <w:tcPr>
            <w:tcW w:w="2501" w:type="dxa"/>
          </w:tcPr>
          <w:p w14:paraId="49A71D96"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Proyectos y organizaciones con presencia en la región promueven procesos paralelos o contrarios a los objetivos del proyecto </w:t>
            </w:r>
          </w:p>
        </w:tc>
        <w:tc>
          <w:tcPr>
            <w:tcW w:w="1102" w:type="dxa"/>
          </w:tcPr>
          <w:p w14:paraId="2B26E3A0"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Impacto: alto</w:t>
            </w:r>
          </w:p>
          <w:p w14:paraId="0DF74CB1" w14:textId="77777777" w:rsidR="00EA0A65" w:rsidRDefault="002959E9">
            <w:pPr>
              <w:jc w:val="both"/>
              <w:rPr>
                <w:rFonts w:ascii="Arial Narrow" w:eastAsia="Arial Narrow" w:hAnsi="Arial Narrow" w:cs="Arial Narrow"/>
                <w:sz w:val="18"/>
                <w:szCs w:val="18"/>
              </w:rPr>
            </w:pPr>
            <w:r>
              <w:rPr>
                <w:rFonts w:ascii="Arial Narrow" w:eastAsia="Arial Narrow" w:hAnsi="Arial Narrow" w:cs="Arial Narrow"/>
                <w:sz w:val="18"/>
                <w:szCs w:val="18"/>
              </w:rPr>
              <w:t>Probabilidad: media</w:t>
            </w:r>
          </w:p>
        </w:tc>
        <w:tc>
          <w:tcPr>
            <w:tcW w:w="3484" w:type="dxa"/>
          </w:tcPr>
          <w:p w14:paraId="6345D46D" w14:textId="77777777" w:rsidR="00EA0A65" w:rsidRDefault="002959E9">
            <w:pPr>
              <w:numPr>
                <w:ilvl w:val="0"/>
                <w:numId w:val="17"/>
              </w:numPr>
              <w:ind w:left="141" w:hanging="142"/>
              <w:contextualSpacing/>
              <w:rPr>
                <w:sz w:val="18"/>
                <w:szCs w:val="18"/>
              </w:rPr>
            </w:pPr>
            <w:r>
              <w:rPr>
                <w:rFonts w:ascii="Arial Narrow" w:eastAsia="Arial Narrow" w:hAnsi="Arial Narrow" w:cs="Arial Narrow"/>
                <w:sz w:val="18"/>
                <w:szCs w:val="18"/>
              </w:rPr>
              <w:t xml:space="preserve">Comunicación y coordinación con organizaciones y proyectos regionales. </w:t>
            </w:r>
          </w:p>
          <w:p w14:paraId="08F3474C" w14:textId="77777777" w:rsidR="00EA0A65" w:rsidRDefault="002959E9">
            <w:pPr>
              <w:numPr>
                <w:ilvl w:val="0"/>
                <w:numId w:val="17"/>
              </w:numPr>
              <w:ind w:left="141" w:hanging="142"/>
              <w:contextualSpacing/>
              <w:rPr>
                <w:sz w:val="18"/>
                <w:szCs w:val="18"/>
              </w:rPr>
            </w:pPr>
            <w:r>
              <w:rPr>
                <w:rFonts w:ascii="Arial Narrow" w:eastAsia="Arial Narrow" w:hAnsi="Arial Narrow" w:cs="Arial Narrow"/>
                <w:sz w:val="18"/>
                <w:szCs w:val="18"/>
              </w:rPr>
              <w:t xml:space="preserve">Desarrollo de acuerdos </w:t>
            </w:r>
          </w:p>
          <w:p w14:paraId="7802DF16" w14:textId="77777777" w:rsidR="00EA0A65" w:rsidRDefault="002959E9">
            <w:pPr>
              <w:numPr>
                <w:ilvl w:val="0"/>
                <w:numId w:val="17"/>
              </w:numPr>
              <w:ind w:left="141" w:hanging="142"/>
              <w:contextualSpacing/>
              <w:rPr>
                <w:sz w:val="18"/>
                <w:szCs w:val="18"/>
              </w:rPr>
            </w:pPr>
            <w:r>
              <w:rPr>
                <w:rFonts w:ascii="Arial Narrow" w:eastAsia="Arial Narrow" w:hAnsi="Arial Narrow" w:cs="Arial Narrow"/>
                <w:sz w:val="18"/>
                <w:szCs w:val="18"/>
              </w:rPr>
              <w:t xml:space="preserve">Mapeo de iniciativas e identificación de posibles sinergias. </w:t>
            </w:r>
          </w:p>
          <w:p w14:paraId="21353CD7" w14:textId="77777777" w:rsidR="00EA0A65" w:rsidRDefault="002959E9">
            <w:pPr>
              <w:numPr>
                <w:ilvl w:val="0"/>
                <w:numId w:val="17"/>
              </w:numPr>
              <w:ind w:left="141" w:hanging="142"/>
              <w:contextualSpacing/>
              <w:rPr>
                <w:sz w:val="18"/>
                <w:szCs w:val="18"/>
              </w:rPr>
            </w:pPr>
            <w:r>
              <w:rPr>
                <w:rFonts w:ascii="Arial Narrow" w:eastAsia="Arial Narrow" w:hAnsi="Arial Narrow" w:cs="Arial Narrow"/>
                <w:sz w:val="18"/>
                <w:szCs w:val="18"/>
              </w:rPr>
              <w:lastRenderedPageBreak/>
              <w:t xml:space="preserve">Difusión de avances del proyecto </w:t>
            </w:r>
          </w:p>
          <w:p w14:paraId="126BC2AC" w14:textId="77777777" w:rsidR="00EA0A65" w:rsidRDefault="002959E9">
            <w:pPr>
              <w:numPr>
                <w:ilvl w:val="0"/>
                <w:numId w:val="17"/>
              </w:numPr>
              <w:ind w:left="141" w:hanging="142"/>
              <w:contextualSpacing/>
              <w:rPr>
                <w:sz w:val="18"/>
                <w:szCs w:val="18"/>
              </w:rPr>
            </w:pPr>
            <w:r>
              <w:rPr>
                <w:rFonts w:ascii="Arial Narrow" w:eastAsia="Arial Narrow" w:hAnsi="Arial Narrow" w:cs="Arial Narrow"/>
                <w:sz w:val="18"/>
                <w:szCs w:val="18"/>
              </w:rPr>
              <w:t xml:space="preserve">Coordinación para resaltar la relevancia del instrumento a construir. </w:t>
            </w:r>
          </w:p>
          <w:p w14:paraId="4B180DA9" w14:textId="77777777" w:rsidR="00EA0A65" w:rsidRDefault="002959E9">
            <w:pPr>
              <w:numPr>
                <w:ilvl w:val="0"/>
                <w:numId w:val="17"/>
              </w:numPr>
              <w:ind w:left="141" w:hanging="142"/>
              <w:contextualSpacing/>
              <w:rPr>
                <w:sz w:val="18"/>
                <w:szCs w:val="18"/>
              </w:rPr>
            </w:pPr>
            <w:r>
              <w:rPr>
                <w:rFonts w:ascii="Arial Narrow" w:eastAsia="Arial Narrow" w:hAnsi="Arial Narrow" w:cs="Arial Narrow"/>
                <w:sz w:val="18"/>
                <w:szCs w:val="18"/>
              </w:rPr>
              <w:t xml:space="preserve">Participación de ministerios y actores clave en comité asesor o consultivo. </w:t>
            </w:r>
          </w:p>
        </w:tc>
        <w:tc>
          <w:tcPr>
            <w:tcW w:w="1410" w:type="dxa"/>
          </w:tcPr>
          <w:p w14:paraId="74D0E9AD"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lastRenderedPageBreak/>
              <w:t>Gobierno Regional de Amazonas</w:t>
            </w:r>
          </w:p>
          <w:p w14:paraId="0DA19786" w14:textId="77777777" w:rsidR="00EA0A65" w:rsidRDefault="00EA0A65">
            <w:pPr>
              <w:rPr>
                <w:rFonts w:ascii="Arial Narrow" w:eastAsia="Arial Narrow" w:hAnsi="Arial Narrow" w:cs="Arial Narrow"/>
                <w:sz w:val="18"/>
                <w:szCs w:val="18"/>
              </w:rPr>
            </w:pPr>
          </w:p>
          <w:p w14:paraId="0B3EA4F5"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Equipo técnico del proyecto </w:t>
            </w:r>
          </w:p>
          <w:p w14:paraId="7D4B0419" w14:textId="77777777" w:rsidR="00EA0A65" w:rsidRDefault="00EA0A65">
            <w:pPr>
              <w:rPr>
                <w:rFonts w:ascii="Arial Narrow" w:eastAsia="Arial Narrow" w:hAnsi="Arial Narrow" w:cs="Arial Narrow"/>
                <w:sz w:val="18"/>
                <w:szCs w:val="18"/>
              </w:rPr>
            </w:pPr>
          </w:p>
          <w:p w14:paraId="41E91CA8"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EII /APECO/NCI/ ICRAF</w:t>
            </w:r>
          </w:p>
        </w:tc>
      </w:tr>
    </w:tbl>
    <w:p w14:paraId="5A33AB14" w14:textId="77777777" w:rsidR="00EA0A65" w:rsidRDefault="002959E9">
      <w:pPr>
        <w:widowControl w:val="0"/>
        <w:rPr>
          <w:rFonts w:ascii="Arial Narrow" w:eastAsia="Arial Narrow" w:hAnsi="Arial Narrow" w:cs="Arial Narrow"/>
          <w:sz w:val="16"/>
          <w:szCs w:val="16"/>
        </w:rPr>
      </w:pPr>
      <w:r>
        <w:rPr>
          <w:rFonts w:ascii="Arial Narrow" w:eastAsia="Arial Narrow" w:hAnsi="Arial Narrow" w:cs="Arial Narrow"/>
          <w:sz w:val="16"/>
          <w:szCs w:val="16"/>
        </w:rPr>
        <w:lastRenderedPageBreak/>
        <w:t>Fuente: elaboración propia, 2018</w:t>
      </w:r>
    </w:p>
    <w:p w14:paraId="0B3710AF" w14:textId="77777777" w:rsidR="00EA0A65" w:rsidRDefault="002959E9">
      <w:pPr>
        <w:rPr>
          <w:rFonts w:ascii="Arial Narrow" w:eastAsia="Arial Narrow" w:hAnsi="Arial Narrow" w:cs="Arial Narrow"/>
          <w:b/>
          <w:sz w:val="20"/>
          <w:szCs w:val="20"/>
        </w:rPr>
      </w:pPr>
      <w:r>
        <w:br w:type="page"/>
      </w:r>
      <w:r>
        <w:rPr>
          <w:rFonts w:ascii="Arial Narrow" w:eastAsia="Arial Narrow" w:hAnsi="Arial Narrow" w:cs="Arial Narrow"/>
          <w:b/>
          <w:sz w:val="20"/>
          <w:szCs w:val="20"/>
        </w:rPr>
        <w:lastRenderedPageBreak/>
        <w:t xml:space="preserve">ANEXO VII. Proyectos e iniciativas nacionales que pueden ser articuladas con el Proyecto </w:t>
      </w:r>
    </w:p>
    <w:p w14:paraId="5A87CB0F" w14:textId="77777777" w:rsidR="00EA0A65" w:rsidRDefault="00EA0A65">
      <w:pPr>
        <w:widowControl w:val="0"/>
        <w:ind w:left="-567"/>
        <w:rPr>
          <w:rFonts w:ascii="Arial Narrow" w:eastAsia="Arial Narrow" w:hAnsi="Arial Narrow" w:cs="Arial Narrow"/>
          <w:b/>
          <w:color w:val="000000"/>
          <w:sz w:val="22"/>
          <w:szCs w:val="22"/>
        </w:rPr>
      </w:pPr>
    </w:p>
    <w:tbl>
      <w:tblPr>
        <w:tblStyle w:val="a8"/>
        <w:tblW w:w="1020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675"/>
        <w:gridCol w:w="2977"/>
      </w:tblGrid>
      <w:tr w:rsidR="00EA0A65" w14:paraId="5DD33363" w14:textId="77777777">
        <w:tc>
          <w:tcPr>
            <w:tcW w:w="1555" w:type="dxa"/>
          </w:tcPr>
          <w:p w14:paraId="2685F536" w14:textId="77777777" w:rsidR="00EA0A65" w:rsidRDefault="002959E9">
            <w:pPr>
              <w:jc w:val="center"/>
              <w:rPr>
                <w:rFonts w:ascii="Arial Narrow" w:eastAsia="Arial Narrow" w:hAnsi="Arial Narrow" w:cs="Arial Narrow"/>
                <w:b/>
                <w:sz w:val="20"/>
                <w:szCs w:val="20"/>
              </w:rPr>
            </w:pPr>
            <w:r>
              <w:rPr>
                <w:rFonts w:ascii="Arial Narrow" w:eastAsia="Arial Narrow" w:hAnsi="Arial Narrow" w:cs="Arial Narrow"/>
                <w:b/>
                <w:sz w:val="20"/>
                <w:szCs w:val="20"/>
              </w:rPr>
              <w:t>Proyecto o iniciativa</w:t>
            </w:r>
          </w:p>
        </w:tc>
        <w:tc>
          <w:tcPr>
            <w:tcW w:w="5675" w:type="dxa"/>
          </w:tcPr>
          <w:p w14:paraId="7C1CEEA2" w14:textId="77777777" w:rsidR="00EA0A65" w:rsidRDefault="002959E9">
            <w:pPr>
              <w:jc w:val="center"/>
              <w:rPr>
                <w:rFonts w:ascii="Arial Narrow" w:eastAsia="Arial Narrow" w:hAnsi="Arial Narrow" w:cs="Arial Narrow"/>
                <w:b/>
                <w:sz w:val="20"/>
                <w:szCs w:val="20"/>
              </w:rPr>
            </w:pPr>
            <w:r>
              <w:rPr>
                <w:rFonts w:ascii="Arial Narrow" w:eastAsia="Arial Narrow" w:hAnsi="Arial Narrow" w:cs="Arial Narrow"/>
                <w:b/>
                <w:sz w:val="20"/>
                <w:szCs w:val="20"/>
              </w:rPr>
              <w:t>Objetivo</w:t>
            </w:r>
          </w:p>
        </w:tc>
        <w:tc>
          <w:tcPr>
            <w:tcW w:w="2977" w:type="dxa"/>
          </w:tcPr>
          <w:p w14:paraId="7CFBAAC5" w14:textId="77777777" w:rsidR="00EA0A65" w:rsidRDefault="002959E9">
            <w:pPr>
              <w:jc w:val="center"/>
              <w:rPr>
                <w:rFonts w:ascii="Arial Narrow" w:eastAsia="Arial Narrow" w:hAnsi="Arial Narrow" w:cs="Arial Narrow"/>
                <w:b/>
                <w:sz w:val="20"/>
                <w:szCs w:val="20"/>
              </w:rPr>
            </w:pPr>
            <w:r>
              <w:rPr>
                <w:rFonts w:ascii="Arial Narrow" w:eastAsia="Arial Narrow" w:hAnsi="Arial Narrow" w:cs="Arial Narrow"/>
                <w:b/>
                <w:sz w:val="20"/>
                <w:szCs w:val="20"/>
              </w:rPr>
              <w:t>Potencial de articulación o sinergia</w:t>
            </w:r>
          </w:p>
        </w:tc>
      </w:tr>
      <w:tr w:rsidR="00EA0A65" w14:paraId="6B51A33B" w14:textId="77777777">
        <w:tc>
          <w:tcPr>
            <w:tcW w:w="1555" w:type="dxa"/>
          </w:tcPr>
          <w:p w14:paraId="0A67457E"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Proyecto Sierra y Selva Alta del Perú. AGRORURAL</w:t>
            </w:r>
          </w:p>
        </w:tc>
        <w:tc>
          <w:tcPr>
            <w:tcW w:w="5675" w:type="dxa"/>
          </w:tcPr>
          <w:p w14:paraId="36E1B529"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El objetivo central del proyecto queda definido como “Pequeños Productores rurales en las regiones de Sierra y Selva fortalecen sus niveles organizativos y capacidad de emprendimiento, capitalizando de manera sostenible sus activos”.</w:t>
            </w:r>
          </w:p>
          <w:p w14:paraId="0BEFBD31"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Componente 1: Valorización de activos de pequeños productores rurales</w:t>
            </w:r>
          </w:p>
          <w:p w14:paraId="0739A55F"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Componente 2: Acceso a servicios financieros y no financieros</w:t>
            </w:r>
          </w:p>
          <w:p w14:paraId="4989D333"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Componente 3: Capacidades para el desarrollo local con enfoque territorial</w:t>
            </w:r>
          </w:p>
          <w:p w14:paraId="47783361" w14:textId="77777777" w:rsidR="00EA0A65" w:rsidRDefault="00EA0A65">
            <w:pPr>
              <w:rPr>
                <w:rFonts w:ascii="Arial Narrow" w:eastAsia="Arial Narrow" w:hAnsi="Arial Narrow" w:cs="Arial Narrow"/>
                <w:sz w:val="18"/>
                <w:szCs w:val="18"/>
              </w:rPr>
            </w:pPr>
          </w:p>
        </w:tc>
        <w:tc>
          <w:tcPr>
            <w:tcW w:w="2977" w:type="dxa"/>
          </w:tcPr>
          <w:p w14:paraId="6957E0A2"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Implementación sobre el terreno de mecanismos de valorización de activos de pequeños productores, base productiva principal de la región, y articulación con los planes de desarrollo local en la Región Amazonas. </w:t>
            </w:r>
          </w:p>
        </w:tc>
      </w:tr>
      <w:tr w:rsidR="00EA0A65" w14:paraId="5F12E0F0" w14:textId="77777777">
        <w:tc>
          <w:tcPr>
            <w:tcW w:w="1555" w:type="dxa"/>
          </w:tcPr>
          <w:p w14:paraId="35EFFC5B"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Unidad Ejecutora PROAMAZONAS </w:t>
            </w:r>
          </w:p>
        </w:tc>
        <w:tc>
          <w:tcPr>
            <w:tcW w:w="5675" w:type="dxa"/>
          </w:tcPr>
          <w:p w14:paraId="52B0F484"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La Unidad Ejecutora PROAMAZONAS, es un organismo desconcentrado del Gobierno Regional Amazonas, con autonomía técnica y administrativa, cuyo objetivo es ejecutar el Programa "Establecimiento de las Bases para el Desarrollo Rural, a través del Turismo, en el Corredor Turístico en el Valle de Utcubamba, Sector Pedro Ruiz, Leymebamba - Región Amazonas" y otros programas y proyectos estratégicos que le encargara el Gobierno Regional Amazonas.</w:t>
            </w:r>
          </w:p>
        </w:tc>
        <w:tc>
          <w:tcPr>
            <w:tcW w:w="2977" w:type="dxa"/>
          </w:tcPr>
          <w:p w14:paraId="69A15467"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Insertar en los proyectos regionales el enfoque y medidas orientadas a la conservación de los bosques, manejo forestal comunitario y puesta en valor de los servicios ecosistémicos en los ámbitos de intervención de la Región Amazonas. </w:t>
            </w:r>
          </w:p>
          <w:p w14:paraId="6D2FD532" w14:textId="77777777" w:rsidR="00EA0A65" w:rsidRDefault="00EA0A65">
            <w:pPr>
              <w:rPr>
                <w:rFonts w:ascii="Arial Narrow" w:eastAsia="Arial Narrow" w:hAnsi="Arial Narrow" w:cs="Arial Narrow"/>
                <w:sz w:val="18"/>
                <w:szCs w:val="18"/>
              </w:rPr>
            </w:pPr>
          </w:p>
        </w:tc>
      </w:tr>
      <w:tr w:rsidR="00EA0A65" w14:paraId="3AB4F7B7" w14:textId="77777777">
        <w:tc>
          <w:tcPr>
            <w:tcW w:w="1555" w:type="dxa"/>
          </w:tcPr>
          <w:p w14:paraId="724C481A" w14:textId="77777777" w:rsidR="00EA0A65" w:rsidRPr="002959E9" w:rsidRDefault="002959E9">
            <w:pPr>
              <w:rPr>
                <w:rFonts w:ascii="Arial Narrow" w:eastAsia="Arial Narrow" w:hAnsi="Arial Narrow" w:cs="Arial Narrow"/>
                <w:sz w:val="18"/>
                <w:szCs w:val="18"/>
                <w:lang w:val="pt-BR"/>
              </w:rPr>
            </w:pPr>
            <w:r w:rsidRPr="002959E9">
              <w:rPr>
                <w:rFonts w:ascii="Arial Narrow" w:eastAsia="Arial Narrow" w:hAnsi="Arial Narrow" w:cs="Arial Narrow"/>
                <w:sz w:val="18"/>
                <w:szCs w:val="18"/>
                <w:lang w:val="pt-BR"/>
              </w:rPr>
              <w:t>Programa Nacional ONU-REDD (PNUD, PNUMA, FAO)</w:t>
            </w:r>
          </w:p>
        </w:tc>
        <w:tc>
          <w:tcPr>
            <w:tcW w:w="5675" w:type="dxa"/>
          </w:tcPr>
          <w:p w14:paraId="73770361"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Complementar los esfuerzos de preparación del Gobierno Peruano para la implementación de REDD+ en el contexto de la Estrategia Nacional sobre Bosques y Cambio Climático (ENBCC).</w:t>
            </w:r>
          </w:p>
        </w:tc>
        <w:tc>
          <w:tcPr>
            <w:tcW w:w="2977" w:type="dxa"/>
          </w:tcPr>
          <w:p w14:paraId="37C99CD8"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Asistencia técnica de PNUD, PNUMA y FAO para construcción de hojas de ruta regionales de la ENBCC con plan para implementación de la estrategia regional de desarrollo rural bajo en emisiones</w:t>
            </w:r>
          </w:p>
          <w:p w14:paraId="4C92E701" w14:textId="77777777" w:rsidR="00EA0A65" w:rsidRDefault="00EA0A65">
            <w:pPr>
              <w:rPr>
                <w:rFonts w:ascii="Arial Narrow" w:eastAsia="Arial Narrow" w:hAnsi="Arial Narrow" w:cs="Arial Narrow"/>
                <w:sz w:val="18"/>
                <w:szCs w:val="18"/>
              </w:rPr>
            </w:pPr>
          </w:p>
        </w:tc>
      </w:tr>
      <w:tr w:rsidR="0076014B" w14:paraId="68FCA54B" w14:textId="77777777">
        <w:tc>
          <w:tcPr>
            <w:tcW w:w="1555" w:type="dxa"/>
          </w:tcPr>
          <w:p w14:paraId="5940F53E" w14:textId="77777777" w:rsidR="0076014B" w:rsidRPr="0090090A" w:rsidRDefault="0076014B" w:rsidP="0076014B">
            <w:pPr>
              <w:pStyle w:val="NoSpacing"/>
              <w:rPr>
                <w:rFonts w:ascii="Arial Narrow" w:eastAsia="Calibri" w:hAnsi="Arial Narrow"/>
                <w:sz w:val="17"/>
                <w:szCs w:val="17"/>
              </w:rPr>
            </w:pPr>
            <w:r w:rsidRPr="0090090A">
              <w:rPr>
                <w:rFonts w:ascii="Arial Narrow" w:eastAsia="Calibri" w:hAnsi="Arial Narrow"/>
                <w:sz w:val="17"/>
                <w:szCs w:val="17"/>
              </w:rPr>
              <w:t>Proyecto de Preparación para REDD+, RPP segunda fase (FCPF - BM/ BID).</w:t>
            </w:r>
          </w:p>
          <w:p w14:paraId="075E083D" w14:textId="77777777" w:rsidR="0076014B" w:rsidRPr="0076014B" w:rsidRDefault="0076014B" w:rsidP="0076014B">
            <w:pPr>
              <w:rPr>
                <w:rFonts w:ascii="Arial Narrow" w:eastAsia="Arial Narrow" w:hAnsi="Arial Narrow" w:cs="Arial Narrow"/>
                <w:sz w:val="18"/>
                <w:szCs w:val="18"/>
                <w:lang w:val="es-PE"/>
              </w:rPr>
            </w:pPr>
          </w:p>
        </w:tc>
        <w:tc>
          <w:tcPr>
            <w:tcW w:w="5675" w:type="dxa"/>
          </w:tcPr>
          <w:p w14:paraId="3D6EC8ED" w14:textId="2C0D20DE" w:rsidR="0076014B" w:rsidRDefault="0076014B" w:rsidP="0076014B">
            <w:pPr>
              <w:rPr>
                <w:rFonts w:ascii="Arial Narrow" w:eastAsia="Arial Narrow" w:hAnsi="Arial Narrow" w:cs="Arial Narrow"/>
                <w:sz w:val="18"/>
                <w:szCs w:val="18"/>
              </w:rPr>
            </w:pPr>
            <w:r w:rsidRPr="0090090A">
              <w:rPr>
                <w:rFonts w:ascii="Arial Narrow" w:eastAsia="Calibri" w:hAnsi="Arial Narrow"/>
                <w:sz w:val="17"/>
                <w:szCs w:val="17"/>
              </w:rPr>
              <w:t xml:space="preserve">El apoyo del fondo de preparación del FCPF (RPP, fase 2) canalizado por el BID y a ejecutarse por el MINAM considera recursos para apoyar la elaboración de hojas de ruta regionales para la implementación de la ENBCC. </w:t>
            </w:r>
          </w:p>
        </w:tc>
        <w:tc>
          <w:tcPr>
            <w:tcW w:w="2977" w:type="dxa"/>
          </w:tcPr>
          <w:p w14:paraId="5E1F11D9" w14:textId="0EB2BA38" w:rsidR="0076014B" w:rsidRDefault="0076014B" w:rsidP="0076014B">
            <w:pPr>
              <w:rPr>
                <w:rFonts w:ascii="Arial Narrow" w:eastAsia="Arial Narrow" w:hAnsi="Arial Narrow" w:cs="Arial Narrow"/>
                <w:sz w:val="18"/>
                <w:szCs w:val="18"/>
              </w:rPr>
            </w:pPr>
            <w:r w:rsidRPr="0090090A">
              <w:rPr>
                <w:rFonts w:ascii="Arial Narrow" w:eastAsia="Calibri" w:hAnsi="Arial Narrow"/>
                <w:sz w:val="17"/>
                <w:szCs w:val="17"/>
              </w:rPr>
              <w:t>Coordinación para la asignación de recursos y cooperación en el desarrollo de actividades, en las regiones donde se coincida.</w:t>
            </w:r>
          </w:p>
        </w:tc>
      </w:tr>
      <w:tr w:rsidR="00EA0A65" w14:paraId="0C16BEDA" w14:textId="77777777">
        <w:tc>
          <w:tcPr>
            <w:tcW w:w="1555" w:type="dxa"/>
          </w:tcPr>
          <w:p w14:paraId="4B9005F7"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Programa de Desarrollo Forestal Sostenible, Inclusivo y Competitivo en la Amazonía Peruana </w:t>
            </w:r>
          </w:p>
        </w:tc>
        <w:tc>
          <w:tcPr>
            <w:tcW w:w="5675" w:type="dxa"/>
          </w:tcPr>
          <w:p w14:paraId="6F41B071"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Recuperación, conservación y aprovechamiento de los bosques amazónicos mediante el fortalecimiento de la institucionalidad forestal pública, el manejo forestal y la competitividad del sector forestal.</w:t>
            </w:r>
          </w:p>
        </w:tc>
        <w:tc>
          <w:tcPr>
            <w:tcW w:w="2977" w:type="dxa"/>
          </w:tcPr>
          <w:p w14:paraId="461AC57A"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Diseño de un proyecto que permita implementar actividades del plan en fondos concursables de este Programa.</w:t>
            </w:r>
          </w:p>
        </w:tc>
      </w:tr>
      <w:tr w:rsidR="00EA0A65" w14:paraId="0720B35F" w14:textId="77777777">
        <w:tc>
          <w:tcPr>
            <w:tcW w:w="1555" w:type="dxa"/>
          </w:tcPr>
          <w:p w14:paraId="5FA46964"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Programa Nacional de Innovación Agraria – (PNIA)</w:t>
            </w:r>
          </w:p>
        </w:tc>
        <w:tc>
          <w:tcPr>
            <w:tcW w:w="5675" w:type="dxa"/>
          </w:tcPr>
          <w:p w14:paraId="416C0402"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Contribuir al establecimiento y consolidación de un sistema nacional moderno de ciencia, tecnología e innovación para el desarrollo del sector agrario peruano, descentralizado, plural, orientado por la demanda, en asociación con el sector privado; con el propósito de incrementar la rentabilidad y mejorar la competitividad del sector, mediante la generación y adopción de tecnologías sostenibles y ambientalmente seguras</w:t>
            </w:r>
          </w:p>
          <w:p w14:paraId="67E2A308" w14:textId="77777777" w:rsidR="00EA0A65" w:rsidRDefault="00EA0A65">
            <w:pPr>
              <w:rPr>
                <w:rFonts w:ascii="Arial Narrow" w:eastAsia="Arial Narrow" w:hAnsi="Arial Narrow" w:cs="Arial Narrow"/>
                <w:sz w:val="18"/>
                <w:szCs w:val="18"/>
              </w:rPr>
            </w:pPr>
          </w:p>
        </w:tc>
        <w:tc>
          <w:tcPr>
            <w:tcW w:w="2977" w:type="dxa"/>
          </w:tcPr>
          <w:p w14:paraId="7C954FBB" w14:textId="77777777" w:rsidR="00EA0A65" w:rsidRDefault="002959E9">
            <w:pPr>
              <w:rPr>
                <w:rFonts w:ascii="Arial Narrow" w:eastAsia="Arial Narrow" w:hAnsi="Arial Narrow" w:cs="Arial Narrow"/>
                <w:sz w:val="18"/>
                <w:szCs w:val="18"/>
              </w:rPr>
            </w:pPr>
            <w:r>
              <w:rPr>
                <w:rFonts w:ascii="Arial Narrow" w:eastAsia="Arial Narrow" w:hAnsi="Arial Narrow" w:cs="Arial Narrow"/>
                <w:sz w:val="18"/>
                <w:szCs w:val="18"/>
              </w:rPr>
              <w:t xml:space="preserve">Diseño de proyectos que permitan implementar actividades del plan asociadas a innovación y desarrollo de tecnología. </w:t>
            </w:r>
          </w:p>
        </w:tc>
      </w:tr>
      <w:tr w:rsidR="00667DD2" w14:paraId="70EEFC5A" w14:textId="77777777">
        <w:tc>
          <w:tcPr>
            <w:tcW w:w="1555" w:type="dxa"/>
          </w:tcPr>
          <w:p w14:paraId="6C32255D" w14:textId="7A468E47" w:rsidR="00667DD2" w:rsidRDefault="008D6A0E" w:rsidP="006A1A53">
            <w:pPr>
              <w:rPr>
                <w:rFonts w:ascii="Arial Narrow" w:eastAsia="Arial Narrow" w:hAnsi="Arial Narrow" w:cs="Arial Narrow"/>
                <w:sz w:val="18"/>
                <w:szCs w:val="18"/>
              </w:rPr>
            </w:pPr>
            <w:r w:rsidRPr="008D6A0E">
              <w:rPr>
                <w:rFonts w:ascii="Arial Narrow" w:eastAsia="Arial Narrow" w:hAnsi="Arial Narrow" w:cs="Arial Narrow"/>
                <w:sz w:val="18"/>
                <w:szCs w:val="18"/>
              </w:rPr>
              <w:t>Proyecto</w:t>
            </w:r>
            <w:r>
              <w:rPr>
                <w:rFonts w:ascii="Arial Narrow" w:eastAsia="Arial Narrow" w:hAnsi="Arial Narrow" w:cs="Arial Narrow"/>
                <w:sz w:val="18"/>
                <w:szCs w:val="18"/>
              </w:rPr>
              <w:t xml:space="preserve"> JICA </w:t>
            </w:r>
            <w:r w:rsidRPr="008D6A0E">
              <w:rPr>
                <w:rFonts w:ascii="Arial Narrow" w:eastAsia="Arial Narrow" w:hAnsi="Arial Narrow" w:cs="Arial Narrow"/>
                <w:sz w:val="18"/>
                <w:szCs w:val="18"/>
              </w:rPr>
              <w:t xml:space="preserve"> Desarrollo Turístico de Amazonas </w:t>
            </w:r>
          </w:p>
        </w:tc>
        <w:tc>
          <w:tcPr>
            <w:tcW w:w="5675" w:type="dxa"/>
          </w:tcPr>
          <w:p w14:paraId="5AD04424" w14:textId="6757500A" w:rsidR="00667DD2" w:rsidRDefault="007761A9">
            <w:pPr>
              <w:rPr>
                <w:rFonts w:ascii="Arial Narrow" w:eastAsia="Arial Narrow" w:hAnsi="Arial Narrow" w:cs="Arial Narrow"/>
                <w:sz w:val="18"/>
                <w:szCs w:val="18"/>
              </w:rPr>
            </w:pPr>
            <w:r>
              <w:rPr>
                <w:rFonts w:ascii="Arial Narrow" w:eastAsia="Arial Narrow" w:hAnsi="Arial Narrow" w:cs="Arial Narrow"/>
                <w:sz w:val="18"/>
                <w:szCs w:val="18"/>
              </w:rPr>
              <w:t xml:space="preserve">Programa </w:t>
            </w:r>
            <w:r w:rsidR="00025491">
              <w:rPr>
                <w:rFonts w:ascii="Arial Narrow" w:eastAsia="Arial Narrow" w:hAnsi="Arial Narrow" w:cs="Arial Narrow"/>
                <w:sz w:val="18"/>
                <w:szCs w:val="18"/>
              </w:rPr>
              <w:t>apoyado por JICA, para contribuir al desarrollo rural en una importante porción de Amazonas a partir de poner en valor atractivos turísticos culturales</w:t>
            </w:r>
            <w:r w:rsidR="008D6A0E">
              <w:rPr>
                <w:rFonts w:ascii="Arial Narrow" w:eastAsia="Arial Narrow" w:hAnsi="Arial Narrow" w:cs="Arial Narrow"/>
                <w:sz w:val="18"/>
                <w:szCs w:val="18"/>
              </w:rPr>
              <w:t xml:space="preserve">, principalmente asociados a la cultura Chachapoyas, </w:t>
            </w:r>
            <w:r w:rsidR="00025491">
              <w:rPr>
                <w:rFonts w:ascii="Arial Narrow" w:eastAsia="Arial Narrow" w:hAnsi="Arial Narrow" w:cs="Arial Narrow"/>
                <w:sz w:val="18"/>
                <w:szCs w:val="18"/>
              </w:rPr>
              <w:t xml:space="preserve"> y naturales</w:t>
            </w:r>
            <w:r w:rsidR="008D6A0E">
              <w:rPr>
                <w:rFonts w:ascii="Arial Narrow" w:eastAsia="Arial Narrow" w:hAnsi="Arial Narrow" w:cs="Arial Narrow"/>
                <w:sz w:val="18"/>
                <w:szCs w:val="18"/>
              </w:rPr>
              <w:t xml:space="preserve">, principalmente asociados a bosques, biodiversidad y escenarios naturales, como cataratas, desarrollando 7 rutas turísticas en  </w:t>
            </w:r>
            <w:r w:rsidR="008D6A0E" w:rsidRPr="00667DD2">
              <w:rPr>
                <w:rFonts w:ascii="Arial Narrow" w:eastAsia="Arial Narrow" w:hAnsi="Arial Narrow" w:cs="Arial Narrow"/>
                <w:sz w:val="18"/>
                <w:szCs w:val="18"/>
              </w:rPr>
              <w:t xml:space="preserve">el valle del </w:t>
            </w:r>
            <w:r w:rsidR="008D6A0E">
              <w:rPr>
                <w:rFonts w:ascii="Arial Narrow" w:eastAsia="Arial Narrow" w:hAnsi="Arial Narrow" w:cs="Arial Narrow"/>
                <w:sz w:val="18"/>
                <w:szCs w:val="18"/>
              </w:rPr>
              <w:t>U</w:t>
            </w:r>
            <w:r w:rsidR="008D6A0E" w:rsidRPr="00667DD2">
              <w:rPr>
                <w:rFonts w:ascii="Arial Narrow" w:eastAsia="Arial Narrow" w:hAnsi="Arial Narrow" w:cs="Arial Narrow"/>
                <w:sz w:val="18"/>
                <w:szCs w:val="18"/>
              </w:rPr>
              <w:t xml:space="preserve">ctubamba, </w:t>
            </w:r>
            <w:r w:rsidR="008D6A0E">
              <w:rPr>
                <w:rFonts w:ascii="Arial Narrow" w:eastAsia="Arial Narrow" w:hAnsi="Arial Narrow" w:cs="Arial Narrow"/>
                <w:sz w:val="18"/>
                <w:szCs w:val="18"/>
              </w:rPr>
              <w:t>L</w:t>
            </w:r>
            <w:r w:rsidR="008D6A0E" w:rsidRPr="00667DD2">
              <w:rPr>
                <w:rFonts w:ascii="Arial Narrow" w:eastAsia="Arial Narrow" w:hAnsi="Arial Narrow" w:cs="Arial Narrow"/>
                <w:sz w:val="18"/>
                <w:szCs w:val="18"/>
              </w:rPr>
              <w:t xml:space="preserve">eymebamba, </w:t>
            </w:r>
            <w:r w:rsidR="008D6A0E">
              <w:rPr>
                <w:rFonts w:ascii="Arial Narrow" w:eastAsia="Arial Narrow" w:hAnsi="Arial Narrow" w:cs="Arial Narrow"/>
                <w:sz w:val="18"/>
                <w:szCs w:val="18"/>
              </w:rPr>
              <w:t>R</w:t>
            </w:r>
            <w:r w:rsidR="008D6A0E" w:rsidRPr="00667DD2">
              <w:rPr>
                <w:rFonts w:ascii="Arial Narrow" w:eastAsia="Arial Narrow" w:hAnsi="Arial Narrow" w:cs="Arial Narrow"/>
                <w:sz w:val="18"/>
                <w:szCs w:val="18"/>
              </w:rPr>
              <w:t xml:space="preserve">egión </w:t>
            </w:r>
            <w:r w:rsidR="008D6A0E">
              <w:rPr>
                <w:rFonts w:ascii="Arial Narrow" w:eastAsia="Arial Narrow" w:hAnsi="Arial Narrow" w:cs="Arial Narrow"/>
                <w:sz w:val="18"/>
                <w:szCs w:val="18"/>
              </w:rPr>
              <w:t>A</w:t>
            </w:r>
            <w:r w:rsidR="008D6A0E" w:rsidRPr="00667DD2">
              <w:rPr>
                <w:rFonts w:ascii="Arial Narrow" w:eastAsia="Arial Narrow" w:hAnsi="Arial Narrow" w:cs="Arial Narrow"/>
                <w:sz w:val="18"/>
                <w:szCs w:val="18"/>
              </w:rPr>
              <w:t>mazonas,</w:t>
            </w:r>
          </w:p>
        </w:tc>
        <w:tc>
          <w:tcPr>
            <w:tcW w:w="2977" w:type="dxa"/>
          </w:tcPr>
          <w:p w14:paraId="739F501D" w14:textId="77777777" w:rsidR="00667DD2" w:rsidRDefault="00667DD2">
            <w:pPr>
              <w:rPr>
                <w:rFonts w:ascii="Arial Narrow" w:eastAsia="Arial Narrow" w:hAnsi="Arial Narrow" w:cs="Arial Narrow"/>
                <w:sz w:val="18"/>
                <w:szCs w:val="18"/>
              </w:rPr>
            </w:pPr>
            <w:r>
              <w:rPr>
                <w:rFonts w:ascii="Arial Narrow" w:eastAsia="Arial Narrow" w:hAnsi="Arial Narrow" w:cs="Arial Narrow"/>
                <w:sz w:val="18"/>
                <w:szCs w:val="18"/>
              </w:rPr>
              <w:t>Está a cargo de Proamazonas, Unidad Ejecutora que también atiende otros proyectos y podría canalizar recursos para desarrollo bajo en emisiones en la región.</w:t>
            </w:r>
          </w:p>
          <w:p w14:paraId="02D2ED87" w14:textId="7654D6C0" w:rsidR="00667DD2" w:rsidRDefault="00667DD2">
            <w:pPr>
              <w:rPr>
                <w:rFonts w:ascii="Arial Narrow" w:eastAsia="Arial Narrow" w:hAnsi="Arial Narrow" w:cs="Arial Narrow"/>
                <w:sz w:val="18"/>
                <w:szCs w:val="18"/>
              </w:rPr>
            </w:pPr>
            <w:r>
              <w:rPr>
                <w:rFonts w:ascii="Arial Narrow" w:eastAsia="Arial Narrow" w:hAnsi="Arial Narrow" w:cs="Arial Narrow"/>
                <w:sz w:val="18"/>
                <w:szCs w:val="18"/>
              </w:rPr>
              <w:t xml:space="preserve"> El proyecto en sí tiene una relación marginal con la e</w:t>
            </w:r>
            <w:r w:rsidR="006A1A53">
              <w:rPr>
                <w:rFonts w:ascii="Arial Narrow" w:eastAsia="Arial Narrow" w:hAnsi="Arial Narrow" w:cs="Arial Narrow"/>
                <w:sz w:val="18"/>
                <w:szCs w:val="18"/>
              </w:rPr>
              <w:t>laboración de la Estrategia, pero puede aportar contenido en cuanto a oportunidades de desarrollo asociadas a turismo.</w:t>
            </w:r>
          </w:p>
        </w:tc>
      </w:tr>
    </w:tbl>
    <w:p w14:paraId="0C8DEF80" w14:textId="77777777" w:rsidR="00EA0A65" w:rsidRDefault="002959E9">
      <w:pPr>
        <w:widowControl w:val="0"/>
        <w:ind w:left="-567"/>
        <w:rPr>
          <w:rFonts w:ascii="Arial Narrow" w:eastAsia="Arial Narrow" w:hAnsi="Arial Narrow" w:cs="Arial Narrow"/>
          <w:sz w:val="18"/>
          <w:szCs w:val="18"/>
        </w:rPr>
      </w:pPr>
      <w:r>
        <w:rPr>
          <w:rFonts w:ascii="Arial Narrow" w:eastAsia="Arial Narrow" w:hAnsi="Arial Narrow" w:cs="Arial Narrow"/>
          <w:sz w:val="18"/>
          <w:szCs w:val="18"/>
        </w:rPr>
        <w:t>Fuente: elaboración propia, 2018</w:t>
      </w:r>
    </w:p>
    <w:p w14:paraId="3C29A684" w14:textId="77777777" w:rsidR="00EA0A65" w:rsidRDefault="00EA0A65">
      <w:pPr>
        <w:widowControl w:val="0"/>
        <w:ind w:left="-426"/>
        <w:jc w:val="both"/>
        <w:rPr>
          <w:color w:val="000000"/>
          <w:sz w:val="22"/>
          <w:szCs w:val="22"/>
        </w:rPr>
      </w:pPr>
    </w:p>
    <w:p w14:paraId="24E5E574" w14:textId="77777777" w:rsidR="00EA0A65" w:rsidRDefault="00EA0A65">
      <w:pPr>
        <w:widowControl w:val="0"/>
        <w:ind w:left="-426"/>
        <w:rPr>
          <w:rFonts w:ascii="Arial" w:eastAsia="Arial" w:hAnsi="Arial" w:cs="Arial"/>
          <w:color w:val="000000"/>
        </w:rPr>
      </w:pPr>
    </w:p>
    <w:p w14:paraId="22A06244" w14:textId="77777777" w:rsidR="00EA0A65" w:rsidRDefault="00EA0A65">
      <w:pPr>
        <w:ind w:left="-426"/>
        <w:jc w:val="both"/>
        <w:rPr>
          <w:rFonts w:ascii="Arial Narrow" w:eastAsia="Arial Narrow" w:hAnsi="Arial Narrow" w:cs="Arial Narrow"/>
          <w:sz w:val="22"/>
          <w:szCs w:val="22"/>
        </w:rPr>
      </w:pPr>
    </w:p>
    <w:p w14:paraId="7DE69D58" w14:textId="77777777" w:rsidR="00EA0A65" w:rsidRDefault="00EA0A65">
      <w:pPr>
        <w:widowControl w:val="0"/>
        <w:ind w:left="-426"/>
        <w:rPr>
          <w:rFonts w:ascii="Arial" w:eastAsia="Arial" w:hAnsi="Arial" w:cs="Arial"/>
          <w:color w:val="000000"/>
        </w:rPr>
      </w:pPr>
    </w:p>
    <w:p w14:paraId="132F4696" w14:textId="77777777" w:rsidR="00EA0A65" w:rsidRDefault="00EA0A65">
      <w:pPr>
        <w:widowControl w:val="0"/>
        <w:ind w:left="-426"/>
        <w:rPr>
          <w:rFonts w:ascii="Arial" w:eastAsia="Arial" w:hAnsi="Arial" w:cs="Arial"/>
          <w:color w:val="000000"/>
        </w:rPr>
      </w:pPr>
    </w:p>
    <w:p w14:paraId="17B3A7A9" w14:textId="77777777" w:rsidR="00EA0A65" w:rsidRDefault="00EA0A65">
      <w:pPr>
        <w:rPr>
          <w:rFonts w:ascii="Arial Narrow" w:eastAsia="Arial Narrow" w:hAnsi="Arial Narrow" w:cs="Arial Narrow"/>
          <w:b/>
          <w:sz w:val="20"/>
          <w:szCs w:val="20"/>
        </w:rPr>
      </w:pPr>
    </w:p>
    <w:sectPr w:rsidR="00EA0A65" w:rsidSect="00FD1D4D">
      <w:type w:val="continuous"/>
      <w:pgSz w:w="11901" w:h="16817"/>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41667" w14:textId="77777777" w:rsidR="00214307" w:rsidRDefault="00214307">
      <w:r>
        <w:separator/>
      </w:r>
    </w:p>
  </w:endnote>
  <w:endnote w:type="continuationSeparator" w:id="0">
    <w:p w14:paraId="7E9E0664" w14:textId="77777777" w:rsidR="00214307" w:rsidRDefault="00214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F99AC" w14:textId="77777777" w:rsidR="0037402A" w:rsidRDefault="0037402A">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63472836" w14:textId="77777777" w:rsidR="0037402A" w:rsidRDefault="0037402A">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4F2D" w14:textId="77777777" w:rsidR="0037402A" w:rsidRDefault="0037402A">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AF005D">
      <w:rPr>
        <w:noProof/>
        <w:color w:val="000000"/>
      </w:rPr>
      <w:t>1</w:t>
    </w:r>
    <w:r>
      <w:rPr>
        <w:color w:val="000000"/>
      </w:rPr>
      <w:fldChar w:fldCharType="end"/>
    </w:r>
  </w:p>
  <w:p w14:paraId="7E784ABC" w14:textId="77777777" w:rsidR="0037402A" w:rsidRDefault="0037402A">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5B0FB" w14:textId="77777777" w:rsidR="00214307" w:rsidRDefault="00214307">
      <w:r>
        <w:separator/>
      </w:r>
    </w:p>
  </w:footnote>
  <w:footnote w:type="continuationSeparator" w:id="0">
    <w:p w14:paraId="0BDE4828" w14:textId="77777777" w:rsidR="00214307" w:rsidRDefault="00214307">
      <w:r>
        <w:continuationSeparator/>
      </w:r>
    </w:p>
  </w:footnote>
  <w:footnote w:id="1">
    <w:p w14:paraId="6E0A5252" w14:textId="77777777" w:rsidR="0037402A" w:rsidRPr="00231087" w:rsidRDefault="0037402A">
      <w:pPr>
        <w:pBdr>
          <w:top w:val="nil"/>
          <w:left w:val="nil"/>
          <w:bottom w:val="nil"/>
          <w:right w:val="nil"/>
          <w:between w:val="nil"/>
        </w:pBdr>
        <w:ind w:hanging="284"/>
        <w:rPr>
          <w:rFonts w:ascii="Arial Narrow" w:eastAsia="Arial Narrow" w:hAnsi="Arial Narrow" w:cs="Arial Narrow"/>
          <w:color w:val="000000"/>
          <w:sz w:val="16"/>
          <w:szCs w:val="16"/>
        </w:rPr>
      </w:pPr>
      <w:r w:rsidRPr="00231087">
        <w:rPr>
          <w:sz w:val="16"/>
          <w:szCs w:val="16"/>
          <w:vertAlign w:val="superscript"/>
        </w:rPr>
        <w:footnoteRef/>
      </w:r>
      <w:r w:rsidRPr="00231087">
        <w:rPr>
          <w:rFonts w:ascii="Arial Narrow" w:eastAsia="Arial Narrow" w:hAnsi="Arial Narrow" w:cs="Arial Narrow"/>
          <w:color w:val="000000"/>
          <w:sz w:val="16"/>
          <w:szCs w:val="16"/>
        </w:rPr>
        <w:t xml:space="preserve"> Geobosques. Minam 2017</w:t>
      </w:r>
    </w:p>
  </w:footnote>
  <w:footnote w:id="2">
    <w:p w14:paraId="16ACD8F8" w14:textId="77777777" w:rsidR="0037402A" w:rsidRPr="00231087" w:rsidRDefault="0037402A" w:rsidP="00333747">
      <w:pPr>
        <w:pBdr>
          <w:top w:val="nil"/>
          <w:left w:val="nil"/>
          <w:bottom w:val="nil"/>
          <w:right w:val="nil"/>
          <w:between w:val="nil"/>
        </w:pBdr>
        <w:ind w:hanging="284"/>
        <w:rPr>
          <w:rFonts w:ascii="Arial Narrow" w:eastAsia="Arial Narrow" w:hAnsi="Arial Narrow" w:cs="Arial Narrow"/>
          <w:b/>
          <w:color w:val="413F3E"/>
          <w:sz w:val="16"/>
          <w:szCs w:val="16"/>
          <w:highlight w:val="white"/>
        </w:rPr>
      </w:pPr>
      <w:r w:rsidRPr="00231087">
        <w:rPr>
          <w:sz w:val="16"/>
          <w:szCs w:val="16"/>
          <w:vertAlign w:val="superscript"/>
        </w:rPr>
        <w:footnoteRef/>
      </w:r>
      <w:r w:rsidRPr="00231087">
        <w:rPr>
          <w:rFonts w:ascii="Arial Narrow" w:eastAsia="Arial Narrow" w:hAnsi="Arial Narrow" w:cs="Arial Narrow"/>
          <w:color w:val="000000"/>
          <w:sz w:val="16"/>
          <w:szCs w:val="16"/>
        </w:rPr>
        <w:t xml:space="preserve"> APECO. 2009. Propuesta de Sistema de Conservación Regional – SICRE de Amazonas.</w:t>
      </w:r>
      <w:r w:rsidRPr="00231087">
        <w:rPr>
          <w:rFonts w:ascii="Arial Narrow" w:eastAsia="Arial Narrow" w:hAnsi="Arial Narrow" w:cs="Arial Narrow"/>
          <w:b/>
          <w:color w:val="413F3E"/>
          <w:sz w:val="16"/>
          <w:szCs w:val="16"/>
          <w:highlight w:val="white"/>
        </w:rPr>
        <w:t xml:space="preserve"> </w:t>
      </w:r>
    </w:p>
    <w:p w14:paraId="000C727F" w14:textId="77777777" w:rsidR="0037402A" w:rsidRPr="00231087" w:rsidRDefault="0037402A" w:rsidP="00333747">
      <w:pPr>
        <w:pBdr>
          <w:top w:val="nil"/>
          <w:left w:val="nil"/>
          <w:bottom w:val="nil"/>
          <w:right w:val="nil"/>
          <w:between w:val="nil"/>
        </w:pBdr>
        <w:ind w:hanging="284"/>
        <w:rPr>
          <w:rFonts w:ascii="Arial Narrow" w:eastAsia="Arial Narrow" w:hAnsi="Arial Narrow" w:cs="Arial Narrow"/>
          <w:color w:val="000000"/>
          <w:sz w:val="16"/>
          <w:szCs w:val="16"/>
        </w:rPr>
      </w:pPr>
      <w:r w:rsidRPr="00231087">
        <w:rPr>
          <w:rFonts w:ascii="Arial Narrow" w:eastAsia="Arial Narrow" w:hAnsi="Arial Narrow" w:cs="Arial Narrow"/>
          <w:color w:val="413F3E"/>
          <w:sz w:val="16"/>
          <w:szCs w:val="16"/>
          <w:highlight w:val="white"/>
        </w:rPr>
        <w:t>Ordenanza Regional Nº 235 Gobierno Regional Amazonas/CR</w:t>
      </w:r>
    </w:p>
  </w:footnote>
  <w:footnote w:id="3">
    <w:p w14:paraId="4CEA84B2" w14:textId="77777777" w:rsidR="0037402A" w:rsidRPr="00231087" w:rsidRDefault="0037402A">
      <w:pPr>
        <w:pBdr>
          <w:top w:val="nil"/>
          <w:left w:val="nil"/>
          <w:bottom w:val="nil"/>
          <w:right w:val="nil"/>
          <w:between w:val="nil"/>
        </w:pBdr>
        <w:ind w:hanging="284"/>
        <w:rPr>
          <w:rFonts w:ascii="Arial Narrow" w:eastAsia="Arial Narrow" w:hAnsi="Arial Narrow" w:cs="Arial Narrow"/>
          <w:color w:val="000000"/>
          <w:sz w:val="16"/>
          <w:szCs w:val="16"/>
        </w:rPr>
      </w:pPr>
      <w:r w:rsidRPr="00231087">
        <w:rPr>
          <w:sz w:val="16"/>
          <w:szCs w:val="16"/>
          <w:vertAlign w:val="superscript"/>
        </w:rPr>
        <w:footnoteRef/>
      </w:r>
      <w:r w:rsidRPr="00231087">
        <w:rPr>
          <w:rFonts w:ascii="Arial Narrow" w:eastAsia="Arial Narrow" w:hAnsi="Arial Narrow" w:cs="Arial Narrow"/>
          <w:color w:val="000000"/>
          <w:sz w:val="16"/>
          <w:szCs w:val="16"/>
        </w:rPr>
        <w:t xml:space="preserve"> Ibid</w:t>
      </w:r>
    </w:p>
  </w:footnote>
  <w:footnote w:id="4">
    <w:p w14:paraId="7DB268C0" w14:textId="0B4A47B9" w:rsidR="0037402A" w:rsidRPr="0070155C" w:rsidRDefault="0037402A">
      <w:pPr>
        <w:pStyle w:val="FootnoteText"/>
        <w:rPr>
          <w:sz w:val="16"/>
          <w:szCs w:val="16"/>
        </w:rPr>
      </w:pPr>
      <w:r w:rsidRPr="0070155C">
        <w:rPr>
          <w:rStyle w:val="FootnoteReference"/>
          <w:sz w:val="16"/>
          <w:szCs w:val="16"/>
        </w:rPr>
        <w:footnoteRef/>
      </w:r>
      <w:r w:rsidRPr="0070155C">
        <w:rPr>
          <w:sz w:val="16"/>
          <w:szCs w:val="16"/>
        </w:rPr>
        <w:t xml:space="preserve"> </w:t>
      </w:r>
      <w:r w:rsidRPr="0070155C">
        <w:rPr>
          <w:rFonts w:ascii="Arial Narrow" w:eastAsia="Arial Narrow" w:hAnsi="Arial Narrow" w:cs="Arial Narrow"/>
          <w:color w:val="000000"/>
          <w:sz w:val="16"/>
          <w:szCs w:val="16"/>
        </w:rPr>
        <w:t>Proyecto de Monitoreo de los Andes Amazónicos (2018)</w:t>
      </w:r>
    </w:p>
  </w:footnote>
  <w:footnote w:id="5">
    <w:p w14:paraId="120534FE" w14:textId="77777777" w:rsidR="0037402A" w:rsidRPr="00231087" w:rsidRDefault="0037402A" w:rsidP="0037402A">
      <w:pPr>
        <w:pBdr>
          <w:top w:val="nil"/>
          <w:left w:val="nil"/>
          <w:bottom w:val="nil"/>
          <w:right w:val="nil"/>
          <w:between w:val="nil"/>
        </w:pBdr>
        <w:ind w:left="-142"/>
        <w:rPr>
          <w:rFonts w:ascii="Arial Narrow" w:eastAsia="Arial Narrow" w:hAnsi="Arial Narrow" w:cs="Arial Narrow"/>
          <w:color w:val="000000"/>
          <w:sz w:val="16"/>
          <w:szCs w:val="16"/>
        </w:rPr>
      </w:pPr>
      <w:r w:rsidRPr="00231087">
        <w:rPr>
          <w:sz w:val="16"/>
          <w:szCs w:val="16"/>
          <w:vertAlign w:val="superscript"/>
        </w:rPr>
        <w:footnoteRef/>
      </w:r>
      <w:r w:rsidRPr="00231087">
        <w:rPr>
          <w:rFonts w:ascii="Arial Narrow" w:eastAsia="Arial Narrow" w:hAnsi="Arial Narrow" w:cs="Arial Narrow"/>
          <w:color w:val="000000"/>
          <w:sz w:val="16"/>
          <w:szCs w:val="16"/>
        </w:rPr>
        <w:t xml:space="preserve">   </w:t>
      </w:r>
      <w:hyperlink r:id="rId1">
        <w:r w:rsidRPr="00231087">
          <w:rPr>
            <w:rFonts w:ascii="Arial Narrow" w:eastAsia="Arial Narrow" w:hAnsi="Arial Narrow" w:cs="Arial Narrow"/>
            <w:color w:val="0563C1"/>
            <w:sz w:val="16"/>
            <w:szCs w:val="16"/>
            <w:u w:val="single"/>
          </w:rPr>
          <w:t>https://earthinnovation.org/resources/browse/produce-and-protect-platform/</w:t>
        </w:r>
      </w:hyperlink>
      <w:r w:rsidRPr="00231087">
        <w:rPr>
          <w:rFonts w:ascii="Arial Narrow" w:eastAsia="Arial Narrow" w:hAnsi="Arial Narrow" w:cs="Arial Narrow"/>
          <w:color w:val="000000"/>
          <w:sz w:val="16"/>
          <w:szCs w:val="16"/>
        </w:rPr>
        <w:t xml:space="preserve"> </w:t>
      </w:r>
    </w:p>
  </w:footnote>
  <w:footnote w:id="6">
    <w:p w14:paraId="5A0997A1" w14:textId="77777777" w:rsidR="0037402A" w:rsidRDefault="0037402A">
      <w:pPr>
        <w:pBdr>
          <w:top w:val="nil"/>
          <w:left w:val="nil"/>
          <w:bottom w:val="nil"/>
          <w:right w:val="nil"/>
          <w:between w:val="nil"/>
        </w:pBdr>
        <w:ind w:left="-142"/>
        <w:rPr>
          <w:color w:val="000000"/>
        </w:rPr>
      </w:pPr>
      <w:r w:rsidRPr="00231087">
        <w:rPr>
          <w:sz w:val="16"/>
          <w:szCs w:val="16"/>
          <w:vertAlign w:val="superscript"/>
        </w:rPr>
        <w:footnoteRef/>
      </w:r>
      <w:r w:rsidRPr="00231087">
        <w:rPr>
          <w:rFonts w:ascii="Arial Narrow" w:eastAsia="Arial Narrow" w:hAnsi="Arial Narrow" w:cs="Arial Narrow"/>
          <w:color w:val="000000"/>
          <w:sz w:val="16"/>
          <w:szCs w:val="16"/>
        </w:rPr>
        <w:t xml:space="preserve">   </w:t>
      </w:r>
      <w:hyperlink r:id="rId2">
        <w:r w:rsidRPr="00231087">
          <w:rPr>
            <w:rFonts w:ascii="Arial Narrow" w:eastAsia="Arial Narrow" w:hAnsi="Arial Narrow" w:cs="Arial Narrow"/>
            <w:color w:val="0563C1"/>
            <w:sz w:val="16"/>
            <w:szCs w:val="16"/>
            <w:u w:val="single"/>
          </w:rPr>
          <w:t>http://monitoring.earthinnovation.org/</w:t>
        </w:r>
      </w:hyperlink>
      <w:r>
        <w:rPr>
          <w:rFonts w:ascii="Arial Narrow" w:eastAsia="Arial Narrow" w:hAnsi="Arial Narrow" w:cs="Arial Narrow"/>
          <w:color w:val="000000"/>
          <w:sz w:val="16"/>
          <w:szCs w:val="16"/>
        </w:rPr>
        <w:t xml:space="preserve"> </w:t>
      </w:r>
    </w:p>
  </w:footnote>
  <w:footnote w:id="7">
    <w:p w14:paraId="3D0ADE65" w14:textId="77777777" w:rsidR="0037402A" w:rsidRDefault="0037402A">
      <w:pPr>
        <w:pBdr>
          <w:top w:val="nil"/>
          <w:left w:val="nil"/>
          <w:bottom w:val="nil"/>
          <w:right w:val="nil"/>
          <w:between w:val="nil"/>
        </w:pBdr>
        <w:ind w:left="-142"/>
        <w:rPr>
          <w:rFonts w:ascii="Arial Narrow" w:eastAsia="Arial Narrow" w:hAnsi="Arial Narrow" w:cs="Arial Narrow"/>
          <w:color w:val="000000"/>
          <w:sz w:val="16"/>
          <w:szCs w:val="16"/>
        </w:rPr>
      </w:pPr>
      <w:r w:rsidRPr="0070155C">
        <w:rPr>
          <w:sz w:val="16"/>
          <w:szCs w:val="16"/>
          <w:vertAlign w:val="superscript"/>
        </w:rPr>
        <w:footnoteRef/>
      </w:r>
      <w:r>
        <w:rPr>
          <w:rFonts w:ascii="Arial Narrow" w:eastAsia="Arial Narrow" w:hAnsi="Arial Narrow" w:cs="Arial Narrow"/>
          <w:color w:val="000000"/>
          <w:sz w:val="16"/>
          <w:szCs w:val="16"/>
        </w:rPr>
        <w:t xml:space="preserve"> Asociación Interétnica de Desarrollo de la Selva Peruana. Una de las dos organizaciones indígenas amazónicas del Perú.</w:t>
      </w:r>
    </w:p>
  </w:footnote>
  <w:footnote w:id="8">
    <w:p w14:paraId="65029989" w14:textId="77777777" w:rsidR="0037402A" w:rsidRPr="0070155C" w:rsidRDefault="0037402A" w:rsidP="008B5590">
      <w:pPr>
        <w:pBdr>
          <w:top w:val="nil"/>
          <w:left w:val="nil"/>
          <w:bottom w:val="nil"/>
          <w:right w:val="nil"/>
          <w:between w:val="nil"/>
        </w:pBdr>
        <w:ind w:left="-284" w:right="-336"/>
        <w:rPr>
          <w:rFonts w:ascii="Arial Narrow" w:eastAsia="Arial Narrow" w:hAnsi="Arial Narrow" w:cs="Arial Narrow"/>
          <w:color w:val="000000"/>
          <w:sz w:val="16"/>
          <w:szCs w:val="16"/>
        </w:rPr>
      </w:pPr>
      <w:r w:rsidRPr="0070155C">
        <w:rPr>
          <w:sz w:val="16"/>
          <w:szCs w:val="16"/>
          <w:vertAlign w:val="superscript"/>
        </w:rPr>
        <w:footnoteRef/>
      </w:r>
      <w:r w:rsidRPr="0070155C">
        <w:rPr>
          <w:rFonts w:ascii="Arial Narrow" w:eastAsia="Arial Narrow" w:hAnsi="Arial Narrow" w:cs="Arial Narrow"/>
          <w:color w:val="000000"/>
          <w:sz w:val="16"/>
          <w:szCs w:val="16"/>
        </w:rPr>
        <w:t xml:space="preserve"> Si bien durante la implementación del proyecto se realizarán elecciones regionales y cambiarán los gobernadores regionales, se considera que iniciar el proceso de construcción del plan al inicio de una nueva gestión – previendo estrategias de comunicación y manejo de riesgos apropiada – puede generar un enganche rápido de las nuevas administraciones con la importancia del desarrollo rural bajo en emisiones y la implementación de acciones para reducir la deforestación.  </w:t>
      </w:r>
    </w:p>
  </w:footnote>
  <w:footnote w:id="9">
    <w:p w14:paraId="09A6C5AD" w14:textId="77777777" w:rsidR="0037402A" w:rsidRPr="00231087" w:rsidRDefault="0037402A" w:rsidP="00F8316C">
      <w:pPr>
        <w:pBdr>
          <w:top w:val="nil"/>
          <w:left w:val="nil"/>
          <w:bottom w:val="nil"/>
          <w:right w:val="nil"/>
          <w:between w:val="nil"/>
        </w:pBdr>
        <w:ind w:hanging="284"/>
        <w:rPr>
          <w:rFonts w:ascii="Arial Narrow" w:eastAsia="Arial Narrow" w:hAnsi="Arial Narrow" w:cs="Arial Narrow"/>
          <w:color w:val="000000"/>
          <w:sz w:val="16"/>
          <w:szCs w:val="16"/>
        </w:rPr>
      </w:pPr>
      <w:r w:rsidRPr="00231087">
        <w:rPr>
          <w:sz w:val="16"/>
          <w:szCs w:val="16"/>
          <w:vertAlign w:val="superscript"/>
        </w:rPr>
        <w:footnoteRef/>
      </w:r>
      <w:r w:rsidRPr="00231087">
        <w:rPr>
          <w:rFonts w:ascii="Arial Narrow" w:eastAsia="Arial Narrow" w:hAnsi="Arial Narrow" w:cs="Arial Narrow"/>
          <w:color w:val="000000"/>
          <w:sz w:val="16"/>
          <w:szCs w:val="16"/>
        </w:rPr>
        <w:t xml:space="preserve"> Geobosques. Minam 2017</w:t>
      </w:r>
    </w:p>
  </w:footnote>
  <w:footnote w:id="10">
    <w:p w14:paraId="2FC91C99" w14:textId="77777777" w:rsidR="0037402A" w:rsidRDefault="0037402A">
      <w:pPr>
        <w:pBdr>
          <w:top w:val="nil"/>
          <w:left w:val="nil"/>
          <w:bottom w:val="nil"/>
          <w:right w:val="nil"/>
          <w:between w:val="nil"/>
        </w:pBdr>
        <w:ind w:left="-284"/>
        <w:rPr>
          <w:rFonts w:ascii="Arial Narrow" w:eastAsia="Arial Narrow" w:hAnsi="Arial Narrow" w:cs="Arial Narrow"/>
          <w:color w:val="000000"/>
          <w:sz w:val="16"/>
          <w:szCs w:val="16"/>
        </w:rPr>
      </w:pPr>
      <w:r w:rsidRPr="0070155C">
        <w:rPr>
          <w:sz w:val="16"/>
          <w:szCs w:val="16"/>
          <w:vertAlign w:val="superscript"/>
        </w:rPr>
        <w:footnoteRef/>
      </w:r>
      <w:r w:rsidRPr="0070155C">
        <w:rPr>
          <w:rFonts w:ascii="Arial Narrow" w:eastAsia="Arial Narrow" w:hAnsi="Arial Narrow" w:cs="Arial Narrow"/>
          <w:color w:val="000000"/>
          <w:sz w:val="16"/>
          <w:szCs w:val="16"/>
        </w:rPr>
        <w:t xml:space="preserve"> Se ha usado como referencia información de expertos y estudios a escala local.</w:t>
      </w:r>
      <w:r>
        <w:rPr>
          <w:rFonts w:ascii="Arial Narrow" w:eastAsia="Arial Narrow" w:hAnsi="Arial Narrow" w:cs="Arial Narrow"/>
          <w:color w:val="000000"/>
          <w:sz w:val="16"/>
          <w:szCs w:val="16"/>
        </w:rPr>
        <w:t xml:space="preserve"> </w:t>
      </w:r>
    </w:p>
  </w:footnote>
  <w:footnote w:id="11">
    <w:p w14:paraId="515AEEC6" w14:textId="77777777" w:rsidR="0037402A" w:rsidRPr="00EC0FF3" w:rsidRDefault="0037402A" w:rsidP="00F86489">
      <w:pPr>
        <w:pBdr>
          <w:top w:val="nil"/>
          <w:left w:val="nil"/>
          <w:bottom w:val="nil"/>
          <w:right w:val="nil"/>
          <w:between w:val="nil"/>
        </w:pBdr>
        <w:ind w:left="-284" w:right="-567"/>
        <w:jc w:val="both"/>
        <w:rPr>
          <w:color w:val="000000"/>
          <w:sz w:val="16"/>
          <w:szCs w:val="16"/>
        </w:rPr>
      </w:pPr>
      <w:r w:rsidRPr="00EC0FF3">
        <w:rPr>
          <w:sz w:val="16"/>
          <w:szCs w:val="16"/>
          <w:vertAlign w:val="superscript"/>
        </w:rPr>
        <w:footnoteRef/>
      </w:r>
      <w:r w:rsidRPr="00EC0FF3">
        <w:rPr>
          <w:rFonts w:ascii="Arial Narrow" w:eastAsia="Arial Narrow" w:hAnsi="Arial Narrow" w:cs="Arial Narrow"/>
          <w:color w:val="000000"/>
          <w:sz w:val="16"/>
          <w:szCs w:val="16"/>
        </w:rPr>
        <w:t xml:space="preserve"> De acuerdo a lo sugerido en la nota conceptual de la convocatoria, el plan de inversiones o financiero – en el caso de la Región Amazonas – será un instrumento de planificación que brindará detalles operativos para la implementación de la estrategia. En este documento se precisará, además, los costos de las acciones propuestas y presentará un planteamiento para financiarlas. Asimismo, incluirá información sobre el financiamiento necesario, en que ámbitos (temáticos o del paisaje), qué opciones de fondeo hay y que instrumentos canalizaran el financiamiento a los actores implementadores además de los arreglos institucionales necesarios (en los casos que amerite).</w:t>
      </w:r>
    </w:p>
  </w:footnote>
  <w:footnote w:id="12">
    <w:p w14:paraId="28870FED" w14:textId="77777777" w:rsidR="0037402A" w:rsidRDefault="0037402A" w:rsidP="00F86489">
      <w:pPr>
        <w:pBdr>
          <w:top w:val="nil"/>
          <w:left w:val="nil"/>
          <w:bottom w:val="nil"/>
          <w:right w:val="nil"/>
          <w:between w:val="nil"/>
        </w:pBdr>
        <w:ind w:left="-284" w:right="-619"/>
        <w:rPr>
          <w:rFonts w:ascii="Arial Narrow" w:eastAsia="Arial Narrow" w:hAnsi="Arial Narrow" w:cs="Arial Narrow"/>
          <w:color w:val="000000"/>
          <w:sz w:val="12"/>
          <w:szCs w:val="12"/>
        </w:rPr>
      </w:pPr>
      <w:r w:rsidRPr="00EC0FF3">
        <w:rPr>
          <w:sz w:val="16"/>
          <w:szCs w:val="16"/>
          <w:vertAlign w:val="superscript"/>
        </w:rPr>
        <w:footnoteRef/>
      </w:r>
      <w:r w:rsidRPr="00EC0FF3">
        <w:rPr>
          <w:rFonts w:ascii="Arial Narrow" w:eastAsia="Arial Narrow" w:hAnsi="Arial Narrow" w:cs="Arial Narrow"/>
          <w:color w:val="000000"/>
          <w:sz w:val="16"/>
          <w:szCs w:val="16"/>
        </w:rPr>
        <w:t xml:space="preserve"> La estructura del marco de resultados se ha elaborado utilizando como referencia la estructura brindada por el GCF-TF y PNUD. De ser solicitado se podrá incorporar información adicional como resultados e indicadores a nivel de resultado.</w:t>
      </w:r>
    </w:p>
  </w:footnote>
  <w:footnote w:id="13">
    <w:p w14:paraId="488C706F" w14:textId="77777777" w:rsidR="0037402A" w:rsidRPr="00141C85" w:rsidRDefault="0037402A" w:rsidP="00827FC1">
      <w:pPr>
        <w:pStyle w:val="FootnoteText"/>
        <w:ind w:left="-851"/>
        <w:rPr>
          <w:rFonts w:ascii="Arial Narrow" w:hAnsi="Arial Narrow"/>
          <w:sz w:val="12"/>
          <w:szCs w:val="12"/>
        </w:rPr>
      </w:pPr>
      <w:r w:rsidRPr="00141C85">
        <w:rPr>
          <w:rStyle w:val="FootnoteReference"/>
          <w:rFonts w:ascii="Arial Narrow" w:hAnsi="Arial Narrow"/>
          <w:sz w:val="12"/>
          <w:szCs w:val="12"/>
        </w:rPr>
        <w:footnoteRef/>
      </w:r>
      <w:r w:rsidRPr="00141C85">
        <w:rPr>
          <w:rFonts w:ascii="Arial Narrow" w:hAnsi="Arial Narrow"/>
          <w:sz w:val="12"/>
          <w:szCs w:val="12"/>
        </w:rPr>
        <w:t xml:space="preserve"> Se utiliza de manera referencial el indicador del PDRC. Este indicador podrá actualizarse con la elaboración de la estrategia y el plan de inversión</w:t>
      </w:r>
    </w:p>
  </w:footnote>
  <w:footnote w:id="14">
    <w:p w14:paraId="446F681F" w14:textId="77777777" w:rsidR="0037402A" w:rsidRPr="00141C85" w:rsidRDefault="0037402A" w:rsidP="00827FC1">
      <w:pPr>
        <w:pStyle w:val="FootnoteText"/>
        <w:ind w:left="-851"/>
        <w:rPr>
          <w:rFonts w:ascii="Arial Narrow" w:hAnsi="Arial Narrow"/>
          <w:sz w:val="12"/>
          <w:szCs w:val="12"/>
        </w:rPr>
      </w:pPr>
      <w:r w:rsidRPr="00141C85">
        <w:rPr>
          <w:rStyle w:val="FootnoteReference"/>
          <w:rFonts w:ascii="Arial Narrow" w:hAnsi="Arial Narrow"/>
          <w:sz w:val="12"/>
          <w:szCs w:val="12"/>
        </w:rPr>
        <w:footnoteRef/>
      </w:r>
      <w:r w:rsidRPr="00141C85">
        <w:rPr>
          <w:rFonts w:ascii="Arial Narrow" w:hAnsi="Arial Narrow"/>
          <w:sz w:val="12"/>
          <w:szCs w:val="12"/>
        </w:rPr>
        <w:t xml:space="preserve"> La ambición de la meta podrá adaptarse durante el proceso de validación de la estrategia de desarrollo rural bajo en emisiones</w:t>
      </w:r>
    </w:p>
  </w:footnote>
  <w:footnote w:id="15">
    <w:p w14:paraId="23D1B174" w14:textId="77777777" w:rsidR="0037402A" w:rsidRPr="00141C85" w:rsidRDefault="0037402A" w:rsidP="00827FC1">
      <w:pPr>
        <w:pStyle w:val="FootnoteText"/>
        <w:ind w:left="-851"/>
        <w:rPr>
          <w:rFonts w:ascii="Arial Narrow" w:hAnsi="Arial Narrow"/>
          <w:sz w:val="12"/>
          <w:szCs w:val="12"/>
        </w:rPr>
      </w:pPr>
      <w:r w:rsidRPr="00141C85">
        <w:rPr>
          <w:rStyle w:val="FootnoteReference"/>
          <w:rFonts w:ascii="Arial Narrow" w:hAnsi="Arial Narrow"/>
          <w:sz w:val="12"/>
          <w:szCs w:val="12"/>
        </w:rPr>
        <w:footnoteRef/>
      </w:r>
      <w:r w:rsidRPr="00141C85">
        <w:rPr>
          <w:rFonts w:ascii="Arial Narrow" w:hAnsi="Arial Narrow"/>
          <w:sz w:val="12"/>
          <w:szCs w:val="12"/>
        </w:rPr>
        <w:t xml:space="preserve">A ser identificados durante proceso de construcción de la estrategia. </w:t>
      </w:r>
      <w:r>
        <w:rPr>
          <w:rFonts w:ascii="Arial Narrow" w:hAnsi="Arial Narrow"/>
          <w:sz w:val="12"/>
          <w:szCs w:val="12"/>
        </w:rPr>
        <w:t xml:space="preserve">Se buscará priorizar acuerdos con asociaciones de mujeres. </w:t>
      </w:r>
    </w:p>
  </w:footnote>
  <w:footnote w:id="16">
    <w:p w14:paraId="607AC373" w14:textId="77777777" w:rsidR="0037402A" w:rsidRPr="00072906" w:rsidRDefault="0037402A" w:rsidP="00072906">
      <w:pPr>
        <w:pBdr>
          <w:top w:val="nil"/>
          <w:left w:val="nil"/>
          <w:bottom w:val="nil"/>
          <w:right w:val="nil"/>
          <w:between w:val="nil"/>
        </w:pBdr>
        <w:ind w:left="-851" w:right="-567"/>
        <w:rPr>
          <w:rFonts w:ascii="Arial Narrow" w:hAnsi="Arial Narrow"/>
          <w:color w:val="000000"/>
          <w:sz w:val="12"/>
          <w:szCs w:val="12"/>
        </w:rPr>
      </w:pPr>
      <w:r w:rsidRPr="00B0749C">
        <w:rPr>
          <w:rFonts w:ascii="Arial Narrow" w:hAnsi="Arial Narrow"/>
          <w:sz w:val="12"/>
          <w:szCs w:val="12"/>
          <w:vertAlign w:val="superscript"/>
        </w:rPr>
        <w:footnoteRef/>
      </w:r>
      <w:r w:rsidRPr="00B0749C">
        <w:rPr>
          <w:rFonts w:ascii="Arial Narrow" w:hAnsi="Arial Narrow"/>
          <w:color w:val="000000"/>
          <w:sz w:val="12"/>
          <w:szCs w:val="12"/>
        </w:rPr>
        <w:t xml:space="preserve"> Considera alcances descritos en nota conceptual de la convocatoria de la Ventanilla A. </w:t>
      </w:r>
      <w:r w:rsidRPr="00072906">
        <w:rPr>
          <w:rFonts w:ascii="Arial Narrow" w:hAnsi="Arial Narrow"/>
          <w:color w:val="000000"/>
          <w:sz w:val="12"/>
          <w:szCs w:val="12"/>
        </w:rPr>
        <w:t xml:space="preserve">Pág. 6 a la 10 </w:t>
      </w:r>
      <w:hyperlink r:id="rId3">
        <w:r w:rsidRPr="00072906">
          <w:rPr>
            <w:rFonts w:ascii="Arial Narrow" w:hAnsi="Arial Narrow"/>
            <w:color w:val="0563C1"/>
            <w:sz w:val="12"/>
            <w:szCs w:val="12"/>
            <w:u w:val="single"/>
          </w:rPr>
          <w:t>https://static1.squarespace.com/static/5896200f414fb57d26f3d600/t/5a8da61e652dea38cb6fafcd/1519232544928/Jurisdictional+strategies+Concept+Note_ES.pdf</w:t>
        </w:r>
      </w:hyperlink>
      <w:r w:rsidRPr="00072906">
        <w:rPr>
          <w:rFonts w:ascii="Arial Narrow" w:hAnsi="Arial Narrow"/>
          <w:color w:val="000000"/>
          <w:sz w:val="12"/>
          <w:szCs w:val="12"/>
        </w:rPr>
        <w:t xml:space="preserve"> </w:t>
      </w:r>
    </w:p>
  </w:footnote>
  <w:footnote w:id="17">
    <w:p w14:paraId="4ADAF26A" w14:textId="77777777" w:rsidR="0037402A" w:rsidRPr="00072906" w:rsidRDefault="0037402A" w:rsidP="00072906">
      <w:pPr>
        <w:pBdr>
          <w:top w:val="nil"/>
          <w:left w:val="nil"/>
          <w:bottom w:val="nil"/>
          <w:right w:val="nil"/>
          <w:between w:val="nil"/>
        </w:pBdr>
        <w:ind w:left="-851" w:right="-567"/>
        <w:rPr>
          <w:rFonts w:ascii="Arial Narrow" w:hAnsi="Arial Narrow"/>
          <w:color w:val="000000"/>
          <w:sz w:val="12"/>
          <w:szCs w:val="12"/>
        </w:rPr>
      </w:pPr>
      <w:r w:rsidRPr="00072906">
        <w:rPr>
          <w:rFonts w:ascii="Arial Narrow" w:hAnsi="Arial Narrow"/>
          <w:sz w:val="12"/>
          <w:szCs w:val="12"/>
          <w:vertAlign w:val="superscript"/>
        </w:rPr>
        <w:footnoteRef/>
      </w:r>
      <w:r w:rsidRPr="00072906">
        <w:rPr>
          <w:rFonts w:ascii="Arial Narrow" w:hAnsi="Arial Narrow"/>
          <w:color w:val="000000"/>
          <w:sz w:val="12"/>
          <w:szCs w:val="12"/>
        </w:rPr>
        <w:t xml:space="preserve"> Por expertos puede entenderse investigadores, funcionarios públicos con conocimiento de políticas regionales agrarias o forestales, pobladores locales o comuneros que conozcan procesos de ocupación del territorio, guarda parques u otros similares.</w:t>
      </w:r>
    </w:p>
  </w:footnote>
  <w:footnote w:id="18">
    <w:p w14:paraId="511CA17F" w14:textId="77777777" w:rsidR="0037402A" w:rsidRDefault="0037402A" w:rsidP="00072906">
      <w:pPr>
        <w:pBdr>
          <w:top w:val="nil"/>
          <w:left w:val="nil"/>
          <w:bottom w:val="nil"/>
          <w:right w:val="nil"/>
          <w:between w:val="nil"/>
        </w:pBdr>
        <w:ind w:left="-851" w:right="-567"/>
        <w:rPr>
          <w:color w:val="000000"/>
          <w:sz w:val="18"/>
          <w:szCs w:val="18"/>
        </w:rPr>
      </w:pPr>
      <w:r w:rsidRPr="00072906">
        <w:rPr>
          <w:rFonts w:ascii="Arial Narrow" w:hAnsi="Arial Narrow"/>
          <w:sz w:val="12"/>
          <w:szCs w:val="12"/>
          <w:vertAlign w:val="superscript"/>
        </w:rPr>
        <w:footnoteRef/>
      </w:r>
      <w:r w:rsidRPr="00072906">
        <w:rPr>
          <w:rFonts w:ascii="Arial Narrow" w:hAnsi="Arial Narrow"/>
          <w:color w:val="000000"/>
          <w:sz w:val="12"/>
          <w:szCs w:val="12"/>
        </w:rPr>
        <w:t xml:space="preserve"> En el documento señalado, se reseña que “gran parte de los bosques naturales se encuentran fuertemente deforestadas por la presión antrópica, especialmente en las zonas facilitadas por acceso a carreteras, llegando a cubrir una superficie estimada, en 1 123 995 has, que representa el 26,73 % del departamento, y el 32,8 % de la superficie del bosque original. La deforestación se nota con una mayor intensidad en la zona sur tanto en los bosques secos como en los bosques húmedos, quedando aun los bosques de la zona norte debido a que las comunidades nativas Awajún y Wampis cuidan mucho su territorio, sumado a ello la falta de vías de acceso.</w:t>
      </w:r>
    </w:p>
  </w:footnote>
  <w:footnote w:id="19">
    <w:p w14:paraId="6BB89808" w14:textId="014B6F29" w:rsidR="0037402A" w:rsidRPr="00395DA6" w:rsidRDefault="0037402A" w:rsidP="00F86489">
      <w:pPr>
        <w:pBdr>
          <w:top w:val="nil"/>
          <w:left w:val="nil"/>
          <w:bottom w:val="nil"/>
          <w:right w:val="nil"/>
          <w:between w:val="nil"/>
        </w:pBdr>
        <w:ind w:left="-284" w:right="-567"/>
        <w:rPr>
          <w:rFonts w:ascii="Arial Narrow" w:hAnsi="Arial Narrow"/>
          <w:color w:val="000000"/>
          <w:sz w:val="12"/>
          <w:szCs w:val="12"/>
        </w:rPr>
      </w:pPr>
      <w:r w:rsidRPr="00395DA6">
        <w:rPr>
          <w:rFonts w:ascii="Arial Narrow" w:hAnsi="Arial Narrow"/>
          <w:sz w:val="12"/>
          <w:szCs w:val="12"/>
          <w:vertAlign w:val="superscript"/>
        </w:rPr>
        <w:footnoteRef/>
      </w:r>
      <w:r w:rsidRPr="00395DA6">
        <w:rPr>
          <w:rFonts w:ascii="Arial Narrow" w:hAnsi="Arial Narrow"/>
          <w:color w:val="000000"/>
          <w:sz w:val="12"/>
          <w:szCs w:val="12"/>
        </w:rPr>
        <w:t xml:space="preserve"> Grupos de actores claves: Gobiernos locales, comunidades campesinas, comunidades nativas, empresas agroindustriales, grupos de pequeños productores agrarios, mujeres, entre otros. Análisis de actores al inicio del diseño de la estrategia brindará mayor información sobre actores que deben ser priorizados y proceso participativo (Plan de Involucramiento de Actores). </w:t>
      </w:r>
    </w:p>
  </w:footnote>
  <w:footnote w:id="20">
    <w:p w14:paraId="23AD53E2" w14:textId="77777777" w:rsidR="0037402A" w:rsidRPr="00844534" w:rsidRDefault="0037402A" w:rsidP="00F86489">
      <w:pPr>
        <w:pBdr>
          <w:top w:val="nil"/>
          <w:left w:val="nil"/>
          <w:bottom w:val="nil"/>
          <w:right w:val="nil"/>
          <w:between w:val="nil"/>
        </w:pBdr>
        <w:ind w:left="-284" w:right="-567"/>
        <w:jc w:val="both"/>
        <w:rPr>
          <w:color w:val="000000"/>
          <w:sz w:val="16"/>
          <w:szCs w:val="16"/>
        </w:rPr>
      </w:pPr>
      <w:r w:rsidRPr="00395DA6">
        <w:rPr>
          <w:rFonts w:ascii="Arial Narrow" w:hAnsi="Arial Narrow"/>
          <w:sz w:val="12"/>
          <w:szCs w:val="12"/>
          <w:vertAlign w:val="superscript"/>
        </w:rPr>
        <w:footnoteRef/>
      </w:r>
      <w:r w:rsidRPr="00395DA6">
        <w:rPr>
          <w:rFonts w:ascii="Arial Narrow" w:hAnsi="Arial Narrow"/>
          <w:color w:val="000000"/>
          <w:sz w:val="12"/>
          <w:szCs w:val="12"/>
        </w:rPr>
        <w:t xml:space="preserve"> De acuerdo a lo sugerido en la nota conceptual de la convocatoria, el plan de inversiones o financiero – en el caso de la Región Amazonas – será un instrumento de planificación que brindará detalles operativos para la implementación de la estrategia. En este documento se precisará, además, los costos de las acciones propuestas y presentará un planteamiento para financiarlas. Asimismo, incluirá información sobre el financiamiento necesario, en que ámbitos (temáticos o del paisaje), qué opciones de fondeo hay y que instrumentos canalizaran el financiamiento a los actores implementadores además de los arreglos institucionales necesarios (en los casos que amerite).</w:t>
      </w:r>
    </w:p>
  </w:footnote>
  <w:footnote w:id="21">
    <w:p w14:paraId="4B77CB02" w14:textId="77777777" w:rsidR="0037402A" w:rsidRPr="00542B9A" w:rsidRDefault="0037402A" w:rsidP="00F86489">
      <w:pPr>
        <w:pBdr>
          <w:top w:val="nil"/>
          <w:left w:val="nil"/>
          <w:bottom w:val="nil"/>
          <w:right w:val="nil"/>
          <w:between w:val="nil"/>
        </w:pBdr>
        <w:ind w:left="-284" w:right="-567"/>
        <w:rPr>
          <w:rFonts w:ascii="Arial Narrow" w:hAnsi="Arial Narrow"/>
          <w:color w:val="000000"/>
          <w:sz w:val="12"/>
          <w:szCs w:val="12"/>
        </w:rPr>
      </w:pPr>
      <w:r w:rsidRPr="00542B9A">
        <w:rPr>
          <w:rFonts w:ascii="Arial Narrow" w:hAnsi="Arial Narrow"/>
          <w:sz w:val="12"/>
          <w:szCs w:val="12"/>
          <w:vertAlign w:val="superscript"/>
        </w:rPr>
        <w:footnoteRef/>
      </w:r>
      <w:r w:rsidRPr="00542B9A">
        <w:rPr>
          <w:rFonts w:ascii="Arial Narrow" w:hAnsi="Arial Narrow"/>
          <w:color w:val="000000"/>
          <w:sz w:val="12"/>
          <w:szCs w:val="12"/>
        </w:rPr>
        <w:t xml:space="preserve"> Grupos de actores claves: Gobiernos locales, comunidades campesinas, comunidades nativas, empresas agroindustriales, grupos de pequeños productores agrarios, entre otros. Análisis de actores al inicio del diseño de la estrategia brindará mayor información sobre actores que deben ser priorizados y proceso participativo.  </w:t>
      </w:r>
    </w:p>
  </w:footnote>
  <w:footnote w:id="22">
    <w:p w14:paraId="4DB3F79F" w14:textId="77777777" w:rsidR="0037402A" w:rsidRDefault="0037402A" w:rsidP="00F86489">
      <w:pPr>
        <w:pBdr>
          <w:top w:val="nil"/>
          <w:left w:val="nil"/>
          <w:bottom w:val="nil"/>
          <w:right w:val="nil"/>
          <w:between w:val="nil"/>
        </w:pBdr>
        <w:ind w:left="-284" w:right="-567"/>
        <w:jc w:val="both"/>
        <w:rPr>
          <w:color w:val="000000"/>
          <w:sz w:val="16"/>
          <w:szCs w:val="16"/>
        </w:rPr>
      </w:pPr>
      <w:r w:rsidRPr="00542B9A">
        <w:rPr>
          <w:rFonts w:ascii="Arial Narrow" w:hAnsi="Arial Narrow"/>
          <w:sz w:val="12"/>
          <w:szCs w:val="12"/>
          <w:vertAlign w:val="superscript"/>
        </w:rPr>
        <w:footnoteRef/>
      </w:r>
      <w:r w:rsidRPr="00542B9A">
        <w:rPr>
          <w:rFonts w:ascii="Arial Narrow" w:hAnsi="Arial Narrow"/>
          <w:color w:val="000000"/>
          <w:sz w:val="12"/>
          <w:szCs w:val="12"/>
        </w:rPr>
        <w:t xml:space="preserve"> Considera prioritariamente a funcionarios del Gobierno Regional de Amazonas y actores clave sectoriales y territoriales, organizaciones de comunidades campesinas y nativas, gobiernos locales, asociaciones de productores de cadenas de suministros asociadas a deforestación.</w:t>
      </w:r>
      <w:r>
        <w:rPr>
          <w:color w:val="000000"/>
          <w:sz w:val="16"/>
          <w:szCs w:val="16"/>
        </w:rPr>
        <w:t xml:space="preserve"> </w:t>
      </w:r>
    </w:p>
  </w:footnote>
  <w:footnote w:id="23">
    <w:p w14:paraId="15088860" w14:textId="77777777" w:rsidR="0037402A" w:rsidRPr="00EE4210" w:rsidRDefault="0037402A" w:rsidP="00EE4210">
      <w:pPr>
        <w:pBdr>
          <w:top w:val="nil"/>
          <w:left w:val="nil"/>
          <w:bottom w:val="nil"/>
          <w:right w:val="nil"/>
          <w:between w:val="nil"/>
        </w:pBdr>
        <w:ind w:left="-284" w:right="-619"/>
        <w:rPr>
          <w:rFonts w:ascii="Arial Narrow" w:eastAsia="Arial Narrow" w:hAnsi="Arial Narrow" w:cs="Arial Narrow"/>
          <w:color w:val="000000"/>
          <w:sz w:val="16"/>
          <w:szCs w:val="16"/>
        </w:rPr>
      </w:pPr>
      <w:r w:rsidRPr="00EE4210">
        <w:rPr>
          <w:sz w:val="16"/>
          <w:szCs w:val="16"/>
          <w:vertAlign w:val="superscript"/>
        </w:rPr>
        <w:footnoteRef/>
      </w:r>
      <w:r w:rsidRPr="00EE4210">
        <w:rPr>
          <w:rFonts w:ascii="Arial Narrow" w:eastAsia="Arial Narrow" w:hAnsi="Arial Narrow" w:cs="Arial Narrow"/>
          <w:color w:val="000000"/>
          <w:sz w:val="16"/>
          <w:szCs w:val="16"/>
        </w:rPr>
        <w:t xml:space="preserve"> principalmente con el MINAM -incluyendo la DGCCD, el PNCBMCC y el SERNANP-,  con el MINAGRI -incluyendo la DGPA, la DGAAA y el SERFOR-, y con la PCM -incluyendo CEPLAN, DEVIDA y la Secretaría de Descentralización</w:t>
      </w:r>
    </w:p>
  </w:footnote>
  <w:footnote w:id="24">
    <w:p w14:paraId="0364804E" w14:textId="77777777" w:rsidR="0037402A" w:rsidRDefault="0037402A" w:rsidP="00EE4210">
      <w:pPr>
        <w:pBdr>
          <w:top w:val="nil"/>
          <w:left w:val="nil"/>
          <w:bottom w:val="nil"/>
          <w:right w:val="nil"/>
          <w:between w:val="nil"/>
        </w:pBdr>
        <w:ind w:left="-284" w:right="-619"/>
        <w:rPr>
          <w:rFonts w:ascii="Arial Narrow" w:eastAsia="Arial Narrow" w:hAnsi="Arial Narrow" w:cs="Arial Narrow"/>
          <w:color w:val="000000"/>
          <w:sz w:val="12"/>
          <w:szCs w:val="12"/>
        </w:rPr>
      </w:pPr>
      <w:r w:rsidRPr="00EE4210">
        <w:rPr>
          <w:sz w:val="16"/>
          <w:szCs w:val="16"/>
          <w:vertAlign w:val="superscript"/>
        </w:rPr>
        <w:footnoteRef/>
      </w:r>
      <w:r w:rsidRPr="00EE4210">
        <w:rPr>
          <w:rFonts w:ascii="Arial Narrow" w:eastAsia="Arial Narrow" w:hAnsi="Arial Narrow" w:cs="Arial Narrow"/>
          <w:color w:val="000000"/>
          <w:sz w:val="16"/>
          <w:szCs w:val="16"/>
        </w:rPr>
        <w:t xml:space="preserve"> Ver anexo VII. Propuesta de Organización y Gobernanza del Proceso</w:t>
      </w:r>
      <w:r>
        <w:rPr>
          <w:rFonts w:ascii="Arial Narrow" w:eastAsia="Arial Narrow" w:hAnsi="Arial Narrow" w:cs="Arial Narrow"/>
          <w:color w:val="000000"/>
          <w:sz w:val="12"/>
          <w:szCs w:val="12"/>
        </w:rPr>
        <w:t xml:space="preserve"> </w:t>
      </w:r>
    </w:p>
  </w:footnote>
  <w:footnote w:id="25">
    <w:p w14:paraId="419AD101" w14:textId="77777777" w:rsidR="0037402A" w:rsidRPr="00225CC0" w:rsidRDefault="0037402A" w:rsidP="00225CC0">
      <w:pPr>
        <w:pBdr>
          <w:top w:val="nil"/>
          <w:left w:val="nil"/>
          <w:bottom w:val="nil"/>
          <w:right w:val="nil"/>
          <w:between w:val="nil"/>
        </w:pBdr>
        <w:ind w:hanging="142"/>
        <w:rPr>
          <w:rFonts w:ascii="Arial Narrow" w:eastAsia="Arial Narrow" w:hAnsi="Arial Narrow" w:cs="Arial Narrow"/>
          <w:color w:val="000000"/>
          <w:sz w:val="16"/>
          <w:szCs w:val="16"/>
        </w:rPr>
      </w:pPr>
      <w:r w:rsidRPr="00225CC0">
        <w:rPr>
          <w:sz w:val="16"/>
          <w:szCs w:val="16"/>
          <w:vertAlign w:val="superscript"/>
        </w:rPr>
        <w:footnoteRef/>
      </w:r>
      <w:r w:rsidRPr="00225CC0">
        <w:rPr>
          <w:rFonts w:ascii="Arial Narrow" w:eastAsia="Arial Narrow" w:hAnsi="Arial Narrow" w:cs="Arial Narrow"/>
          <w:color w:val="000000"/>
          <w:sz w:val="16"/>
          <w:szCs w:val="16"/>
        </w:rPr>
        <w:t xml:space="preserve"> Ver publicaciones en: www.earthinnovation.org</w:t>
      </w:r>
    </w:p>
  </w:footnote>
  <w:footnote w:id="26">
    <w:p w14:paraId="6B50F4B1" w14:textId="77777777" w:rsidR="0037402A" w:rsidRDefault="0037402A">
      <w:pPr>
        <w:pBdr>
          <w:top w:val="nil"/>
          <w:left w:val="nil"/>
          <w:bottom w:val="nil"/>
          <w:right w:val="nil"/>
          <w:between w:val="nil"/>
        </w:pBdr>
        <w:rPr>
          <w:rFonts w:ascii="Arial Narrow" w:eastAsia="Arial Narrow" w:hAnsi="Arial Narrow" w:cs="Arial Narrow"/>
          <w:color w:val="000000"/>
          <w:sz w:val="12"/>
          <w:szCs w:val="12"/>
        </w:rPr>
      </w:pPr>
      <w:r>
        <w:rPr>
          <w:vertAlign w:val="superscript"/>
        </w:rPr>
        <w:footnoteRef/>
      </w:r>
      <w:r>
        <w:rPr>
          <w:rFonts w:ascii="Arial Narrow" w:eastAsia="Arial Narrow" w:hAnsi="Arial Narrow" w:cs="Arial Narrow"/>
          <w:color w:val="000000"/>
          <w:sz w:val="12"/>
          <w:szCs w:val="12"/>
        </w:rPr>
        <w:t xml:space="preserve"> Sistema de Desempeño Territorial. </w:t>
      </w:r>
    </w:p>
  </w:footnote>
  <w:footnote w:id="27">
    <w:p w14:paraId="1BC828A2" w14:textId="77777777" w:rsidR="0037402A" w:rsidRDefault="0037402A">
      <w:pPr>
        <w:pBdr>
          <w:top w:val="nil"/>
          <w:left w:val="nil"/>
          <w:bottom w:val="nil"/>
          <w:right w:val="nil"/>
          <w:between w:val="nil"/>
        </w:pBdr>
        <w:rPr>
          <w:color w:val="000000"/>
          <w:sz w:val="12"/>
          <w:szCs w:val="12"/>
        </w:rPr>
      </w:pPr>
      <w:r>
        <w:rPr>
          <w:vertAlign w:val="superscript"/>
        </w:rPr>
        <w:footnoteRef/>
      </w:r>
      <w:r>
        <w:rPr>
          <w:color w:val="000000"/>
          <w:sz w:val="12"/>
          <w:szCs w:val="12"/>
        </w:rPr>
        <w:t xml:space="preserve"> Se distribuirá los recursos de manera acorde a las tareas a realizar y los costos administrativos se distribuirán en forma proporcional a ello, con las tasas aceptadas por la fuente financiera.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2D0A"/>
    <w:multiLevelType w:val="multilevel"/>
    <w:tmpl w:val="27B6B66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731659"/>
    <w:multiLevelType w:val="multilevel"/>
    <w:tmpl w:val="22C43C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413F7"/>
    <w:multiLevelType w:val="multilevel"/>
    <w:tmpl w:val="3E688E86"/>
    <w:lvl w:ilvl="0">
      <w:start w:val="1"/>
      <w:numFmt w:val="bullet"/>
      <w:lvlText w:val="-"/>
      <w:lvlJc w:val="left"/>
      <w:pPr>
        <w:ind w:left="-66" w:hanging="360"/>
      </w:pPr>
      <w:rPr>
        <w:rFonts w:ascii="Verdana" w:eastAsia="Verdana" w:hAnsi="Verdana" w:cs="Verdana"/>
      </w:rPr>
    </w:lvl>
    <w:lvl w:ilvl="1">
      <w:start w:val="1"/>
      <w:numFmt w:val="bullet"/>
      <w:lvlText w:val="o"/>
      <w:lvlJc w:val="left"/>
      <w:pPr>
        <w:ind w:left="654" w:hanging="359"/>
      </w:pPr>
      <w:rPr>
        <w:rFonts w:ascii="Courier New" w:eastAsia="Courier New" w:hAnsi="Courier New" w:cs="Courier New"/>
      </w:rPr>
    </w:lvl>
    <w:lvl w:ilvl="2">
      <w:start w:val="1"/>
      <w:numFmt w:val="bullet"/>
      <w:lvlText w:val="▪"/>
      <w:lvlJc w:val="left"/>
      <w:pPr>
        <w:ind w:left="1374" w:hanging="360"/>
      </w:pPr>
      <w:rPr>
        <w:rFonts w:ascii="Noto Sans Symbols" w:eastAsia="Noto Sans Symbols" w:hAnsi="Noto Sans Symbols" w:cs="Noto Sans Symbols"/>
      </w:rPr>
    </w:lvl>
    <w:lvl w:ilvl="3">
      <w:start w:val="1"/>
      <w:numFmt w:val="bullet"/>
      <w:lvlText w:val="●"/>
      <w:lvlJc w:val="left"/>
      <w:pPr>
        <w:ind w:left="2094" w:hanging="360"/>
      </w:pPr>
      <w:rPr>
        <w:rFonts w:ascii="Noto Sans Symbols" w:eastAsia="Noto Sans Symbols" w:hAnsi="Noto Sans Symbols" w:cs="Noto Sans Symbols"/>
      </w:rPr>
    </w:lvl>
    <w:lvl w:ilvl="4">
      <w:start w:val="1"/>
      <w:numFmt w:val="bullet"/>
      <w:lvlText w:val="o"/>
      <w:lvlJc w:val="left"/>
      <w:pPr>
        <w:ind w:left="2814" w:hanging="360"/>
      </w:pPr>
      <w:rPr>
        <w:rFonts w:ascii="Courier New" w:eastAsia="Courier New" w:hAnsi="Courier New" w:cs="Courier New"/>
      </w:rPr>
    </w:lvl>
    <w:lvl w:ilvl="5">
      <w:start w:val="1"/>
      <w:numFmt w:val="bullet"/>
      <w:lvlText w:val="▪"/>
      <w:lvlJc w:val="left"/>
      <w:pPr>
        <w:ind w:left="3534" w:hanging="360"/>
      </w:pPr>
      <w:rPr>
        <w:rFonts w:ascii="Noto Sans Symbols" w:eastAsia="Noto Sans Symbols" w:hAnsi="Noto Sans Symbols" w:cs="Noto Sans Symbols"/>
      </w:rPr>
    </w:lvl>
    <w:lvl w:ilvl="6">
      <w:start w:val="1"/>
      <w:numFmt w:val="bullet"/>
      <w:lvlText w:val="●"/>
      <w:lvlJc w:val="left"/>
      <w:pPr>
        <w:ind w:left="4254" w:hanging="360"/>
      </w:pPr>
      <w:rPr>
        <w:rFonts w:ascii="Noto Sans Symbols" w:eastAsia="Noto Sans Symbols" w:hAnsi="Noto Sans Symbols" w:cs="Noto Sans Symbols"/>
      </w:rPr>
    </w:lvl>
    <w:lvl w:ilvl="7">
      <w:start w:val="1"/>
      <w:numFmt w:val="bullet"/>
      <w:lvlText w:val="o"/>
      <w:lvlJc w:val="left"/>
      <w:pPr>
        <w:ind w:left="4974" w:hanging="360"/>
      </w:pPr>
      <w:rPr>
        <w:rFonts w:ascii="Courier New" w:eastAsia="Courier New" w:hAnsi="Courier New" w:cs="Courier New"/>
      </w:rPr>
    </w:lvl>
    <w:lvl w:ilvl="8">
      <w:start w:val="1"/>
      <w:numFmt w:val="bullet"/>
      <w:lvlText w:val="▪"/>
      <w:lvlJc w:val="left"/>
      <w:pPr>
        <w:ind w:left="5694" w:hanging="360"/>
      </w:pPr>
      <w:rPr>
        <w:rFonts w:ascii="Noto Sans Symbols" w:eastAsia="Noto Sans Symbols" w:hAnsi="Noto Sans Symbols" w:cs="Noto Sans Symbols"/>
      </w:rPr>
    </w:lvl>
  </w:abstractNum>
  <w:abstractNum w:abstractNumId="3" w15:restartNumberingAfterBreak="0">
    <w:nsid w:val="0B462F9A"/>
    <w:multiLevelType w:val="multilevel"/>
    <w:tmpl w:val="EC60AAC8"/>
    <w:lvl w:ilvl="0">
      <w:start w:val="1"/>
      <w:numFmt w:val="bullet"/>
      <w:lvlText w:val="-"/>
      <w:lvlJc w:val="left"/>
      <w:pPr>
        <w:ind w:left="-66" w:hanging="360"/>
      </w:pPr>
      <w:rPr>
        <w:rFonts w:ascii="Verdana" w:eastAsia="Verdana" w:hAnsi="Verdana" w:cs="Verdana"/>
      </w:rPr>
    </w:lvl>
    <w:lvl w:ilvl="1">
      <w:start w:val="1"/>
      <w:numFmt w:val="bullet"/>
      <w:lvlText w:val="o"/>
      <w:lvlJc w:val="left"/>
      <w:pPr>
        <w:ind w:left="654" w:hanging="359"/>
      </w:pPr>
      <w:rPr>
        <w:rFonts w:ascii="Courier New" w:eastAsia="Courier New" w:hAnsi="Courier New" w:cs="Courier New"/>
      </w:rPr>
    </w:lvl>
    <w:lvl w:ilvl="2">
      <w:start w:val="1"/>
      <w:numFmt w:val="bullet"/>
      <w:lvlText w:val="▪"/>
      <w:lvlJc w:val="left"/>
      <w:pPr>
        <w:ind w:left="1374" w:hanging="360"/>
      </w:pPr>
      <w:rPr>
        <w:rFonts w:ascii="Noto Sans Symbols" w:eastAsia="Noto Sans Symbols" w:hAnsi="Noto Sans Symbols" w:cs="Noto Sans Symbols"/>
      </w:rPr>
    </w:lvl>
    <w:lvl w:ilvl="3">
      <w:start w:val="1"/>
      <w:numFmt w:val="bullet"/>
      <w:lvlText w:val="●"/>
      <w:lvlJc w:val="left"/>
      <w:pPr>
        <w:ind w:left="2094" w:hanging="360"/>
      </w:pPr>
      <w:rPr>
        <w:rFonts w:ascii="Noto Sans Symbols" w:eastAsia="Noto Sans Symbols" w:hAnsi="Noto Sans Symbols" w:cs="Noto Sans Symbols"/>
      </w:rPr>
    </w:lvl>
    <w:lvl w:ilvl="4">
      <w:start w:val="1"/>
      <w:numFmt w:val="bullet"/>
      <w:lvlText w:val="o"/>
      <w:lvlJc w:val="left"/>
      <w:pPr>
        <w:ind w:left="2814" w:hanging="360"/>
      </w:pPr>
      <w:rPr>
        <w:rFonts w:ascii="Courier New" w:eastAsia="Courier New" w:hAnsi="Courier New" w:cs="Courier New"/>
      </w:rPr>
    </w:lvl>
    <w:lvl w:ilvl="5">
      <w:start w:val="1"/>
      <w:numFmt w:val="bullet"/>
      <w:lvlText w:val="▪"/>
      <w:lvlJc w:val="left"/>
      <w:pPr>
        <w:ind w:left="3534" w:hanging="360"/>
      </w:pPr>
      <w:rPr>
        <w:rFonts w:ascii="Noto Sans Symbols" w:eastAsia="Noto Sans Symbols" w:hAnsi="Noto Sans Symbols" w:cs="Noto Sans Symbols"/>
      </w:rPr>
    </w:lvl>
    <w:lvl w:ilvl="6">
      <w:start w:val="1"/>
      <w:numFmt w:val="bullet"/>
      <w:lvlText w:val="●"/>
      <w:lvlJc w:val="left"/>
      <w:pPr>
        <w:ind w:left="4254" w:hanging="360"/>
      </w:pPr>
      <w:rPr>
        <w:rFonts w:ascii="Noto Sans Symbols" w:eastAsia="Noto Sans Symbols" w:hAnsi="Noto Sans Symbols" w:cs="Noto Sans Symbols"/>
      </w:rPr>
    </w:lvl>
    <w:lvl w:ilvl="7">
      <w:start w:val="1"/>
      <w:numFmt w:val="bullet"/>
      <w:lvlText w:val="o"/>
      <w:lvlJc w:val="left"/>
      <w:pPr>
        <w:ind w:left="4974" w:hanging="360"/>
      </w:pPr>
      <w:rPr>
        <w:rFonts w:ascii="Courier New" w:eastAsia="Courier New" w:hAnsi="Courier New" w:cs="Courier New"/>
      </w:rPr>
    </w:lvl>
    <w:lvl w:ilvl="8">
      <w:start w:val="1"/>
      <w:numFmt w:val="bullet"/>
      <w:lvlText w:val="▪"/>
      <w:lvlJc w:val="left"/>
      <w:pPr>
        <w:ind w:left="5694" w:hanging="360"/>
      </w:pPr>
      <w:rPr>
        <w:rFonts w:ascii="Noto Sans Symbols" w:eastAsia="Noto Sans Symbols" w:hAnsi="Noto Sans Symbols" w:cs="Noto Sans Symbols"/>
      </w:rPr>
    </w:lvl>
  </w:abstractNum>
  <w:abstractNum w:abstractNumId="4" w15:restartNumberingAfterBreak="0">
    <w:nsid w:val="10D9022D"/>
    <w:multiLevelType w:val="multilevel"/>
    <w:tmpl w:val="5656A0C8"/>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5" w15:restartNumberingAfterBreak="0">
    <w:nsid w:val="115A6B3B"/>
    <w:multiLevelType w:val="multilevel"/>
    <w:tmpl w:val="2F9CFBB6"/>
    <w:lvl w:ilvl="0">
      <w:start w:val="2"/>
      <w:numFmt w:val="decimal"/>
      <w:lvlText w:val="%1"/>
      <w:lvlJc w:val="left"/>
      <w:pPr>
        <w:ind w:left="360" w:hanging="360"/>
      </w:pPr>
    </w:lvl>
    <w:lvl w:ilvl="1">
      <w:start w:val="2"/>
      <w:numFmt w:val="decimal"/>
      <w:lvlText w:val="%1.%2"/>
      <w:lvlJc w:val="left"/>
      <w:pPr>
        <w:ind w:left="-207" w:hanging="360"/>
      </w:pPr>
    </w:lvl>
    <w:lvl w:ilvl="2">
      <w:start w:val="1"/>
      <w:numFmt w:val="decimal"/>
      <w:lvlText w:val="%1.%2.%3"/>
      <w:lvlJc w:val="left"/>
      <w:pPr>
        <w:ind w:left="-414" w:hanging="720"/>
      </w:pPr>
    </w:lvl>
    <w:lvl w:ilvl="3">
      <w:start w:val="1"/>
      <w:numFmt w:val="decimal"/>
      <w:lvlText w:val="%1.%2.%3.%4"/>
      <w:lvlJc w:val="left"/>
      <w:pPr>
        <w:ind w:left="-981" w:hanging="720"/>
      </w:pPr>
    </w:lvl>
    <w:lvl w:ilvl="4">
      <w:start w:val="1"/>
      <w:numFmt w:val="decimal"/>
      <w:lvlText w:val="%1.%2.%3.%4.%5"/>
      <w:lvlJc w:val="left"/>
      <w:pPr>
        <w:ind w:left="-1548" w:hanging="720"/>
      </w:pPr>
    </w:lvl>
    <w:lvl w:ilvl="5">
      <w:start w:val="1"/>
      <w:numFmt w:val="decimal"/>
      <w:lvlText w:val="%1.%2.%3.%4.%5.%6"/>
      <w:lvlJc w:val="left"/>
      <w:pPr>
        <w:ind w:left="-1755" w:hanging="1080"/>
      </w:pPr>
    </w:lvl>
    <w:lvl w:ilvl="6">
      <w:start w:val="1"/>
      <w:numFmt w:val="decimal"/>
      <w:lvlText w:val="%1.%2.%3.%4.%5.%6.%7"/>
      <w:lvlJc w:val="left"/>
      <w:pPr>
        <w:ind w:left="-2322" w:hanging="1080"/>
      </w:pPr>
    </w:lvl>
    <w:lvl w:ilvl="7">
      <w:start w:val="1"/>
      <w:numFmt w:val="decimal"/>
      <w:lvlText w:val="%1.%2.%3.%4.%5.%6.%7.%8"/>
      <w:lvlJc w:val="left"/>
      <w:pPr>
        <w:ind w:left="-2889" w:hanging="1080"/>
      </w:pPr>
    </w:lvl>
    <w:lvl w:ilvl="8">
      <w:start w:val="1"/>
      <w:numFmt w:val="decimal"/>
      <w:lvlText w:val="%1.%2.%3.%4.%5.%6.%7.%8.%9"/>
      <w:lvlJc w:val="left"/>
      <w:pPr>
        <w:ind w:left="-3096" w:hanging="1440"/>
      </w:pPr>
    </w:lvl>
  </w:abstractNum>
  <w:abstractNum w:abstractNumId="6" w15:restartNumberingAfterBreak="0">
    <w:nsid w:val="14FC2D0E"/>
    <w:multiLevelType w:val="multilevel"/>
    <w:tmpl w:val="64A21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6F2E34"/>
    <w:multiLevelType w:val="multilevel"/>
    <w:tmpl w:val="90CE9E86"/>
    <w:lvl w:ilvl="0">
      <w:start w:val="3"/>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24C24F2A"/>
    <w:multiLevelType w:val="multilevel"/>
    <w:tmpl w:val="AD0414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23226C"/>
    <w:multiLevelType w:val="multilevel"/>
    <w:tmpl w:val="7E2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636D8"/>
    <w:multiLevelType w:val="multilevel"/>
    <w:tmpl w:val="7FEAA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CF2B60"/>
    <w:multiLevelType w:val="multilevel"/>
    <w:tmpl w:val="89BEC128"/>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055059"/>
    <w:multiLevelType w:val="multilevel"/>
    <w:tmpl w:val="459033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BA7FF3"/>
    <w:multiLevelType w:val="multilevel"/>
    <w:tmpl w:val="B7C0E7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9235C6"/>
    <w:multiLevelType w:val="multilevel"/>
    <w:tmpl w:val="738410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E4902AF"/>
    <w:multiLevelType w:val="multilevel"/>
    <w:tmpl w:val="30801AFC"/>
    <w:lvl w:ilvl="0">
      <w:start w:val="1"/>
      <w:numFmt w:val="decimal"/>
      <w:lvlText w:val="%1."/>
      <w:lvlJc w:val="left"/>
      <w:pPr>
        <w:ind w:left="1069" w:hanging="360"/>
      </w:pPr>
    </w:lvl>
    <w:lvl w:ilvl="1">
      <w:start w:val="1"/>
      <w:numFmt w:val="decimal"/>
      <w:lvlText w:val="%1.%2."/>
      <w:lvlJc w:val="left"/>
      <w:pPr>
        <w:ind w:left="1191" w:hanging="57"/>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6" w15:restartNumberingAfterBreak="0">
    <w:nsid w:val="52276F86"/>
    <w:multiLevelType w:val="multilevel"/>
    <w:tmpl w:val="88522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A77CAF"/>
    <w:multiLevelType w:val="multilevel"/>
    <w:tmpl w:val="152CA394"/>
    <w:lvl w:ilvl="0">
      <w:start w:val="1"/>
      <w:numFmt w:val="decimal"/>
      <w:lvlText w:val="%1."/>
      <w:lvlJc w:val="left"/>
      <w:pPr>
        <w:ind w:left="535" w:hanging="360"/>
      </w:pPr>
    </w:lvl>
    <w:lvl w:ilvl="1">
      <w:start w:val="1"/>
      <w:numFmt w:val="lowerLetter"/>
      <w:lvlText w:val="%2."/>
      <w:lvlJc w:val="left"/>
      <w:pPr>
        <w:ind w:left="1255" w:hanging="360"/>
      </w:pPr>
    </w:lvl>
    <w:lvl w:ilvl="2">
      <w:start w:val="1"/>
      <w:numFmt w:val="lowerRoman"/>
      <w:lvlText w:val="%3."/>
      <w:lvlJc w:val="right"/>
      <w:pPr>
        <w:ind w:left="1975" w:hanging="180"/>
      </w:pPr>
    </w:lvl>
    <w:lvl w:ilvl="3">
      <w:start w:val="1"/>
      <w:numFmt w:val="decimal"/>
      <w:lvlText w:val="%4."/>
      <w:lvlJc w:val="left"/>
      <w:pPr>
        <w:ind w:left="2695" w:hanging="360"/>
      </w:pPr>
    </w:lvl>
    <w:lvl w:ilvl="4">
      <w:start w:val="1"/>
      <w:numFmt w:val="lowerLetter"/>
      <w:lvlText w:val="%5."/>
      <w:lvlJc w:val="left"/>
      <w:pPr>
        <w:ind w:left="3415" w:hanging="360"/>
      </w:pPr>
    </w:lvl>
    <w:lvl w:ilvl="5">
      <w:start w:val="1"/>
      <w:numFmt w:val="lowerRoman"/>
      <w:lvlText w:val="%6."/>
      <w:lvlJc w:val="right"/>
      <w:pPr>
        <w:ind w:left="4135" w:hanging="180"/>
      </w:pPr>
    </w:lvl>
    <w:lvl w:ilvl="6">
      <w:start w:val="1"/>
      <w:numFmt w:val="decimal"/>
      <w:lvlText w:val="%7."/>
      <w:lvlJc w:val="left"/>
      <w:pPr>
        <w:ind w:left="4855" w:hanging="360"/>
      </w:pPr>
    </w:lvl>
    <w:lvl w:ilvl="7">
      <w:start w:val="1"/>
      <w:numFmt w:val="lowerLetter"/>
      <w:lvlText w:val="%8."/>
      <w:lvlJc w:val="left"/>
      <w:pPr>
        <w:ind w:left="5575" w:hanging="360"/>
      </w:pPr>
    </w:lvl>
    <w:lvl w:ilvl="8">
      <w:start w:val="1"/>
      <w:numFmt w:val="lowerRoman"/>
      <w:lvlText w:val="%9."/>
      <w:lvlJc w:val="right"/>
      <w:pPr>
        <w:ind w:left="6295" w:hanging="180"/>
      </w:pPr>
    </w:lvl>
  </w:abstractNum>
  <w:abstractNum w:abstractNumId="18" w15:restartNumberingAfterBreak="0">
    <w:nsid w:val="54965607"/>
    <w:multiLevelType w:val="multilevel"/>
    <w:tmpl w:val="FF3A10D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575353BA"/>
    <w:multiLevelType w:val="multilevel"/>
    <w:tmpl w:val="A03C98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EF64243"/>
    <w:multiLevelType w:val="multilevel"/>
    <w:tmpl w:val="7AE4E4FE"/>
    <w:lvl w:ilvl="0">
      <w:start w:val="2"/>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1" w15:restartNumberingAfterBreak="0">
    <w:nsid w:val="6496163F"/>
    <w:multiLevelType w:val="multilevel"/>
    <w:tmpl w:val="38AA1AA4"/>
    <w:lvl w:ilvl="0">
      <w:start w:val="1"/>
      <w:numFmt w:val="lowerLetter"/>
      <w:lvlText w:val="%1)"/>
      <w:lvlJc w:val="left"/>
      <w:pPr>
        <w:ind w:left="1003" w:hanging="360"/>
      </w:pPr>
      <w:rPr>
        <w:b w:val="0"/>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22" w15:restartNumberingAfterBreak="0">
    <w:nsid w:val="6BC12AAD"/>
    <w:multiLevelType w:val="multilevel"/>
    <w:tmpl w:val="B89A5FAC"/>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111793"/>
    <w:multiLevelType w:val="multilevel"/>
    <w:tmpl w:val="1084EFB0"/>
    <w:lvl w:ilvl="0">
      <w:start w:val="1"/>
      <w:numFmt w:val="bullet"/>
      <w:lvlText w:val="-"/>
      <w:lvlJc w:val="left"/>
      <w:pPr>
        <w:ind w:left="-66" w:hanging="360"/>
      </w:pPr>
      <w:rPr>
        <w:rFonts w:ascii="Verdana" w:eastAsia="Verdana" w:hAnsi="Verdana" w:cs="Verdana"/>
      </w:rPr>
    </w:lvl>
    <w:lvl w:ilvl="1">
      <w:start w:val="1"/>
      <w:numFmt w:val="bullet"/>
      <w:lvlText w:val="o"/>
      <w:lvlJc w:val="left"/>
      <w:pPr>
        <w:ind w:left="654" w:hanging="359"/>
      </w:pPr>
      <w:rPr>
        <w:rFonts w:ascii="Courier New" w:eastAsia="Courier New" w:hAnsi="Courier New" w:cs="Courier New"/>
      </w:rPr>
    </w:lvl>
    <w:lvl w:ilvl="2">
      <w:start w:val="1"/>
      <w:numFmt w:val="bullet"/>
      <w:lvlText w:val="▪"/>
      <w:lvlJc w:val="left"/>
      <w:pPr>
        <w:ind w:left="1374" w:hanging="360"/>
      </w:pPr>
      <w:rPr>
        <w:rFonts w:ascii="Noto Sans Symbols" w:eastAsia="Noto Sans Symbols" w:hAnsi="Noto Sans Symbols" w:cs="Noto Sans Symbols"/>
      </w:rPr>
    </w:lvl>
    <w:lvl w:ilvl="3">
      <w:start w:val="1"/>
      <w:numFmt w:val="bullet"/>
      <w:lvlText w:val="●"/>
      <w:lvlJc w:val="left"/>
      <w:pPr>
        <w:ind w:left="2094" w:hanging="360"/>
      </w:pPr>
      <w:rPr>
        <w:rFonts w:ascii="Noto Sans Symbols" w:eastAsia="Noto Sans Symbols" w:hAnsi="Noto Sans Symbols" w:cs="Noto Sans Symbols"/>
      </w:rPr>
    </w:lvl>
    <w:lvl w:ilvl="4">
      <w:start w:val="1"/>
      <w:numFmt w:val="bullet"/>
      <w:lvlText w:val="o"/>
      <w:lvlJc w:val="left"/>
      <w:pPr>
        <w:ind w:left="2814" w:hanging="360"/>
      </w:pPr>
      <w:rPr>
        <w:rFonts w:ascii="Courier New" w:eastAsia="Courier New" w:hAnsi="Courier New" w:cs="Courier New"/>
      </w:rPr>
    </w:lvl>
    <w:lvl w:ilvl="5">
      <w:start w:val="1"/>
      <w:numFmt w:val="bullet"/>
      <w:lvlText w:val="▪"/>
      <w:lvlJc w:val="left"/>
      <w:pPr>
        <w:ind w:left="3534" w:hanging="360"/>
      </w:pPr>
      <w:rPr>
        <w:rFonts w:ascii="Noto Sans Symbols" w:eastAsia="Noto Sans Symbols" w:hAnsi="Noto Sans Symbols" w:cs="Noto Sans Symbols"/>
      </w:rPr>
    </w:lvl>
    <w:lvl w:ilvl="6">
      <w:start w:val="1"/>
      <w:numFmt w:val="bullet"/>
      <w:lvlText w:val="●"/>
      <w:lvlJc w:val="left"/>
      <w:pPr>
        <w:ind w:left="4254" w:hanging="360"/>
      </w:pPr>
      <w:rPr>
        <w:rFonts w:ascii="Noto Sans Symbols" w:eastAsia="Noto Sans Symbols" w:hAnsi="Noto Sans Symbols" w:cs="Noto Sans Symbols"/>
      </w:rPr>
    </w:lvl>
    <w:lvl w:ilvl="7">
      <w:start w:val="1"/>
      <w:numFmt w:val="bullet"/>
      <w:lvlText w:val="o"/>
      <w:lvlJc w:val="left"/>
      <w:pPr>
        <w:ind w:left="4974" w:hanging="360"/>
      </w:pPr>
      <w:rPr>
        <w:rFonts w:ascii="Courier New" w:eastAsia="Courier New" w:hAnsi="Courier New" w:cs="Courier New"/>
      </w:rPr>
    </w:lvl>
    <w:lvl w:ilvl="8">
      <w:start w:val="1"/>
      <w:numFmt w:val="bullet"/>
      <w:lvlText w:val="▪"/>
      <w:lvlJc w:val="left"/>
      <w:pPr>
        <w:ind w:left="5694" w:hanging="360"/>
      </w:pPr>
      <w:rPr>
        <w:rFonts w:ascii="Noto Sans Symbols" w:eastAsia="Noto Sans Symbols" w:hAnsi="Noto Sans Symbols" w:cs="Noto Sans Symbols"/>
      </w:rPr>
    </w:lvl>
  </w:abstractNum>
  <w:abstractNum w:abstractNumId="24" w15:restartNumberingAfterBreak="0">
    <w:nsid w:val="71D94FA2"/>
    <w:multiLevelType w:val="multilevel"/>
    <w:tmpl w:val="7F2E767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3"/>
  </w:num>
  <w:num w:numId="3">
    <w:abstractNumId w:val="8"/>
  </w:num>
  <w:num w:numId="4">
    <w:abstractNumId w:val="16"/>
  </w:num>
  <w:num w:numId="5">
    <w:abstractNumId w:val="1"/>
  </w:num>
  <w:num w:numId="6">
    <w:abstractNumId w:val="3"/>
  </w:num>
  <w:num w:numId="7">
    <w:abstractNumId w:val="12"/>
  </w:num>
  <w:num w:numId="8">
    <w:abstractNumId w:val="0"/>
  </w:num>
  <w:num w:numId="9">
    <w:abstractNumId w:val="23"/>
  </w:num>
  <w:num w:numId="10">
    <w:abstractNumId w:val="21"/>
  </w:num>
  <w:num w:numId="11">
    <w:abstractNumId w:val="14"/>
  </w:num>
  <w:num w:numId="12">
    <w:abstractNumId w:val="2"/>
  </w:num>
  <w:num w:numId="13">
    <w:abstractNumId w:val="4"/>
  </w:num>
  <w:num w:numId="14">
    <w:abstractNumId w:val="17"/>
  </w:num>
  <w:num w:numId="15">
    <w:abstractNumId w:val="22"/>
  </w:num>
  <w:num w:numId="16">
    <w:abstractNumId w:val="20"/>
  </w:num>
  <w:num w:numId="17">
    <w:abstractNumId w:val="11"/>
  </w:num>
  <w:num w:numId="18">
    <w:abstractNumId w:val="15"/>
  </w:num>
  <w:num w:numId="19">
    <w:abstractNumId w:val="18"/>
  </w:num>
  <w:num w:numId="20">
    <w:abstractNumId w:val="5"/>
  </w:num>
  <w:num w:numId="21">
    <w:abstractNumId w:val="6"/>
  </w:num>
  <w:num w:numId="22">
    <w:abstractNumId w:val="7"/>
  </w:num>
  <w:num w:numId="23">
    <w:abstractNumId w:val="24"/>
  </w:num>
  <w:num w:numId="24">
    <w:abstractNumId w:val="10"/>
  </w:num>
  <w:num w:numId="2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thew Warren">
    <w15:presenceInfo w15:providerId="Windows Live" w15:userId="b15ab7b46f258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A65"/>
    <w:rsid w:val="00025491"/>
    <w:rsid w:val="00031260"/>
    <w:rsid w:val="0005724E"/>
    <w:rsid w:val="00072906"/>
    <w:rsid w:val="000B29A5"/>
    <w:rsid w:val="000C6FAB"/>
    <w:rsid w:val="000F70BC"/>
    <w:rsid w:val="00120D18"/>
    <w:rsid w:val="001254DA"/>
    <w:rsid w:val="001327F2"/>
    <w:rsid w:val="00142896"/>
    <w:rsid w:val="00151C89"/>
    <w:rsid w:val="001651DA"/>
    <w:rsid w:val="0018117A"/>
    <w:rsid w:val="001C731D"/>
    <w:rsid w:val="001D6B75"/>
    <w:rsid w:val="001E689A"/>
    <w:rsid w:val="001F04F1"/>
    <w:rsid w:val="00201F61"/>
    <w:rsid w:val="00205591"/>
    <w:rsid w:val="00214307"/>
    <w:rsid w:val="0022290A"/>
    <w:rsid w:val="00223873"/>
    <w:rsid w:val="00225CC0"/>
    <w:rsid w:val="00231087"/>
    <w:rsid w:val="002323B9"/>
    <w:rsid w:val="0027413D"/>
    <w:rsid w:val="002959E9"/>
    <w:rsid w:val="002A4D20"/>
    <w:rsid w:val="002E6E7E"/>
    <w:rsid w:val="00305930"/>
    <w:rsid w:val="00333747"/>
    <w:rsid w:val="003533CA"/>
    <w:rsid w:val="00373F59"/>
    <w:rsid w:val="0037402A"/>
    <w:rsid w:val="00395DA6"/>
    <w:rsid w:val="003A6741"/>
    <w:rsid w:val="003B15D7"/>
    <w:rsid w:val="003B3142"/>
    <w:rsid w:val="003C2078"/>
    <w:rsid w:val="003D26E8"/>
    <w:rsid w:val="003E4DCD"/>
    <w:rsid w:val="003E7E50"/>
    <w:rsid w:val="004025CB"/>
    <w:rsid w:val="00403AA1"/>
    <w:rsid w:val="004106B5"/>
    <w:rsid w:val="004203C5"/>
    <w:rsid w:val="00437EAE"/>
    <w:rsid w:val="0044290F"/>
    <w:rsid w:val="004551BF"/>
    <w:rsid w:val="00455A99"/>
    <w:rsid w:val="00455FA0"/>
    <w:rsid w:val="00473E1D"/>
    <w:rsid w:val="004B2F78"/>
    <w:rsid w:val="00542B9A"/>
    <w:rsid w:val="00545527"/>
    <w:rsid w:val="00575782"/>
    <w:rsid w:val="00595556"/>
    <w:rsid w:val="005C20B8"/>
    <w:rsid w:val="005D46AF"/>
    <w:rsid w:val="005E132F"/>
    <w:rsid w:val="00604B11"/>
    <w:rsid w:val="00605169"/>
    <w:rsid w:val="0060648B"/>
    <w:rsid w:val="00613997"/>
    <w:rsid w:val="00616428"/>
    <w:rsid w:val="00617C68"/>
    <w:rsid w:val="00667DD2"/>
    <w:rsid w:val="00681E32"/>
    <w:rsid w:val="0068634E"/>
    <w:rsid w:val="006A1A53"/>
    <w:rsid w:val="006B0418"/>
    <w:rsid w:val="006C6F5E"/>
    <w:rsid w:val="006D2466"/>
    <w:rsid w:val="006E048A"/>
    <w:rsid w:val="006F2EAE"/>
    <w:rsid w:val="0070155C"/>
    <w:rsid w:val="007036EB"/>
    <w:rsid w:val="00723292"/>
    <w:rsid w:val="00732B87"/>
    <w:rsid w:val="007421A8"/>
    <w:rsid w:val="00752FE0"/>
    <w:rsid w:val="0076014B"/>
    <w:rsid w:val="007761A9"/>
    <w:rsid w:val="00776A8D"/>
    <w:rsid w:val="007A6AC1"/>
    <w:rsid w:val="007D5FDF"/>
    <w:rsid w:val="007E483C"/>
    <w:rsid w:val="007E66AA"/>
    <w:rsid w:val="00827FC1"/>
    <w:rsid w:val="00844090"/>
    <w:rsid w:val="00844534"/>
    <w:rsid w:val="00845CDC"/>
    <w:rsid w:val="00866546"/>
    <w:rsid w:val="008717D1"/>
    <w:rsid w:val="0087284C"/>
    <w:rsid w:val="008909BF"/>
    <w:rsid w:val="008B5590"/>
    <w:rsid w:val="008D5669"/>
    <w:rsid w:val="008D6A0E"/>
    <w:rsid w:val="008E4183"/>
    <w:rsid w:val="0093368B"/>
    <w:rsid w:val="00935412"/>
    <w:rsid w:val="00941EA8"/>
    <w:rsid w:val="009449BC"/>
    <w:rsid w:val="0094635D"/>
    <w:rsid w:val="0095221B"/>
    <w:rsid w:val="00960717"/>
    <w:rsid w:val="00960E68"/>
    <w:rsid w:val="009666E9"/>
    <w:rsid w:val="009714DF"/>
    <w:rsid w:val="00980696"/>
    <w:rsid w:val="00984665"/>
    <w:rsid w:val="00A066B8"/>
    <w:rsid w:val="00A37EAD"/>
    <w:rsid w:val="00A63B00"/>
    <w:rsid w:val="00A647BB"/>
    <w:rsid w:val="00A65C28"/>
    <w:rsid w:val="00A81C19"/>
    <w:rsid w:val="00A837A0"/>
    <w:rsid w:val="00A95041"/>
    <w:rsid w:val="00A95A66"/>
    <w:rsid w:val="00AC5D6C"/>
    <w:rsid w:val="00AD6692"/>
    <w:rsid w:val="00AD7D26"/>
    <w:rsid w:val="00AF005D"/>
    <w:rsid w:val="00B022AD"/>
    <w:rsid w:val="00B0749C"/>
    <w:rsid w:val="00B11358"/>
    <w:rsid w:val="00B36681"/>
    <w:rsid w:val="00B40BE2"/>
    <w:rsid w:val="00B505D6"/>
    <w:rsid w:val="00B51E12"/>
    <w:rsid w:val="00B71CF9"/>
    <w:rsid w:val="00B80546"/>
    <w:rsid w:val="00BB117B"/>
    <w:rsid w:val="00BB7CFF"/>
    <w:rsid w:val="00BE208B"/>
    <w:rsid w:val="00C30001"/>
    <w:rsid w:val="00C7192F"/>
    <w:rsid w:val="00C93BCF"/>
    <w:rsid w:val="00CA3CC4"/>
    <w:rsid w:val="00CB6DA5"/>
    <w:rsid w:val="00CD5BFF"/>
    <w:rsid w:val="00D43E1D"/>
    <w:rsid w:val="00D46DA8"/>
    <w:rsid w:val="00D556B9"/>
    <w:rsid w:val="00DA0C48"/>
    <w:rsid w:val="00DB5493"/>
    <w:rsid w:val="00DC5C3B"/>
    <w:rsid w:val="00DD4DF5"/>
    <w:rsid w:val="00E000ED"/>
    <w:rsid w:val="00E02C53"/>
    <w:rsid w:val="00E15E86"/>
    <w:rsid w:val="00E32333"/>
    <w:rsid w:val="00E73941"/>
    <w:rsid w:val="00E73D80"/>
    <w:rsid w:val="00E87C51"/>
    <w:rsid w:val="00E96F92"/>
    <w:rsid w:val="00EA015F"/>
    <w:rsid w:val="00EA0A65"/>
    <w:rsid w:val="00EC0FF3"/>
    <w:rsid w:val="00EE4210"/>
    <w:rsid w:val="00EE6C15"/>
    <w:rsid w:val="00F17DE9"/>
    <w:rsid w:val="00F20012"/>
    <w:rsid w:val="00F6762D"/>
    <w:rsid w:val="00F8316C"/>
    <w:rsid w:val="00F84684"/>
    <w:rsid w:val="00F85678"/>
    <w:rsid w:val="00F86489"/>
    <w:rsid w:val="00F86A5B"/>
    <w:rsid w:val="00F959B0"/>
    <w:rsid w:val="00FB282B"/>
    <w:rsid w:val="00FC26C5"/>
    <w:rsid w:val="00FD1D4D"/>
    <w:rsid w:val="00FE2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F13C2"/>
  <w15:docId w15:val="{B7A51C32-B0B2-4001-A363-C0060DF55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pPr>
      <w:keepNext/>
      <w:keepLines/>
      <w:spacing w:before="40"/>
      <w:ind w:left="1191" w:hanging="57"/>
      <w:outlineLvl w:val="2"/>
    </w:pPr>
    <w:rPr>
      <w:color w:val="1F3863"/>
    </w:rPr>
  </w:style>
  <w:style w:type="paragraph" w:styleId="Heading4">
    <w:name w:val="heading 4"/>
    <w:basedOn w:val="Normal"/>
    <w:next w:val="Normal"/>
    <w:pPr>
      <w:keepNext/>
      <w:keepLines/>
      <w:spacing w:before="40"/>
      <w:outlineLvl w:val="3"/>
    </w:pPr>
    <w:rPr>
      <w:rFonts w:ascii="Calibri" w:eastAsia="Calibri" w:hAnsi="Calibri" w:cs="Calibri"/>
      <w:i/>
      <w:color w:val="2F5496"/>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BalloonText">
    <w:name w:val="Balloon Text"/>
    <w:basedOn w:val="Normal"/>
    <w:link w:val="BalloonTextChar"/>
    <w:uiPriority w:val="99"/>
    <w:semiHidden/>
    <w:unhideWhenUsed/>
    <w:rsid w:val="006D24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466"/>
    <w:rPr>
      <w:rFonts w:ascii="Segoe UI" w:hAnsi="Segoe UI" w:cs="Segoe UI"/>
      <w:sz w:val="18"/>
      <w:szCs w:val="18"/>
    </w:rPr>
  </w:style>
  <w:style w:type="character" w:styleId="CommentReference">
    <w:name w:val="annotation reference"/>
    <w:basedOn w:val="DefaultParagraphFont"/>
    <w:uiPriority w:val="99"/>
    <w:semiHidden/>
    <w:unhideWhenUsed/>
    <w:rsid w:val="00E15E86"/>
    <w:rPr>
      <w:sz w:val="16"/>
      <w:szCs w:val="16"/>
    </w:rPr>
  </w:style>
  <w:style w:type="paragraph" w:styleId="CommentText">
    <w:name w:val="annotation text"/>
    <w:basedOn w:val="Normal"/>
    <w:link w:val="CommentTextChar"/>
    <w:uiPriority w:val="99"/>
    <w:semiHidden/>
    <w:unhideWhenUsed/>
    <w:rsid w:val="00E15E86"/>
    <w:rPr>
      <w:sz w:val="20"/>
      <w:szCs w:val="20"/>
    </w:rPr>
  </w:style>
  <w:style w:type="character" w:customStyle="1" w:styleId="CommentTextChar">
    <w:name w:val="Comment Text Char"/>
    <w:basedOn w:val="DefaultParagraphFont"/>
    <w:link w:val="CommentText"/>
    <w:uiPriority w:val="99"/>
    <w:semiHidden/>
    <w:rsid w:val="00E15E86"/>
    <w:rPr>
      <w:sz w:val="20"/>
      <w:szCs w:val="20"/>
    </w:rPr>
  </w:style>
  <w:style w:type="paragraph" w:styleId="CommentSubject">
    <w:name w:val="annotation subject"/>
    <w:basedOn w:val="CommentText"/>
    <w:next w:val="CommentText"/>
    <w:link w:val="CommentSubjectChar"/>
    <w:uiPriority w:val="99"/>
    <w:semiHidden/>
    <w:unhideWhenUsed/>
    <w:rsid w:val="00E15E86"/>
    <w:rPr>
      <w:b/>
      <w:bCs/>
    </w:rPr>
  </w:style>
  <w:style w:type="character" w:customStyle="1" w:styleId="CommentSubjectChar">
    <w:name w:val="Comment Subject Char"/>
    <w:basedOn w:val="CommentTextChar"/>
    <w:link w:val="CommentSubject"/>
    <w:uiPriority w:val="99"/>
    <w:semiHidden/>
    <w:rsid w:val="00E15E86"/>
    <w:rPr>
      <w:b/>
      <w:bCs/>
      <w:sz w:val="20"/>
      <w:szCs w:val="20"/>
    </w:rPr>
  </w:style>
  <w:style w:type="paragraph" w:styleId="FootnoteText">
    <w:name w:val="footnote text"/>
    <w:basedOn w:val="Normal"/>
    <w:link w:val="FootnoteTextChar"/>
    <w:uiPriority w:val="99"/>
    <w:unhideWhenUsed/>
    <w:rsid w:val="0070155C"/>
    <w:rPr>
      <w:sz w:val="20"/>
      <w:szCs w:val="20"/>
    </w:rPr>
  </w:style>
  <w:style w:type="character" w:customStyle="1" w:styleId="FootnoteTextChar">
    <w:name w:val="Footnote Text Char"/>
    <w:basedOn w:val="DefaultParagraphFont"/>
    <w:link w:val="FootnoteText"/>
    <w:uiPriority w:val="99"/>
    <w:rsid w:val="0070155C"/>
    <w:rPr>
      <w:sz w:val="20"/>
      <w:szCs w:val="20"/>
    </w:rPr>
  </w:style>
  <w:style w:type="character" w:styleId="FootnoteReference">
    <w:name w:val="footnote reference"/>
    <w:aliases w:val="16 Point,Superscript 6 Point,CVR Ref. de nota al pie"/>
    <w:basedOn w:val="DefaultParagraphFont"/>
    <w:uiPriority w:val="99"/>
    <w:unhideWhenUsed/>
    <w:rsid w:val="0070155C"/>
    <w:rPr>
      <w:vertAlign w:val="superscript"/>
    </w:rPr>
  </w:style>
  <w:style w:type="character" w:styleId="Hyperlink">
    <w:name w:val="Hyperlink"/>
    <w:basedOn w:val="DefaultParagraphFont"/>
    <w:uiPriority w:val="99"/>
    <w:unhideWhenUsed/>
    <w:rsid w:val="0018117A"/>
    <w:rPr>
      <w:color w:val="0000FF" w:themeColor="hyperlink"/>
      <w:u w:val="single"/>
    </w:rPr>
  </w:style>
  <w:style w:type="character" w:customStyle="1" w:styleId="UnresolvedMention1">
    <w:name w:val="Unresolved Mention1"/>
    <w:basedOn w:val="DefaultParagraphFont"/>
    <w:uiPriority w:val="99"/>
    <w:semiHidden/>
    <w:unhideWhenUsed/>
    <w:rsid w:val="0018117A"/>
    <w:rPr>
      <w:color w:val="605E5C"/>
      <w:shd w:val="clear" w:color="auto" w:fill="E1DFDD"/>
    </w:rPr>
  </w:style>
  <w:style w:type="paragraph" w:styleId="NoSpacing">
    <w:name w:val="No Spacing"/>
    <w:link w:val="NoSpacingChar"/>
    <w:uiPriority w:val="1"/>
    <w:qFormat/>
    <w:rsid w:val="0060648B"/>
  </w:style>
  <w:style w:type="character" w:customStyle="1" w:styleId="NoSpacingChar">
    <w:name w:val="No Spacing Char"/>
    <w:basedOn w:val="DefaultParagraphFont"/>
    <w:link w:val="NoSpacing"/>
    <w:uiPriority w:val="1"/>
    <w:locked/>
    <w:rsid w:val="0076014B"/>
  </w:style>
  <w:style w:type="paragraph" w:styleId="NormalWeb">
    <w:name w:val="Normal (Web)"/>
    <w:basedOn w:val="Normal"/>
    <w:uiPriority w:val="99"/>
    <w:semiHidden/>
    <w:unhideWhenUsed/>
    <w:rsid w:val="004203C5"/>
    <w:pPr>
      <w:spacing w:before="100" w:beforeAutospacing="1" w:after="100" w:afterAutospacing="1"/>
    </w:pPr>
    <w:rPr>
      <w:rFonts w:eastAsiaTheme="minorEastAsia"/>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679579">
      <w:bodyDiv w:val="1"/>
      <w:marLeft w:val="0"/>
      <w:marRight w:val="0"/>
      <w:marTop w:val="0"/>
      <w:marBottom w:val="0"/>
      <w:divBdr>
        <w:top w:val="none" w:sz="0" w:space="0" w:color="auto"/>
        <w:left w:val="none" w:sz="0" w:space="0" w:color="auto"/>
        <w:bottom w:val="none" w:sz="0" w:space="0" w:color="auto"/>
        <w:right w:val="none" w:sz="0" w:space="0" w:color="auto"/>
      </w:divBdr>
    </w:div>
    <w:div w:id="256330119">
      <w:bodyDiv w:val="1"/>
      <w:marLeft w:val="0"/>
      <w:marRight w:val="0"/>
      <w:marTop w:val="0"/>
      <w:marBottom w:val="0"/>
      <w:divBdr>
        <w:top w:val="none" w:sz="0" w:space="0" w:color="auto"/>
        <w:left w:val="none" w:sz="0" w:space="0" w:color="auto"/>
        <w:bottom w:val="none" w:sz="0" w:space="0" w:color="auto"/>
        <w:right w:val="none" w:sz="0" w:space="0" w:color="auto"/>
      </w:divBdr>
    </w:div>
    <w:div w:id="1054424144">
      <w:bodyDiv w:val="1"/>
      <w:marLeft w:val="0"/>
      <w:marRight w:val="0"/>
      <w:marTop w:val="0"/>
      <w:marBottom w:val="0"/>
      <w:divBdr>
        <w:top w:val="none" w:sz="0" w:space="0" w:color="auto"/>
        <w:left w:val="none" w:sz="0" w:space="0" w:color="auto"/>
        <w:bottom w:val="none" w:sz="0" w:space="0" w:color="auto"/>
        <w:right w:val="none" w:sz="0" w:space="0" w:color="auto"/>
      </w:divBdr>
    </w:div>
    <w:div w:id="1635214491">
      <w:bodyDiv w:val="1"/>
      <w:marLeft w:val="0"/>
      <w:marRight w:val="0"/>
      <w:marTop w:val="0"/>
      <w:marBottom w:val="0"/>
      <w:divBdr>
        <w:top w:val="none" w:sz="0" w:space="0" w:color="auto"/>
        <w:left w:val="none" w:sz="0" w:space="0" w:color="auto"/>
        <w:bottom w:val="none" w:sz="0" w:space="0" w:color="auto"/>
        <w:right w:val="none" w:sz="0" w:space="0" w:color="auto"/>
      </w:divBdr>
    </w:div>
    <w:div w:id="1908956232">
      <w:bodyDiv w:val="1"/>
      <w:marLeft w:val="0"/>
      <w:marRight w:val="0"/>
      <w:marTop w:val="0"/>
      <w:marBottom w:val="0"/>
      <w:divBdr>
        <w:top w:val="none" w:sz="0" w:space="0" w:color="auto"/>
        <w:left w:val="none" w:sz="0" w:space="0" w:color="auto"/>
        <w:bottom w:val="none" w:sz="0" w:space="0" w:color="auto"/>
        <w:right w:val="none" w:sz="0" w:space="0" w:color="auto"/>
      </w:divBdr>
      <w:divsChild>
        <w:div w:id="1169717783">
          <w:marLeft w:val="0"/>
          <w:marRight w:val="0"/>
          <w:marTop w:val="0"/>
          <w:marBottom w:val="0"/>
          <w:divBdr>
            <w:top w:val="none" w:sz="0" w:space="0" w:color="auto"/>
            <w:left w:val="none" w:sz="0" w:space="0" w:color="auto"/>
            <w:bottom w:val="none" w:sz="0" w:space="0" w:color="auto"/>
            <w:right w:val="none" w:sz="0" w:space="0" w:color="auto"/>
          </w:divBdr>
          <w:divsChild>
            <w:div w:id="1080978555">
              <w:marLeft w:val="0"/>
              <w:marRight w:val="0"/>
              <w:marTop w:val="0"/>
              <w:marBottom w:val="0"/>
              <w:divBdr>
                <w:top w:val="none" w:sz="0" w:space="0" w:color="auto"/>
                <w:left w:val="none" w:sz="0" w:space="0" w:color="auto"/>
                <w:bottom w:val="none" w:sz="0" w:space="0" w:color="auto"/>
                <w:right w:val="none" w:sz="0" w:space="0" w:color="auto"/>
              </w:divBdr>
              <w:divsChild>
                <w:div w:id="6689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chavez@regionamazonas.gob.pe" TargetMode="External"/><Relationship Id="rId18" Type="http://schemas.openxmlformats.org/officeDocument/2006/relationships/image" Target="media/image6.png"/><Relationship Id="rId26" Type="http://schemas.openxmlformats.org/officeDocument/2006/relationships/hyperlink" Target="mailto:apeco@apeco.org.pe" TargetMode="External"/><Relationship Id="rId3" Type="http://schemas.openxmlformats.org/officeDocument/2006/relationships/styles" Target="styles.xml"/><Relationship Id="rId21" Type="http://schemas.openxmlformats.org/officeDocument/2006/relationships/hyperlink" Target="mailto:gsuarezdefreitas@earthinnovation.org" TargetMode="External"/><Relationship Id="rId7" Type="http://schemas.openxmlformats.org/officeDocument/2006/relationships/endnotes" Target="endnotes.xml"/><Relationship Id="rId12" Type="http://schemas.openxmlformats.org/officeDocument/2006/relationships/hyperlink" Target="mailto:dnepstad@earthinnovation.org" TargetMode="External"/><Relationship Id="rId17" Type="http://schemas.openxmlformats.org/officeDocument/2006/relationships/footer" Target="footer2.xml"/><Relationship Id="rId25" Type="http://schemas.openxmlformats.org/officeDocument/2006/relationships/hyperlink" Target="mailto:mleo@apeco.org.p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dnepstad@earthinnovation.org" TargetMode="External"/><Relationship Id="rId29" Type="http://schemas.openxmlformats.org/officeDocument/2006/relationships/hyperlink" Target="http://www.naturalezaycultur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horna@regionamazonas.gob.pe" TargetMode="External"/><Relationship Id="rId24" Type="http://schemas.openxmlformats.org/officeDocument/2006/relationships/hyperlink" Target="http://www.worldagroforestrycentre.org"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robiglio@cgiar.org" TargetMode="External"/><Relationship Id="rId28" Type="http://schemas.openxmlformats.org/officeDocument/2006/relationships/hyperlink" Target="mailto:ofranco@naturalezaycultura.org"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hyperlink" Target="http://www.earthinnovation.org" TargetMode="External"/><Relationship Id="rId27" Type="http://schemas.openxmlformats.org/officeDocument/2006/relationships/hyperlink" Target="http://www.apeco.org.pe" TargetMode="External"/><Relationship Id="rId30" Type="http://schemas.openxmlformats.org/officeDocument/2006/relationships/image" Target="media/image8.png"/><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static1.squarespace.com/static/5896200f414fb57d26f3d600/t/5a8da61e652dea38cb6fafcd/1519232544928/Jurisdictional+strategies+Concept+Note_ES.pdf" TargetMode="External"/><Relationship Id="rId2" Type="http://schemas.openxmlformats.org/officeDocument/2006/relationships/hyperlink" Target="http://monitoring.earthinnovation.org/" TargetMode="External"/><Relationship Id="rId1" Type="http://schemas.openxmlformats.org/officeDocument/2006/relationships/hyperlink" Target="https://earthinnovation.org/resources/browse/produce-and-protect-plat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655D5-958B-504B-8DD5-16D51C019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25623</Words>
  <Characters>146054</Characters>
  <Application>Microsoft Office Word</Application>
  <DocSecurity>0</DocSecurity>
  <Lines>1217</Lines>
  <Paragraphs>342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171335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Warren</dc:creator>
  <cp:lastModifiedBy>UNDP REDD+ Team</cp:lastModifiedBy>
  <cp:revision>2</cp:revision>
  <dcterms:created xsi:type="dcterms:W3CDTF">2018-10-03T19:48:00Z</dcterms:created>
  <dcterms:modified xsi:type="dcterms:W3CDTF">2018-10-03T19:48:00Z</dcterms:modified>
</cp:coreProperties>
</file>